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1739C">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eastAsia="仿宋_GB2312"/>
          <w:sz w:val="36"/>
          <w:szCs w:val="36"/>
          <w:lang w:eastAsia="zh-CN"/>
        </w:rPr>
      </w:pPr>
      <w:r>
        <w:rPr>
          <w:rFonts w:hint="eastAsia" w:eastAsia="仿宋_GB2312"/>
          <w:sz w:val="36"/>
          <w:szCs w:val="36"/>
          <w:lang w:eastAsia="zh-CN"/>
        </w:rPr>
        <w:drawing>
          <wp:inline distT="0" distB="0" distL="114300" distR="114300">
            <wp:extent cx="6144260" cy="7952105"/>
            <wp:effectExtent l="0" t="0" r="8890" b="10795"/>
            <wp:docPr id="34" name="图片 34" descr="7867d5b5d1a7045b3115473020e4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867d5b5d1a7045b3115473020e4a94"/>
                    <pic:cNvPicPr>
                      <a:picLocks noChangeAspect="1"/>
                    </pic:cNvPicPr>
                  </pic:nvPicPr>
                  <pic:blipFill>
                    <a:blip r:embed="rId6"/>
                    <a:stretch>
                      <a:fillRect/>
                    </a:stretch>
                  </pic:blipFill>
                  <pic:spPr>
                    <a:xfrm>
                      <a:off x="0" y="0"/>
                      <a:ext cx="6144260" cy="7952105"/>
                    </a:xfrm>
                    <a:prstGeom prst="rect">
                      <a:avLst/>
                    </a:prstGeom>
                  </pic:spPr>
                </pic:pic>
              </a:graphicData>
            </a:graphic>
          </wp:inline>
        </w:drawing>
      </w:r>
    </w:p>
    <w:p w14:paraId="44AD25AB">
      <w:pPr>
        <w:rPr>
          <w:rFonts w:eastAsia="仿宋_GB2312"/>
          <w:sz w:val="36"/>
          <w:szCs w:val="36"/>
        </w:rPr>
      </w:pPr>
    </w:p>
    <w:p w14:paraId="2C6EA139">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eastAsia="仿宋_GB2312"/>
          <w:sz w:val="36"/>
          <w:szCs w:val="36"/>
          <w:lang w:eastAsia="zh-CN"/>
        </w:rPr>
      </w:pPr>
      <w:r>
        <w:rPr>
          <w:rFonts w:hint="eastAsia" w:eastAsia="仿宋_GB2312"/>
          <w:sz w:val="36"/>
          <w:szCs w:val="36"/>
          <w:lang w:eastAsia="zh-CN"/>
        </w:rPr>
        <w:drawing>
          <wp:inline distT="0" distB="0" distL="114300" distR="114300">
            <wp:extent cx="6006465" cy="8496300"/>
            <wp:effectExtent l="0" t="0" r="13335" b="0"/>
            <wp:docPr id="35" name="图片 35" descr="资质页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资质页_页面_01"/>
                    <pic:cNvPicPr>
                      <a:picLocks noChangeAspect="1"/>
                    </pic:cNvPicPr>
                  </pic:nvPicPr>
                  <pic:blipFill>
                    <a:blip r:embed="rId7"/>
                    <a:stretch>
                      <a:fillRect/>
                    </a:stretch>
                  </pic:blipFill>
                  <pic:spPr>
                    <a:xfrm>
                      <a:off x="0" y="0"/>
                      <a:ext cx="6006465" cy="8496300"/>
                    </a:xfrm>
                    <a:prstGeom prst="rect">
                      <a:avLst/>
                    </a:prstGeom>
                  </pic:spPr>
                </pic:pic>
              </a:graphicData>
            </a:graphic>
          </wp:inline>
        </w:drawing>
      </w:r>
    </w:p>
    <w:p w14:paraId="1709CBD0">
      <w:pPr>
        <w:pStyle w:val="2"/>
        <w:ind w:left="0" w:leftChars="0" w:firstLine="0" w:firstLineChars="0"/>
        <w:jc w:val="center"/>
        <w:rPr>
          <w:rFonts w:hint="eastAsia"/>
          <w:lang w:eastAsia="zh-CN"/>
        </w:rPr>
        <w:sectPr>
          <w:pgSz w:w="11906" w:h="16838"/>
          <w:pgMar w:top="1701" w:right="1531" w:bottom="1701" w:left="1531" w:header="851" w:footer="1077" w:gutter="0"/>
          <w:cols w:space="720" w:num="1"/>
          <w:docGrid w:linePitch="312" w:charSpace="0"/>
        </w:sectPr>
      </w:pPr>
    </w:p>
    <w:p w14:paraId="2F9CC6C7">
      <w:pPr>
        <w:jc w:val="center"/>
        <w:rPr>
          <w:rFonts w:hint="eastAsia"/>
          <w:lang w:eastAsia="zh-CN"/>
        </w:rPr>
      </w:pPr>
      <w:r>
        <w:rPr>
          <w:rFonts w:hint="eastAsia"/>
          <w:lang w:eastAsia="zh-CN"/>
        </w:rPr>
        <w:drawing>
          <wp:inline distT="0" distB="0" distL="114300" distR="114300">
            <wp:extent cx="7877810" cy="5611495"/>
            <wp:effectExtent l="0" t="0" r="8890" b="8255"/>
            <wp:docPr id="36" name="图片 36" descr="资质页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资质页_页面_03"/>
                    <pic:cNvPicPr>
                      <a:picLocks noChangeAspect="1"/>
                    </pic:cNvPicPr>
                  </pic:nvPicPr>
                  <pic:blipFill>
                    <a:blip r:embed="rId8"/>
                    <a:stretch>
                      <a:fillRect/>
                    </a:stretch>
                  </pic:blipFill>
                  <pic:spPr>
                    <a:xfrm>
                      <a:off x="0" y="0"/>
                      <a:ext cx="7877810" cy="5611495"/>
                    </a:xfrm>
                    <a:prstGeom prst="rect">
                      <a:avLst/>
                    </a:prstGeom>
                  </pic:spPr>
                </pic:pic>
              </a:graphicData>
            </a:graphic>
          </wp:inline>
        </w:drawing>
      </w:r>
    </w:p>
    <w:p w14:paraId="06844A48">
      <w:pPr>
        <w:pStyle w:val="2"/>
        <w:ind w:left="0" w:leftChars="0" w:firstLine="0" w:firstLineChars="0"/>
        <w:jc w:val="center"/>
        <w:rPr>
          <w:rFonts w:hint="eastAsia"/>
          <w:lang w:eastAsia="zh-CN"/>
        </w:rPr>
      </w:pPr>
      <w:r>
        <w:rPr>
          <w:rFonts w:hint="eastAsia"/>
          <w:lang w:eastAsia="zh-CN"/>
        </w:rPr>
        <w:drawing>
          <wp:inline distT="0" distB="0" distL="114300" distR="114300">
            <wp:extent cx="8012430" cy="5612130"/>
            <wp:effectExtent l="0" t="0" r="7620" b="7620"/>
            <wp:docPr id="37" name="图片 37" descr="资质页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资质页_页面_05"/>
                    <pic:cNvPicPr>
                      <a:picLocks noChangeAspect="1"/>
                    </pic:cNvPicPr>
                  </pic:nvPicPr>
                  <pic:blipFill>
                    <a:blip r:embed="rId9"/>
                    <a:stretch>
                      <a:fillRect/>
                    </a:stretch>
                  </pic:blipFill>
                  <pic:spPr>
                    <a:xfrm>
                      <a:off x="0" y="0"/>
                      <a:ext cx="8012430" cy="5612130"/>
                    </a:xfrm>
                    <a:prstGeom prst="rect">
                      <a:avLst/>
                    </a:prstGeom>
                  </pic:spPr>
                </pic:pic>
              </a:graphicData>
            </a:graphic>
          </wp:inline>
        </w:drawing>
      </w:r>
    </w:p>
    <w:p w14:paraId="6A488FD8">
      <w:pPr>
        <w:adjustRightInd w:val="0"/>
        <w:snapToGrid w:val="0"/>
        <w:spacing w:line="288" w:lineRule="auto"/>
        <w:jc w:val="center"/>
        <w:outlineLvl w:val="0"/>
        <w:rPr>
          <w:rFonts w:eastAsia="楷体_GB2312"/>
          <w:sz w:val="36"/>
          <w:szCs w:val="36"/>
        </w:rPr>
        <w:sectPr>
          <w:pgSz w:w="16838" w:h="11906" w:orient="landscape"/>
          <w:pgMar w:top="1531" w:right="1701" w:bottom="1531" w:left="1701" w:header="851" w:footer="1077" w:gutter="0"/>
          <w:paperSrc/>
          <w:cols w:space="0" w:num="1"/>
          <w:rtlGutter w:val="0"/>
          <w:docGrid w:linePitch="312" w:charSpace="0"/>
        </w:sectPr>
      </w:pPr>
    </w:p>
    <w:p w14:paraId="55AF8DB6">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608955" cy="7926705"/>
            <wp:effectExtent l="0" t="0" r="10795" b="17145"/>
            <wp:docPr id="38" name="图片 38" descr="资质页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资质页_页面_07"/>
                    <pic:cNvPicPr>
                      <a:picLocks noChangeAspect="1"/>
                    </pic:cNvPicPr>
                  </pic:nvPicPr>
                  <pic:blipFill>
                    <a:blip r:embed="rId10"/>
                    <a:stretch>
                      <a:fillRect/>
                    </a:stretch>
                  </pic:blipFill>
                  <pic:spPr>
                    <a:xfrm>
                      <a:off x="0" y="0"/>
                      <a:ext cx="5608955" cy="7926705"/>
                    </a:xfrm>
                    <a:prstGeom prst="rect">
                      <a:avLst/>
                    </a:prstGeom>
                  </pic:spPr>
                </pic:pic>
              </a:graphicData>
            </a:graphic>
          </wp:inline>
        </w:drawing>
      </w:r>
    </w:p>
    <w:p w14:paraId="79530EB6">
      <w:pPr>
        <w:rPr>
          <w:rFonts w:hint="eastAsia"/>
          <w:lang w:eastAsia="zh-CN"/>
        </w:rPr>
      </w:pPr>
      <w:r>
        <w:rPr>
          <w:rFonts w:hint="eastAsia"/>
          <w:lang w:eastAsia="zh-CN"/>
        </w:rPr>
        <w:drawing>
          <wp:inline distT="0" distB="0" distL="114300" distR="114300">
            <wp:extent cx="5610225" cy="7924165"/>
            <wp:effectExtent l="0" t="0" r="9525" b="635"/>
            <wp:docPr id="40" name="图片 40" descr="资质页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资质页_页面_09"/>
                    <pic:cNvPicPr>
                      <a:picLocks noChangeAspect="1"/>
                    </pic:cNvPicPr>
                  </pic:nvPicPr>
                  <pic:blipFill>
                    <a:blip r:embed="rId11"/>
                    <a:stretch>
                      <a:fillRect/>
                    </a:stretch>
                  </pic:blipFill>
                  <pic:spPr>
                    <a:xfrm>
                      <a:off x="0" y="0"/>
                      <a:ext cx="5610225" cy="7924165"/>
                    </a:xfrm>
                    <a:prstGeom prst="rect">
                      <a:avLst/>
                    </a:prstGeom>
                  </pic:spPr>
                </pic:pic>
              </a:graphicData>
            </a:graphic>
          </wp:inline>
        </w:drawing>
      </w:r>
    </w:p>
    <w:p w14:paraId="74FCF215">
      <w:pPr>
        <w:pStyle w:val="2"/>
        <w:ind w:left="0" w:leftChars="0" w:firstLine="0" w:firstLineChars="0"/>
        <w:rPr>
          <w:rFonts w:hint="eastAsia"/>
          <w:lang w:eastAsia="zh-CN"/>
        </w:rPr>
      </w:pPr>
      <w:bookmarkStart w:id="59" w:name="_GoBack"/>
      <w:r>
        <w:rPr>
          <w:rFonts w:hint="eastAsia"/>
          <w:lang w:eastAsia="zh-CN"/>
        </w:rPr>
        <w:drawing>
          <wp:inline distT="0" distB="0" distL="114300" distR="114300">
            <wp:extent cx="5610860" cy="7934960"/>
            <wp:effectExtent l="0" t="0" r="8890" b="8890"/>
            <wp:docPr id="41" name="图片 41" descr="修改说明-天和玻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修改说明-天和玻璃"/>
                    <pic:cNvPicPr>
                      <a:picLocks noChangeAspect="1"/>
                    </pic:cNvPicPr>
                  </pic:nvPicPr>
                  <pic:blipFill>
                    <a:blip r:embed="rId12"/>
                    <a:stretch>
                      <a:fillRect/>
                    </a:stretch>
                  </pic:blipFill>
                  <pic:spPr>
                    <a:xfrm>
                      <a:off x="0" y="0"/>
                      <a:ext cx="5610860" cy="7934960"/>
                    </a:xfrm>
                    <a:prstGeom prst="rect">
                      <a:avLst/>
                    </a:prstGeom>
                  </pic:spPr>
                </pic:pic>
              </a:graphicData>
            </a:graphic>
          </wp:inline>
        </w:drawing>
      </w:r>
      <w:bookmarkEnd w:id="59"/>
    </w:p>
    <w:p w14:paraId="62F4A81D">
      <w:pPr>
        <w:pStyle w:val="37"/>
        <w:sectPr>
          <w:pgSz w:w="11906" w:h="16838"/>
          <w:pgMar w:top="1701" w:right="1531" w:bottom="1701" w:left="1531" w:header="851" w:footer="1077" w:gutter="0"/>
          <w:cols w:space="720" w:num="1"/>
          <w:docGrid w:linePitch="312" w:charSpace="0"/>
        </w:sectPr>
      </w:pPr>
    </w:p>
    <w:sdt>
      <w:sdtPr>
        <w:rPr>
          <w:rFonts w:ascii="宋体" w:hAnsi="宋体"/>
        </w:rPr>
        <w:id w:val="147454280"/>
        <w:docPartObj>
          <w:docPartGallery w:val="Table of Contents"/>
          <w:docPartUnique/>
        </w:docPartObj>
      </w:sdtPr>
      <w:sdtEndPr>
        <w:rPr>
          <w:rFonts w:ascii="Times New Roman" w:hAnsi="Times New Roman" w:eastAsia="黑体"/>
          <w:kern w:val="28"/>
          <w:sz w:val="30"/>
          <w:szCs w:val="30"/>
        </w:rPr>
      </w:sdtEndPr>
      <w:sdtContent>
        <w:p w14:paraId="4F8BF63E">
          <w:pPr>
            <w:spacing w:before="120" w:beforeLines="50" w:after="120" w:afterLines="50" w:line="360" w:lineRule="auto"/>
            <w:jc w:val="center"/>
            <w:rPr>
              <w:sz w:val="28"/>
              <w:szCs w:val="28"/>
            </w:rPr>
          </w:pPr>
          <w:r>
            <w:rPr>
              <w:b/>
              <w:bCs/>
              <w:sz w:val="36"/>
              <w:szCs w:val="36"/>
            </w:rPr>
            <w:t>目  录</w:t>
          </w:r>
        </w:p>
        <w:p w14:paraId="3B6833BC">
          <w:pPr>
            <w:pStyle w:val="23"/>
            <w:tabs>
              <w:tab w:val="right" w:leader="dot" w:pos="8834"/>
            </w:tabs>
            <w:spacing w:before="0" w:after="0" w:line="360" w:lineRule="auto"/>
            <w:rPr>
              <w:rFonts w:asciiTheme="minorHAnsi" w:hAnsiTheme="minorHAnsi" w:eastAsiaTheme="minorEastAsia" w:cstheme="minorBidi"/>
              <w:b w:val="0"/>
              <w:bCs w:val="0"/>
              <w:caps w:val="0"/>
              <w:sz w:val="28"/>
              <w:szCs w:val="28"/>
            </w:rPr>
          </w:pPr>
          <w:r>
            <w:rPr>
              <w:b w:val="0"/>
              <w:kern w:val="0"/>
              <w:sz w:val="28"/>
              <w:szCs w:val="28"/>
            </w:rPr>
            <w:fldChar w:fldCharType="begin"/>
          </w:r>
          <w:r>
            <w:rPr>
              <w:b w:val="0"/>
              <w:kern w:val="0"/>
              <w:sz w:val="28"/>
              <w:szCs w:val="28"/>
            </w:rPr>
            <w:instrText xml:space="preserve">TOC \o "1-1" \h \u </w:instrText>
          </w:r>
          <w:r>
            <w:rPr>
              <w:b w:val="0"/>
              <w:kern w:val="0"/>
              <w:sz w:val="28"/>
              <w:szCs w:val="28"/>
            </w:rPr>
            <w:fldChar w:fldCharType="separate"/>
          </w:r>
          <w:r>
            <w:fldChar w:fldCharType="begin"/>
          </w:r>
          <w:r>
            <w:instrText xml:space="preserve"> HYPERLINK \l "_Toc157673384" </w:instrText>
          </w:r>
          <w:r>
            <w:fldChar w:fldCharType="separate"/>
          </w:r>
          <w:r>
            <w:rPr>
              <w:rStyle w:val="44"/>
              <w:rFonts w:hint="eastAsia"/>
              <w:b w:val="0"/>
              <w:color w:val="auto"/>
              <w:sz w:val="28"/>
              <w:szCs w:val="28"/>
            </w:rPr>
            <w:t>一、建设项目基本情况</w:t>
          </w:r>
          <w:r>
            <w:rPr>
              <w:b w:val="0"/>
              <w:sz w:val="28"/>
              <w:szCs w:val="28"/>
            </w:rPr>
            <w:tab/>
          </w:r>
          <w:r>
            <w:rPr>
              <w:b w:val="0"/>
              <w:sz w:val="28"/>
              <w:szCs w:val="28"/>
            </w:rPr>
            <w:fldChar w:fldCharType="begin"/>
          </w:r>
          <w:r>
            <w:rPr>
              <w:b w:val="0"/>
              <w:sz w:val="28"/>
              <w:szCs w:val="28"/>
            </w:rPr>
            <w:instrText xml:space="preserve"> PAGEREF _Toc157673384 \h </w:instrText>
          </w:r>
          <w:r>
            <w:rPr>
              <w:b w:val="0"/>
              <w:sz w:val="28"/>
              <w:szCs w:val="28"/>
            </w:rPr>
            <w:fldChar w:fldCharType="separate"/>
          </w:r>
          <w:r>
            <w:rPr>
              <w:b w:val="0"/>
              <w:sz w:val="28"/>
              <w:szCs w:val="28"/>
            </w:rPr>
            <w:t>1</w:t>
          </w:r>
          <w:r>
            <w:rPr>
              <w:b w:val="0"/>
              <w:sz w:val="28"/>
              <w:szCs w:val="28"/>
            </w:rPr>
            <w:fldChar w:fldCharType="end"/>
          </w:r>
          <w:r>
            <w:rPr>
              <w:b w:val="0"/>
              <w:sz w:val="28"/>
              <w:szCs w:val="28"/>
            </w:rPr>
            <w:fldChar w:fldCharType="end"/>
          </w:r>
        </w:p>
        <w:p w14:paraId="686949F7">
          <w:pPr>
            <w:pStyle w:val="23"/>
            <w:tabs>
              <w:tab w:val="right" w:leader="dot" w:pos="8834"/>
            </w:tabs>
            <w:spacing w:before="0" w:after="0" w:line="360" w:lineRule="auto"/>
            <w:rPr>
              <w:rFonts w:asciiTheme="minorHAnsi" w:hAnsiTheme="minorHAnsi" w:eastAsiaTheme="minorEastAsia" w:cstheme="minorBidi"/>
              <w:b w:val="0"/>
              <w:bCs w:val="0"/>
              <w:caps w:val="0"/>
              <w:sz w:val="28"/>
              <w:szCs w:val="28"/>
            </w:rPr>
          </w:pPr>
          <w:r>
            <w:fldChar w:fldCharType="begin"/>
          </w:r>
          <w:r>
            <w:instrText xml:space="preserve"> HYPERLINK \l "_Toc157673385" </w:instrText>
          </w:r>
          <w:r>
            <w:fldChar w:fldCharType="separate"/>
          </w:r>
          <w:r>
            <w:rPr>
              <w:rStyle w:val="44"/>
              <w:rFonts w:hint="eastAsia"/>
              <w:b w:val="0"/>
              <w:color w:val="auto"/>
              <w:sz w:val="28"/>
              <w:szCs w:val="28"/>
            </w:rPr>
            <w:t>二、建设项目工程分析</w:t>
          </w:r>
          <w:r>
            <w:rPr>
              <w:b w:val="0"/>
              <w:sz w:val="28"/>
              <w:szCs w:val="28"/>
            </w:rPr>
            <w:tab/>
          </w:r>
          <w:r>
            <w:rPr>
              <w:b w:val="0"/>
              <w:sz w:val="28"/>
              <w:szCs w:val="28"/>
            </w:rPr>
            <w:fldChar w:fldCharType="begin"/>
          </w:r>
          <w:r>
            <w:rPr>
              <w:b w:val="0"/>
              <w:sz w:val="28"/>
              <w:szCs w:val="28"/>
            </w:rPr>
            <w:instrText xml:space="preserve"> PAGEREF _Toc157673385 \h </w:instrText>
          </w:r>
          <w:r>
            <w:rPr>
              <w:b w:val="0"/>
              <w:sz w:val="28"/>
              <w:szCs w:val="28"/>
            </w:rPr>
            <w:fldChar w:fldCharType="separate"/>
          </w:r>
          <w:r>
            <w:rPr>
              <w:b w:val="0"/>
              <w:sz w:val="28"/>
              <w:szCs w:val="28"/>
            </w:rPr>
            <w:t>34</w:t>
          </w:r>
          <w:r>
            <w:rPr>
              <w:b w:val="0"/>
              <w:sz w:val="28"/>
              <w:szCs w:val="28"/>
            </w:rPr>
            <w:fldChar w:fldCharType="end"/>
          </w:r>
          <w:r>
            <w:rPr>
              <w:b w:val="0"/>
              <w:sz w:val="28"/>
              <w:szCs w:val="28"/>
            </w:rPr>
            <w:fldChar w:fldCharType="end"/>
          </w:r>
        </w:p>
        <w:p w14:paraId="0D9ABCEE">
          <w:pPr>
            <w:pStyle w:val="23"/>
            <w:tabs>
              <w:tab w:val="right" w:leader="dot" w:pos="8834"/>
            </w:tabs>
            <w:spacing w:before="0" w:after="0" w:line="360" w:lineRule="auto"/>
            <w:rPr>
              <w:rFonts w:asciiTheme="minorHAnsi" w:hAnsiTheme="minorHAnsi" w:eastAsiaTheme="minorEastAsia" w:cstheme="minorBidi"/>
              <w:b w:val="0"/>
              <w:bCs w:val="0"/>
              <w:caps w:val="0"/>
              <w:sz w:val="28"/>
              <w:szCs w:val="28"/>
            </w:rPr>
          </w:pPr>
          <w:r>
            <w:fldChar w:fldCharType="begin"/>
          </w:r>
          <w:r>
            <w:instrText xml:space="preserve"> HYPERLINK \l "_Toc157673388" </w:instrText>
          </w:r>
          <w:r>
            <w:fldChar w:fldCharType="separate"/>
          </w:r>
          <w:r>
            <w:rPr>
              <w:rStyle w:val="44"/>
              <w:rFonts w:hint="eastAsia"/>
              <w:b w:val="0"/>
              <w:color w:val="auto"/>
              <w:sz w:val="28"/>
              <w:szCs w:val="28"/>
            </w:rPr>
            <w:t>三、区域环境质量现状、环境保护目标及评价标准</w:t>
          </w:r>
          <w:r>
            <w:rPr>
              <w:b w:val="0"/>
              <w:sz w:val="28"/>
              <w:szCs w:val="28"/>
            </w:rPr>
            <w:tab/>
          </w:r>
          <w:r>
            <w:rPr>
              <w:b w:val="0"/>
              <w:sz w:val="28"/>
              <w:szCs w:val="28"/>
            </w:rPr>
            <w:fldChar w:fldCharType="begin"/>
          </w:r>
          <w:r>
            <w:rPr>
              <w:b w:val="0"/>
              <w:sz w:val="28"/>
              <w:szCs w:val="28"/>
            </w:rPr>
            <w:instrText xml:space="preserve"> PAGEREF _Toc157673388 \h </w:instrText>
          </w:r>
          <w:r>
            <w:rPr>
              <w:b w:val="0"/>
              <w:sz w:val="28"/>
              <w:szCs w:val="28"/>
            </w:rPr>
            <w:fldChar w:fldCharType="separate"/>
          </w:r>
          <w:r>
            <w:rPr>
              <w:b w:val="0"/>
              <w:sz w:val="28"/>
              <w:szCs w:val="28"/>
            </w:rPr>
            <w:t>53</w:t>
          </w:r>
          <w:r>
            <w:rPr>
              <w:b w:val="0"/>
              <w:sz w:val="28"/>
              <w:szCs w:val="28"/>
            </w:rPr>
            <w:fldChar w:fldCharType="end"/>
          </w:r>
          <w:r>
            <w:rPr>
              <w:b w:val="0"/>
              <w:sz w:val="28"/>
              <w:szCs w:val="28"/>
            </w:rPr>
            <w:fldChar w:fldCharType="end"/>
          </w:r>
        </w:p>
        <w:p w14:paraId="21DD95F4">
          <w:pPr>
            <w:pStyle w:val="23"/>
            <w:tabs>
              <w:tab w:val="right" w:leader="dot" w:pos="8834"/>
            </w:tabs>
            <w:spacing w:before="0" w:after="0" w:line="360" w:lineRule="auto"/>
            <w:rPr>
              <w:rFonts w:asciiTheme="minorHAnsi" w:hAnsiTheme="minorHAnsi" w:eastAsiaTheme="minorEastAsia" w:cstheme="minorBidi"/>
              <w:b w:val="0"/>
              <w:bCs w:val="0"/>
              <w:caps w:val="0"/>
              <w:sz w:val="28"/>
              <w:szCs w:val="28"/>
            </w:rPr>
          </w:pPr>
          <w:r>
            <w:fldChar w:fldCharType="begin"/>
          </w:r>
          <w:r>
            <w:instrText xml:space="preserve"> HYPERLINK \l "_Toc157673389" </w:instrText>
          </w:r>
          <w:r>
            <w:fldChar w:fldCharType="separate"/>
          </w:r>
          <w:r>
            <w:rPr>
              <w:rStyle w:val="44"/>
              <w:rFonts w:hint="eastAsia"/>
              <w:b w:val="0"/>
              <w:color w:val="auto"/>
              <w:sz w:val="28"/>
              <w:szCs w:val="28"/>
            </w:rPr>
            <w:t>四、主要环境影响和保护措施</w:t>
          </w:r>
          <w:r>
            <w:rPr>
              <w:b w:val="0"/>
              <w:sz w:val="28"/>
              <w:szCs w:val="28"/>
            </w:rPr>
            <w:tab/>
          </w:r>
          <w:r>
            <w:rPr>
              <w:b w:val="0"/>
              <w:sz w:val="28"/>
              <w:szCs w:val="28"/>
            </w:rPr>
            <w:fldChar w:fldCharType="begin"/>
          </w:r>
          <w:r>
            <w:rPr>
              <w:b w:val="0"/>
              <w:sz w:val="28"/>
              <w:szCs w:val="28"/>
            </w:rPr>
            <w:instrText xml:space="preserve"> PAGEREF _Toc157673389 \h </w:instrText>
          </w:r>
          <w:r>
            <w:rPr>
              <w:b w:val="0"/>
              <w:sz w:val="28"/>
              <w:szCs w:val="28"/>
            </w:rPr>
            <w:fldChar w:fldCharType="separate"/>
          </w:r>
          <w:r>
            <w:rPr>
              <w:b w:val="0"/>
              <w:sz w:val="28"/>
              <w:szCs w:val="28"/>
            </w:rPr>
            <w:t>61</w:t>
          </w:r>
          <w:r>
            <w:rPr>
              <w:b w:val="0"/>
              <w:sz w:val="28"/>
              <w:szCs w:val="28"/>
            </w:rPr>
            <w:fldChar w:fldCharType="end"/>
          </w:r>
          <w:r>
            <w:rPr>
              <w:b w:val="0"/>
              <w:sz w:val="28"/>
              <w:szCs w:val="28"/>
            </w:rPr>
            <w:fldChar w:fldCharType="end"/>
          </w:r>
        </w:p>
        <w:p w14:paraId="4AEA5118">
          <w:pPr>
            <w:pStyle w:val="23"/>
            <w:tabs>
              <w:tab w:val="right" w:leader="dot" w:pos="8834"/>
            </w:tabs>
            <w:spacing w:before="0" w:after="0" w:line="360" w:lineRule="auto"/>
            <w:rPr>
              <w:rFonts w:asciiTheme="minorHAnsi" w:hAnsiTheme="minorHAnsi" w:eastAsiaTheme="minorEastAsia" w:cstheme="minorBidi"/>
              <w:b w:val="0"/>
              <w:bCs w:val="0"/>
              <w:caps w:val="0"/>
              <w:sz w:val="28"/>
              <w:szCs w:val="28"/>
            </w:rPr>
          </w:pPr>
          <w:r>
            <w:fldChar w:fldCharType="begin"/>
          </w:r>
          <w:r>
            <w:instrText xml:space="preserve"> HYPERLINK \l "_Toc157673453" </w:instrText>
          </w:r>
          <w:r>
            <w:fldChar w:fldCharType="separate"/>
          </w:r>
          <w:r>
            <w:rPr>
              <w:rStyle w:val="44"/>
              <w:rFonts w:hint="eastAsia"/>
              <w:b w:val="0"/>
              <w:color w:val="auto"/>
              <w:sz w:val="28"/>
              <w:szCs w:val="28"/>
            </w:rPr>
            <w:t>五、环境保护措施监督检查清单</w:t>
          </w:r>
          <w:r>
            <w:rPr>
              <w:b w:val="0"/>
              <w:sz w:val="28"/>
              <w:szCs w:val="28"/>
            </w:rPr>
            <w:tab/>
          </w:r>
          <w:r>
            <w:rPr>
              <w:b w:val="0"/>
              <w:sz w:val="28"/>
              <w:szCs w:val="28"/>
            </w:rPr>
            <w:fldChar w:fldCharType="begin"/>
          </w:r>
          <w:r>
            <w:rPr>
              <w:b w:val="0"/>
              <w:sz w:val="28"/>
              <w:szCs w:val="28"/>
            </w:rPr>
            <w:instrText xml:space="preserve"> PAGEREF _Toc157673453 \h </w:instrText>
          </w:r>
          <w:r>
            <w:rPr>
              <w:b w:val="0"/>
              <w:sz w:val="28"/>
              <w:szCs w:val="28"/>
            </w:rPr>
            <w:fldChar w:fldCharType="separate"/>
          </w:r>
          <w:r>
            <w:rPr>
              <w:b w:val="0"/>
              <w:sz w:val="28"/>
              <w:szCs w:val="28"/>
            </w:rPr>
            <w:t>94</w:t>
          </w:r>
          <w:r>
            <w:rPr>
              <w:b w:val="0"/>
              <w:sz w:val="28"/>
              <w:szCs w:val="28"/>
            </w:rPr>
            <w:fldChar w:fldCharType="end"/>
          </w:r>
          <w:r>
            <w:rPr>
              <w:b w:val="0"/>
              <w:sz w:val="28"/>
              <w:szCs w:val="28"/>
            </w:rPr>
            <w:fldChar w:fldCharType="end"/>
          </w:r>
        </w:p>
        <w:p w14:paraId="31DBF659">
          <w:pPr>
            <w:pStyle w:val="23"/>
            <w:tabs>
              <w:tab w:val="right" w:leader="dot" w:pos="8834"/>
            </w:tabs>
            <w:spacing w:before="0" w:after="0" w:line="360" w:lineRule="auto"/>
            <w:rPr>
              <w:rFonts w:asciiTheme="minorHAnsi" w:hAnsiTheme="minorHAnsi" w:eastAsiaTheme="minorEastAsia" w:cstheme="minorBidi"/>
              <w:b w:val="0"/>
              <w:bCs w:val="0"/>
              <w:caps w:val="0"/>
              <w:sz w:val="28"/>
              <w:szCs w:val="28"/>
            </w:rPr>
          </w:pPr>
          <w:r>
            <w:fldChar w:fldCharType="begin"/>
          </w:r>
          <w:r>
            <w:instrText xml:space="preserve"> HYPERLINK \l "_Toc157673454" </w:instrText>
          </w:r>
          <w:r>
            <w:fldChar w:fldCharType="separate"/>
          </w:r>
          <w:r>
            <w:rPr>
              <w:rStyle w:val="44"/>
              <w:rFonts w:hint="eastAsia"/>
              <w:b w:val="0"/>
              <w:color w:val="auto"/>
              <w:sz w:val="28"/>
              <w:szCs w:val="28"/>
            </w:rPr>
            <w:t>六、结论</w:t>
          </w:r>
          <w:r>
            <w:rPr>
              <w:b w:val="0"/>
              <w:sz w:val="28"/>
              <w:szCs w:val="28"/>
            </w:rPr>
            <w:tab/>
          </w:r>
          <w:r>
            <w:rPr>
              <w:b w:val="0"/>
              <w:sz w:val="28"/>
              <w:szCs w:val="28"/>
            </w:rPr>
            <w:fldChar w:fldCharType="begin"/>
          </w:r>
          <w:r>
            <w:rPr>
              <w:b w:val="0"/>
              <w:sz w:val="28"/>
              <w:szCs w:val="28"/>
            </w:rPr>
            <w:instrText xml:space="preserve"> PAGEREF _Toc157673454 \h </w:instrText>
          </w:r>
          <w:r>
            <w:rPr>
              <w:b w:val="0"/>
              <w:sz w:val="28"/>
              <w:szCs w:val="28"/>
            </w:rPr>
            <w:fldChar w:fldCharType="separate"/>
          </w:r>
          <w:r>
            <w:rPr>
              <w:b w:val="0"/>
              <w:sz w:val="28"/>
              <w:szCs w:val="28"/>
            </w:rPr>
            <w:t>97</w:t>
          </w:r>
          <w:r>
            <w:rPr>
              <w:b w:val="0"/>
              <w:sz w:val="28"/>
              <w:szCs w:val="28"/>
            </w:rPr>
            <w:fldChar w:fldCharType="end"/>
          </w:r>
          <w:r>
            <w:rPr>
              <w:b w:val="0"/>
              <w:sz w:val="28"/>
              <w:szCs w:val="28"/>
            </w:rPr>
            <w:fldChar w:fldCharType="end"/>
          </w:r>
        </w:p>
        <w:p w14:paraId="75B203A2">
          <w:pPr>
            <w:pStyle w:val="23"/>
            <w:tabs>
              <w:tab w:val="right" w:leader="dot" w:pos="8834"/>
            </w:tabs>
            <w:spacing w:before="0" w:after="0" w:line="360" w:lineRule="auto"/>
            <w:rPr>
              <w:rFonts w:asciiTheme="minorHAnsi" w:hAnsiTheme="minorHAnsi" w:eastAsiaTheme="minorEastAsia" w:cstheme="minorBidi"/>
              <w:b w:val="0"/>
              <w:bCs w:val="0"/>
              <w:caps w:val="0"/>
              <w:sz w:val="28"/>
              <w:szCs w:val="28"/>
            </w:rPr>
          </w:pPr>
          <w:r>
            <w:fldChar w:fldCharType="begin"/>
          </w:r>
          <w:r>
            <w:instrText xml:space="preserve"> HYPERLINK \l "_Toc157673455" </w:instrText>
          </w:r>
          <w:r>
            <w:fldChar w:fldCharType="separate"/>
          </w:r>
          <w:r>
            <w:rPr>
              <w:rStyle w:val="44"/>
              <w:rFonts w:hint="eastAsia"/>
              <w:b w:val="0"/>
              <w:color w:val="auto"/>
              <w:sz w:val="28"/>
              <w:szCs w:val="28"/>
            </w:rPr>
            <w:t>建设项目污染物排放量汇总表</w:t>
          </w:r>
          <w:r>
            <w:rPr>
              <w:b w:val="0"/>
              <w:sz w:val="28"/>
              <w:szCs w:val="28"/>
            </w:rPr>
            <w:tab/>
          </w:r>
          <w:r>
            <w:rPr>
              <w:b w:val="0"/>
              <w:sz w:val="28"/>
              <w:szCs w:val="28"/>
            </w:rPr>
            <w:fldChar w:fldCharType="begin"/>
          </w:r>
          <w:r>
            <w:rPr>
              <w:b w:val="0"/>
              <w:sz w:val="28"/>
              <w:szCs w:val="28"/>
            </w:rPr>
            <w:instrText xml:space="preserve"> PAGEREF _Toc157673455 \h </w:instrText>
          </w:r>
          <w:r>
            <w:rPr>
              <w:b w:val="0"/>
              <w:sz w:val="28"/>
              <w:szCs w:val="28"/>
            </w:rPr>
            <w:fldChar w:fldCharType="separate"/>
          </w:r>
          <w:r>
            <w:rPr>
              <w:b w:val="0"/>
              <w:sz w:val="28"/>
              <w:szCs w:val="28"/>
            </w:rPr>
            <w:t>98</w:t>
          </w:r>
          <w:r>
            <w:rPr>
              <w:b w:val="0"/>
              <w:sz w:val="28"/>
              <w:szCs w:val="28"/>
            </w:rPr>
            <w:fldChar w:fldCharType="end"/>
          </w:r>
          <w:r>
            <w:rPr>
              <w:b w:val="0"/>
              <w:sz w:val="28"/>
              <w:szCs w:val="28"/>
            </w:rPr>
            <w:fldChar w:fldCharType="end"/>
          </w:r>
        </w:p>
        <w:p w14:paraId="3AF3368B">
          <w:pPr>
            <w:widowControl/>
            <w:tabs>
              <w:tab w:val="right" w:leader="dot" w:pos="8732"/>
            </w:tabs>
            <w:jc w:val="left"/>
            <w:rPr>
              <w:rFonts w:eastAsia="黑体"/>
              <w:kern w:val="28"/>
              <w:sz w:val="30"/>
              <w:szCs w:val="30"/>
            </w:rPr>
          </w:pPr>
          <w:r>
            <w:rPr>
              <w:kern w:val="0"/>
              <w:sz w:val="28"/>
              <w:szCs w:val="28"/>
            </w:rPr>
            <w:fldChar w:fldCharType="end"/>
          </w:r>
        </w:p>
      </w:sdtContent>
    </w:sdt>
    <w:p w14:paraId="19C86D0B">
      <w:pPr>
        <w:sectPr>
          <w:pgSz w:w="11906" w:h="16838"/>
          <w:pgMar w:top="1701" w:right="1531" w:bottom="1701" w:left="1531" w:header="851" w:footer="1077" w:gutter="0"/>
          <w:cols w:space="720" w:num="1"/>
          <w:docGrid w:linePitch="312" w:charSpace="0"/>
        </w:sectPr>
      </w:pPr>
    </w:p>
    <w:p w14:paraId="13860946">
      <w:pPr>
        <w:widowControl/>
        <w:spacing w:line="360" w:lineRule="auto"/>
        <w:jc w:val="left"/>
        <w:outlineLvl w:val="0"/>
        <w:rPr>
          <w:kern w:val="28"/>
          <w:sz w:val="30"/>
          <w:szCs w:val="30"/>
        </w:rPr>
      </w:pPr>
      <w:r>
        <w:rPr>
          <w:b/>
          <w:bCs/>
          <w:kern w:val="28"/>
          <w:sz w:val="30"/>
          <w:szCs w:val="30"/>
        </w:rPr>
        <w:t>附图：</w:t>
      </w:r>
    </w:p>
    <w:p w14:paraId="69BF8E62">
      <w:pPr>
        <w:spacing w:line="360" w:lineRule="auto"/>
        <w:rPr>
          <w:sz w:val="28"/>
        </w:rPr>
      </w:pPr>
      <w:r>
        <w:rPr>
          <w:sz w:val="28"/>
        </w:rPr>
        <w:t>附图1：项目地理位置图</w:t>
      </w:r>
    </w:p>
    <w:p w14:paraId="25022C66">
      <w:pPr>
        <w:spacing w:line="360" w:lineRule="auto"/>
        <w:rPr>
          <w:sz w:val="28"/>
        </w:rPr>
      </w:pPr>
      <w:r>
        <w:rPr>
          <w:sz w:val="28"/>
        </w:rPr>
        <w:t>附图2：项目在河南省“三线一单”生态环境分区管控更新成果（2023年版）图件中的相对位置</w:t>
      </w:r>
    </w:p>
    <w:p w14:paraId="56526658">
      <w:pPr>
        <w:spacing w:line="360" w:lineRule="auto"/>
        <w:rPr>
          <w:sz w:val="28"/>
        </w:rPr>
      </w:pPr>
      <w:r>
        <w:rPr>
          <w:sz w:val="28"/>
        </w:rPr>
        <w:t>附图3：</w:t>
      </w:r>
      <w:r>
        <w:rPr>
          <w:rFonts w:hint="eastAsia"/>
          <w:sz w:val="28"/>
        </w:rPr>
        <w:t>项目周边环境四至图</w:t>
      </w:r>
    </w:p>
    <w:p w14:paraId="1AA1EFDE">
      <w:pPr>
        <w:spacing w:line="360" w:lineRule="auto"/>
        <w:rPr>
          <w:sz w:val="28"/>
        </w:rPr>
      </w:pPr>
      <w:r>
        <w:rPr>
          <w:sz w:val="28"/>
        </w:rPr>
        <w:t>附图</w:t>
      </w:r>
      <w:r>
        <w:rPr>
          <w:rFonts w:hint="eastAsia"/>
          <w:sz w:val="28"/>
        </w:rPr>
        <w:t>4：</w:t>
      </w:r>
      <w:r>
        <w:rPr>
          <w:sz w:val="28"/>
        </w:rPr>
        <w:t>项目总平面布置图</w:t>
      </w:r>
    </w:p>
    <w:p w14:paraId="79AF6062">
      <w:pPr>
        <w:spacing w:line="360" w:lineRule="auto"/>
        <w:rPr>
          <w:sz w:val="28"/>
        </w:rPr>
      </w:pPr>
      <w:r>
        <w:rPr>
          <w:sz w:val="28"/>
        </w:rPr>
        <w:t>附图</w:t>
      </w:r>
      <w:r>
        <w:rPr>
          <w:rFonts w:hint="eastAsia"/>
          <w:sz w:val="28"/>
        </w:rPr>
        <w:t>5</w:t>
      </w:r>
      <w:r>
        <w:rPr>
          <w:sz w:val="28"/>
        </w:rPr>
        <w:t>：项目周边500m范围敏感点分布图</w:t>
      </w:r>
    </w:p>
    <w:p w14:paraId="10C347CB">
      <w:pPr>
        <w:spacing w:line="360" w:lineRule="auto"/>
        <w:rPr>
          <w:sz w:val="28"/>
        </w:rPr>
      </w:pPr>
      <w:r>
        <w:rPr>
          <w:sz w:val="28"/>
        </w:rPr>
        <w:t>附图</w:t>
      </w:r>
      <w:r>
        <w:rPr>
          <w:rFonts w:hint="eastAsia"/>
          <w:sz w:val="28"/>
        </w:rPr>
        <w:t>6</w:t>
      </w:r>
      <w:r>
        <w:rPr>
          <w:sz w:val="28"/>
        </w:rPr>
        <w:t>：</w:t>
      </w:r>
      <w:r>
        <w:rPr>
          <w:rFonts w:hint="eastAsia"/>
          <w:sz w:val="28"/>
        </w:rPr>
        <w:t>项目在清丰县先进制造业开发区发展规划（2022-2035）用地规划图中的位置</w:t>
      </w:r>
    </w:p>
    <w:p w14:paraId="4B3EB8E9">
      <w:pPr>
        <w:spacing w:line="360" w:lineRule="auto"/>
        <w:rPr>
          <w:sz w:val="28"/>
        </w:rPr>
      </w:pPr>
      <w:r>
        <w:rPr>
          <w:rFonts w:hint="eastAsia"/>
          <w:sz w:val="28"/>
        </w:rPr>
        <w:t>附图7：项目在清丰县先进制造业开发区发展规划（2022-2035）产业功能布局图中的位置</w:t>
      </w:r>
    </w:p>
    <w:p w14:paraId="3F7D451F">
      <w:pPr>
        <w:spacing w:line="360" w:lineRule="auto"/>
        <w:rPr>
          <w:sz w:val="28"/>
        </w:rPr>
      </w:pPr>
      <w:r>
        <w:rPr>
          <w:sz w:val="28"/>
        </w:rPr>
        <w:t>附图</w:t>
      </w:r>
      <w:r>
        <w:rPr>
          <w:rFonts w:hint="eastAsia"/>
          <w:sz w:val="28"/>
        </w:rPr>
        <w:t>8</w:t>
      </w:r>
      <w:r>
        <w:rPr>
          <w:sz w:val="28"/>
        </w:rPr>
        <w:t>：项目现场照片</w:t>
      </w:r>
    </w:p>
    <w:p w14:paraId="49DC1782">
      <w:pPr>
        <w:widowControl/>
        <w:spacing w:line="360" w:lineRule="auto"/>
        <w:jc w:val="left"/>
        <w:outlineLvl w:val="0"/>
        <w:rPr>
          <w:b/>
          <w:bCs/>
          <w:kern w:val="28"/>
          <w:sz w:val="30"/>
          <w:szCs w:val="30"/>
        </w:rPr>
      </w:pPr>
      <w:r>
        <w:rPr>
          <w:b/>
          <w:bCs/>
          <w:kern w:val="28"/>
          <w:sz w:val="30"/>
          <w:szCs w:val="30"/>
        </w:rPr>
        <w:t>附件：</w:t>
      </w:r>
    </w:p>
    <w:p w14:paraId="59EAB7EF">
      <w:pPr>
        <w:spacing w:line="360" w:lineRule="auto"/>
        <w:rPr>
          <w:sz w:val="28"/>
        </w:rPr>
      </w:pPr>
      <w:r>
        <w:rPr>
          <w:sz w:val="28"/>
        </w:rPr>
        <w:t>附件1：项目备案证明</w:t>
      </w:r>
    </w:p>
    <w:p w14:paraId="7504347F">
      <w:pPr>
        <w:spacing w:line="360" w:lineRule="auto"/>
        <w:rPr>
          <w:sz w:val="28"/>
        </w:rPr>
      </w:pPr>
      <w:r>
        <w:rPr>
          <w:sz w:val="28"/>
        </w:rPr>
        <w:t>附件2：项目委托书</w:t>
      </w:r>
    </w:p>
    <w:p w14:paraId="12AEA114">
      <w:pPr>
        <w:spacing w:line="360" w:lineRule="auto"/>
        <w:rPr>
          <w:sz w:val="28"/>
        </w:rPr>
      </w:pPr>
      <w:r>
        <w:rPr>
          <w:sz w:val="28"/>
        </w:rPr>
        <w:t>附件3：真实性承诺书</w:t>
      </w:r>
    </w:p>
    <w:p w14:paraId="48E03436">
      <w:pPr>
        <w:spacing w:line="360" w:lineRule="auto"/>
        <w:rPr>
          <w:sz w:val="28"/>
        </w:rPr>
      </w:pPr>
      <w:r>
        <w:rPr>
          <w:sz w:val="28"/>
        </w:rPr>
        <w:t>附件4：</w:t>
      </w:r>
      <w:r>
        <w:rPr>
          <w:rFonts w:hint="eastAsia"/>
          <w:sz w:val="28"/>
        </w:rPr>
        <w:t>原有环评批文</w:t>
      </w:r>
    </w:p>
    <w:p w14:paraId="72651BCA">
      <w:pPr>
        <w:spacing w:line="360" w:lineRule="auto"/>
        <w:rPr>
          <w:sz w:val="28"/>
        </w:rPr>
      </w:pPr>
      <w:r>
        <w:rPr>
          <w:rFonts w:hint="eastAsia"/>
          <w:sz w:val="28"/>
        </w:rPr>
        <w:t>附件5：</w:t>
      </w:r>
      <w:r>
        <w:rPr>
          <w:sz w:val="28"/>
        </w:rPr>
        <w:t>园区入驻证明</w:t>
      </w:r>
    </w:p>
    <w:p w14:paraId="33CF02AC">
      <w:pPr>
        <w:spacing w:line="360" w:lineRule="auto"/>
        <w:rPr>
          <w:rFonts w:ascii="Times New Roman" w:hAnsi="Times New Roman" w:eastAsia="宋体" w:cs="Times New Roman"/>
          <w:sz w:val="28"/>
          <w:u w:val="single"/>
        </w:rPr>
      </w:pPr>
      <w:r>
        <w:rPr>
          <w:rFonts w:hint="eastAsia" w:ascii="Times New Roman" w:hAnsi="Times New Roman" w:eastAsia="宋体" w:cs="Times New Roman"/>
          <w:sz w:val="28"/>
          <w:u w:val="single"/>
        </w:rPr>
        <w:t>附件6</w:t>
      </w:r>
      <w:r>
        <w:rPr>
          <w:rFonts w:hint="eastAsia" w:ascii="Times New Roman" w:hAnsi="Times New Roman" w:eastAsia="宋体" w:cs="Times New Roman"/>
          <w:sz w:val="28"/>
          <w:u w:val="single"/>
          <w:lang w:eastAsia="zh-CN"/>
        </w:rPr>
        <w:t>：</w:t>
      </w:r>
      <w:r>
        <w:rPr>
          <w:rFonts w:hint="eastAsia" w:ascii="Times New Roman" w:hAnsi="Times New Roman" w:eastAsia="宋体" w:cs="Times New Roman"/>
          <w:sz w:val="28"/>
          <w:u w:val="single"/>
        </w:rPr>
        <w:t>厂房租赁合同</w:t>
      </w:r>
    </w:p>
    <w:p w14:paraId="5245EB5B">
      <w:pPr>
        <w:spacing w:line="360" w:lineRule="auto"/>
        <w:rPr>
          <w:sz w:val="28"/>
          <w:u w:val="single"/>
        </w:rPr>
      </w:pPr>
      <w:r>
        <w:rPr>
          <w:rFonts w:hint="eastAsia"/>
          <w:sz w:val="28"/>
          <w:u w:val="single"/>
          <w:lang w:val="en-US" w:eastAsia="zh-CN"/>
        </w:rPr>
        <w:t>附件7：</w:t>
      </w:r>
      <w:r>
        <w:rPr>
          <w:rFonts w:hint="eastAsia"/>
          <w:sz w:val="28"/>
          <w:u w:val="single"/>
        </w:rPr>
        <w:t>叶茂家具不再建设承诺书</w:t>
      </w:r>
    </w:p>
    <w:p w14:paraId="041FAAAA">
      <w:pPr>
        <w:spacing w:line="360" w:lineRule="auto"/>
        <w:rPr>
          <w:sz w:val="28"/>
        </w:rPr>
        <w:sectPr>
          <w:pgSz w:w="11906" w:h="16838"/>
          <w:pgMar w:top="1701" w:right="1531" w:bottom="1701" w:left="1531" w:header="851" w:footer="1077" w:gutter="0"/>
          <w:cols w:space="720" w:num="1"/>
          <w:docGrid w:linePitch="312" w:charSpace="0"/>
        </w:sectPr>
      </w:pPr>
      <w:r>
        <w:rPr>
          <w:sz w:val="28"/>
        </w:rPr>
        <w:t>附件</w:t>
      </w:r>
      <w:r>
        <w:rPr>
          <w:rFonts w:hint="eastAsia"/>
          <w:sz w:val="28"/>
          <w:lang w:val="en-US" w:eastAsia="zh-CN"/>
        </w:rPr>
        <w:t>8</w:t>
      </w:r>
      <w:r>
        <w:rPr>
          <w:sz w:val="28"/>
        </w:rPr>
        <w:t>：企业营业</w:t>
      </w:r>
      <w:r>
        <w:rPr>
          <w:rFonts w:hint="eastAsia"/>
          <w:sz w:val="28"/>
        </w:rPr>
        <w:t>执照</w:t>
      </w:r>
    </w:p>
    <w:p w14:paraId="3718346B">
      <w:pPr>
        <w:pStyle w:val="34"/>
      </w:pPr>
      <w:bookmarkStart w:id="0" w:name="_Toc157673384"/>
      <w:r>
        <w:rPr>
          <w:rFonts w:hint="eastAsia"/>
        </w:rPr>
        <w:t>一、建设项目基本情况</w:t>
      </w:r>
      <w:bookmarkEnd w:id="0"/>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38"/>
        <w:gridCol w:w="2581"/>
        <w:gridCol w:w="2212"/>
        <w:gridCol w:w="2639"/>
      </w:tblGrid>
      <w:tr w14:paraId="4619F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8" w:type="dxa"/>
            <w:tcMar>
              <w:top w:w="16" w:type="dxa"/>
              <w:left w:w="16" w:type="dxa"/>
              <w:right w:w="16" w:type="dxa"/>
            </w:tcMar>
            <w:vAlign w:val="center"/>
          </w:tcPr>
          <w:p w14:paraId="3DCEFA99">
            <w:pPr>
              <w:adjustRightInd w:val="0"/>
              <w:snapToGrid w:val="0"/>
              <w:jc w:val="center"/>
              <w:rPr>
                <w:rFonts w:ascii="宋体" w:hAnsi="宋体" w:cs="宋体"/>
                <w:sz w:val="24"/>
              </w:rPr>
            </w:pPr>
            <w:r>
              <w:rPr>
                <w:rFonts w:hint="eastAsia" w:ascii="宋体" w:hAnsi="宋体" w:cs="宋体"/>
                <w:sz w:val="24"/>
              </w:rPr>
              <w:t>建设项目名称</w:t>
            </w:r>
          </w:p>
        </w:tc>
        <w:tc>
          <w:tcPr>
            <w:tcW w:w="7432" w:type="dxa"/>
            <w:gridSpan w:val="3"/>
            <w:vAlign w:val="center"/>
          </w:tcPr>
          <w:p w14:paraId="77542DB4">
            <w:pPr>
              <w:adjustRightInd w:val="0"/>
              <w:snapToGrid w:val="0"/>
              <w:jc w:val="center"/>
              <w:rPr>
                <w:rFonts w:ascii="宋体" w:hAnsi="宋体" w:cs="宋体"/>
                <w:sz w:val="24"/>
              </w:rPr>
            </w:pPr>
            <w:r>
              <w:rPr>
                <w:rFonts w:hint="eastAsia"/>
                <w:sz w:val="24"/>
              </w:rPr>
              <w:t>濮阳天和玻璃有限责任公司年产30万平方米钢化玻璃、30万平方米中空玻璃项目</w:t>
            </w:r>
          </w:p>
        </w:tc>
      </w:tr>
      <w:tr w14:paraId="0A3E9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8" w:type="dxa"/>
            <w:tcMar>
              <w:top w:w="16" w:type="dxa"/>
              <w:left w:w="16" w:type="dxa"/>
              <w:right w:w="16" w:type="dxa"/>
            </w:tcMar>
            <w:vAlign w:val="center"/>
          </w:tcPr>
          <w:p w14:paraId="68B77559">
            <w:pPr>
              <w:adjustRightInd w:val="0"/>
              <w:snapToGrid w:val="0"/>
              <w:jc w:val="center"/>
              <w:rPr>
                <w:rFonts w:ascii="宋体" w:hAnsi="宋体" w:cs="宋体"/>
                <w:sz w:val="24"/>
              </w:rPr>
            </w:pPr>
            <w:r>
              <w:rPr>
                <w:rFonts w:hint="eastAsia" w:ascii="宋体" w:hAnsi="宋体" w:cs="宋体"/>
                <w:sz w:val="24"/>
              </w:rPr>
              <w:t>项目代码</w:t>
            </w:r>
          </w:p>
        </w:tc>
        <w:tc>
          <w:tcPr>
            <w:tcW w:w="7432" w:type="dxa"/>
            <w:gridSpan w:val="3"/>
            <w:vAlign w:val="center"/>
          </w:tcPr>
          <w:p w14:paraId="25A79F42">
            <w:pPr>
              <w:adjustRightInd w:val="0"/>
              <w:snapToGrid w:val="0"/>
              <w:jc w:val="center"/>
              <w:rPr>
                <w:sz w:val="24"/>
              </w:rPr>
            </w:pPr>
            <w:r>
              <w:rPr>
                <w:sz w:val="24"/>
              </w:rPr>
              <w:t>2</w:t>
            </w:r>
            <w:r>
              <w:rPr>
                <w:rFonts w:hint="eastAsia"/>
                <w:sz w:val="24"/>
              </w:rPr>
              <w:t>504</w:t>
            </w:r>
            <w:r>
              <w:rPr>
                <w:sz w:val="24"/>
              </w:rPr>
              <w:t>-41</w:t>
            </w:r>
            <w:r>
              <w:rPr>
                <w:rFonts w:hint="eastAsia"/>
                <w:sz w:val="24"/>
              </w:rPr>
              <w:t>0922</w:t>
            </w:r>
            <w:r>
              <w:rPr>
                <w:sz w:val="24"/>
              </w:rPr>
              <w:t>-04-0</w:t>
            </w:r>
            <w:r>
              <w:rPr>
                <w:rFonts w:hint="eastAsia"/>
                <w:sz w:val="24"/>
              </w:rPr>
              <w:t>1</w:t>
            </w:r>
            <w:r>
              <w:rPr>
                <w:sz w:val="24"/>
              </w:rPr>
              <w:t>-</w:t>
            </w:r>
            <w:r>
              <w:rPr>
                <w:rFonts w:hint="eastAsia"/>
                <w:sz w:val="24"/>
              </w:rPr>
              <w:t>185679</w:t>
            </w:r>
          </w:p>
        </w:tc>
      </w:tr>
      <w:tr w14:paraId="195AE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8" w:type="dxa"/>
            <w:tcMar>
              <w:top w:w="16" w:type="dxa"/>
              <w:left w:w="16" w:type="dxa"/>
              <w:right w:w="16" w:type="dxa"/>
            </w:tcMar>
            <w:vAlign w:val="center"/>
          </w:tcPr>
          <w:p w14:paraId="4F21C5E0">
            <w:pPr>
              <w:adjustRightInd w:val="0"/>
              <w:snapToGrid w:val="0"/>
              <w:jc w:val="center"/>
              <w:rPr>
                <w:rFonts w:ascii="宋体" w:hAnsi="宋体" w:cs="宋体"/>
                <w:sz w:val="24"/>
              </w:rPr>
            </w:pPr>
            <w:r>
              <w:rPr>
                <w:rFonts w:hint="eastAsia" w:ascii="宋体" w:hAnsi="宋体" w:cs="宋体"/>
                <w:sz w:val="24"/>
              </w:rPr>
              <w:t>建设单位联系人</w:t>
            </w:r>
          </w:p>
        </w:tc>
        <w:tc>
          <w:tcPr>
            <w:tcW w:w="2581" w:type="dxa"/>
            <w:vAlign w:val="center"/>
          </w:tcPr>
          <w:p w14:paraId="19FF4221">
            <w:pPr>
              <w:adjustRightInd w:val="0"/>
              <w:snapToGrid w:val="0"/>
              <w:jc w:val="center"/>
              <w:rPr>
                <w:sz w:val="24"/>
              </w:rPr>
            </w:pPr>
            <w:r>
              <w:rPr>
                <w:rFonts w:hint="eastAsia"/>
                <w:sz w:val="24"/>
              </w:rPr>
              <w:t>党少帅</w:t>
            </w:r>
          </w:p>
        </w:tc>
        <w:tc>
          <w:tcPr>
            <w:tcW w:w="2212" w:type="dxa"/>
            <w:vAlign w:val="center"/>
          </w:tcPr>
          <w:p w14:paraId="31DDA10A">
            <w:pPr>
              <w:adjustRightInd w:val="0"/>
              <w:snapToGrid w:val="0"/>
              <w:jc w:val="center"/>
              <w:rPr>
                <w:sz w:val="24"/>
              </w:rPr>
            </w:pPr>
            <w:r>
              <w:rPr>
                <w:sz w:val="24"/>
              </w:rPr>
              <w:t>联系方式</w:t>
            </w:r>
          </w:p>
        </w:tc>
        <w:tc>
          <w:tcPr>
            <w:tcW w:w="2639" w:type="dxa"/>
            <w:vAlign w:val="center"/>
          </w:tcPr>
          <w:p w14:paraId="71DCDAA7">
            <w:pPr>
              <w:adjustRightInd w:val="0"/>
              <w:snapToGrid w:val="0"/>
              <w:jc w:val="center"/>
              <w:rPr>
                <w:sz w:val="24"/>
              </w:rPr>
            </w:pPr>
            <w:r>
              <w:rPr>
                <w:sz w:val="24"/>
              </w:rPr>
              <w:t>13619866639</w:t>
            </w:r>
          </w:p>
        </w:tc>
      </w:tr>
      <w:tr w14:paraId="32273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8" w:type="dxa"/>
            <w:tcMar>
              <w:top w:w="16" w:type="dxa"/>
              <w:left w:w="16" w:type="dxa"/>
              <w:right w:w="16" w:type="dxa"/>
            </w:tcMar>
            <w:vAlign w:val="center"/>
          </w:tcPr>
          <w:p w14:paraId="39673046">
            <w:pPr>
              <w:adjustRightInd w:val="0"/>
              <w:snapToGrid w:val="0"/>
              <w:jc w:val="center"/>
              <w:rPr>
                <w:rFonts w:ascii="宋体" w:hAnsi="宋体" w:cs="宋体"/>
                <w:sz w:val="24"/>
              </w:rPr>
            </w:pPr>
            <w:r>
              <w:rPr>
                <w:rFonts w:hint="eastAsia" w:ascii="宋体" w:hAnsi="宋体" w:cs="宋体"/>
                <w:sz w:val="24"/>
              </w:rPr>
              <w:t>建设地点</w:t>
            </w:r>
          </w:p>
        </w:tc>
        <w:tc>
          <w:tcPr>
            <w:tcW w:w="7432" w:type="dxa"/>
            <w:gridSpan w:val="3"/>
            <w:vAlign w:val="center"/>
          </w:tcPr>
          <w:p w14:paraId="4A862557">
            <w:pPr>
              <w:adjustRightInd w:val="0"/>
              <w:snapToGrid w:val="0"/>
              <w:jc w:val="center"/>
              <w:rPr>
                <w:sz w:val="24"/>
              </w:rPr>
            </w:pPr>
            <w:r>
              <w:rPr>
                <w:rFonts w:hint="eastAsia"/>
                <w:sz w:val="24"/>
              </w:rPr>
              <w:t>河南省濮阳市清丰县先进制造业开发区106国道与单拐大道交叉口往东200米路南</w:t>
            </w:r>
          </w:p>
        </w:tc>
      </w:tr>
      <w:tr w14:paraId="703396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8" w:type="dxa"/>
            <w:tcMar>
              <w:top w:w="16" w:type="dxa"/>
              <w:left w:w="16" w:type="dxa"/>
              <w:right w:w="16" w:type="dxa"/>
            </w:tcMar>
            <w:vAlign w:val="center"/>
          </w:tcPr>
          <w:p w14:paraId="58108B6A">
            <w:pPr>
              <w:adjustRightInd w:val="0"/>
              <w:snapToGrid w:val="0"/>
              <w:jc w:val="center"/>
              <w:rPr>
                <w:rFonts w:ascii="宋体" w:hAnsi="宋体" w:cs="宋体"/>
                <w:sz w:val="24"/>
              </w:rPr>
            </w:pPr>
            <w:r>
              <w:rPr>
                <w:rFonts w:hint="eastAsia" w:ascii="宋体" w:hAnsi="宋体" w:cs="宋体"/>
                <w:sz w:val="24"/>
              </w:rPr>
              <w:t>地理坐标</w:t>
            </w:r>
          </w:p>
        </w:tc>
        <w:tc>
          <w:tcPr>
            <w:tcW w:w="7432" w:type="dxa"/>
            <w:gridSpan w:val="3"/>
            <w:vAlign w:val="center"/>
          </w:tcPr>
          <w:p w14:paraId="7D761424">
            <w:pPr>
              <w:jc w:val="center"/>
              <w:rPr>
                <w:sz w:val="24"/>
              </w:rPr>
            </w:pPr>
            <w:r>
              <w:rPr>
                <w:sz w:val="24"/>
              </w:rPr>
              <w:t>（</w:t>
            </w:r>
            <w:r>
              <w:rPr>
                <w:rFonts w:hint="eastAsia"/>
                <w:sz w:val="24"/>
              </w:rPr>
              <w:t>东经</w:t>
            </w:r>
            <w:r>
              <w:rPr>
                <w:sz w:val="24"/>
                <w:u w:val="single"/>
              </w:rPr>
              <w:t>11</w:t>
            </w:r>
            <w:r>
              <w:rPr>
                <w:rFonts w:hint="eastAsia"/>
                <w:sz w:val="24"/>
                <w:u w:val="single"/>
              </w:rPr>
              <w:t>5</w:t>
            </w:r>
            <w:r>
              <w:rPr>
                <w:sz w:val="24"/>
              </w:rPr>
              <w:t>度</w:t>
            </w:r>
            <w:r>
              <w:rPr>
                <w:rFonts w:hint="eastAsia"/>
                <w:sz w:val="24"/>
                <w:u w:val="single"/>
              </w:rPr>
              <w:t>7</w:t>
            </w:r>
            <w:r>
              <w:rPr>
                <w:sz w:val="24"/>
              </w:rPr>
              <w:t>分</w:t>
            </w:r>
            <w:r>
              <w:rPr>
                <w:rFonts w:hint="eastAsia"/>
                <w:sz w:val="24"/>
                <w:u w:val="single"/>
              </w:rPr>
              <w:t>22.877</w:t>
            </w:r>
            <w:r>
              <w:rPr>
                <w:sz w:val="24"/>
              </w:rPr>
              <w:t>秒，</w:t>
            </w:r>
            <w:r>
              <w:rPr>
                <w:rFonts w:hint="eastAsia"/>
                <w:sz w:val="24"/>
              </w:rPr>
              <w:t>北纬</w:t>
            </w:r>
            <w:r>
              <w:rPr>
                <w:rFonts w:hint="eastAsia"/>
                <w:sz w:val="24"/>
                <w:u w:val="single"/>
              </w:rPr>
              <w:t>35</w:t>
            </w:r>
            <w:r>
              <w:rPr>
                <w:sz w:val="24"/>
              </w:rPr>
              <w:t>度</w:t>
            </w:r>
            <w:r>
              <w:rPr>
                <w:rFonts w:hint="eastAsia"/>
                <w:sz w:val="24"/>
                <w:u w:val="single"/>
              </w:rPr>
              <w:t>50</w:t>
            </w:r>
            <w:r>
              <w:rPr>
                <w:sz w:val="24"/>
              </w:rPr>
              <w:t>分</w:t>
            </w:r>
            <w:r>
              <w:rPr>
                <w:rFonts w:hint="eastAsia"/>
                <w:sz w:val="24"/>
                <w:u w:val="single"/>
              </w:rPr>
              <w:t>54.474</w:t>
            </w:r>
            <w:r>
              <w:rPr>
                <w:sz w:val="24"/>
              </w:rPr>
              <w:t>秒）</w:t>
            </w:r>
          </w:p>
        </w:tc>
      </w:tr>
      <w:tr w14:paraId="6D620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38" w:type="dxa"/>
            <w:tcMar>
              <w:top w:w="16" w:type="dxa"/>
              <w:left w:w="16" w:type="dxa"/>
              <w:right w:w="16" w:type="dxa"/>
            </w:tcMar>
            <w:vAlign w:val="center"/>
          </w:tcPr>
          <w:p w14:paraId="0CB59A98">
            <w:pPr>
              <w:adjustRightInd w:val="0"/>
              <w:snapToGrid w:val="0"/>
              <w:jc w:val="center"/>
              <w:rPr>
                <w:rFonts w:ascii="宋体" w:hAnsi="宋体" w:cs="宋体"/>
                <w:sz w:val="24"/>
              </w:rPr>
            </w:pPr>
            <w:r>
              <w:rPr>
                <w:rFonts w:hint="eastAsia" w:ascii="宋体" w:hAnsi="宋体" w:cs="宋体"/>
                <w:sz w:val="24"/>
              </w:rPr>
              <w:t>国民经济</w:t>
            </w:r>
          </w:p>
          <w:p w14:paraId="774644AC">
            <w:pPr>
              <w:adjustRightInd w:val="0"/>
              <w:snapToGrid w:val="0"/>
              <w:jc w:val="center"/>
              <w:rPr>
                <w:rFonts w:ascii="宋体" w:hAnsi="宋体" w:cs="宋体"/>
                <w:sz w:val="24"/>
              </w:rPr>
            </w:pPr>
            <w:r>
              <w:rPr>
                <w:rFonts w:hint="eastAsia" w:ascii="宋体" w:hAnsi="宋体" w:cs="宋体"/>
                <w:sz w:val="24"/>
              </w:rPr>
              <w:t>行业类别</w:t>
            </w:r>
          </w:p>
        </w:tc>
        <w:tc>
          <w:tcPr>
            <w:tcW w:w="2581" w:type="dxa"/>
            <w:vAlign w:val="center"/>
          </w:tcPr>
          <w:p w14:paraId="3E9138C6">
            <w:pPr>
              <w:adjustRightInd w:val="0"/>
              <w:snapToGrid w:val="0"/>
              <w:jc w:val="center"/>
              <w:rPr>
                <w:sz w:val="24"/>
              </w:rPr>
            </w:pPr>
            <w:r>
              <w:rPr>
                <w:rFonts w:hint="eastAsia"/>
                <w:sz w:val="24"/>
              </w:rPr>
              <w:t>C3042特种玻璃制造</w:t>
            </w:r>
          </w:p>
        </w:tc>
        <w:tc>
          <w:tcPr>
            <w:tcW w:w="2212" w:type="dxa"/>
            <w:vAlign w:val="center"/>
          </w:tcPr>
          <w:p w14:paraId="4941CCCF">
            <w:pPr>
              <w:adjustRightInd w:val="0"/>
              <w:snapToGrid w:val="0"/>
              <w:jc w:val="center"/>
              <w:rPr>
                <w:sz w:val="24"/>
              </w:rPr>
            </w:pPr>
            <w:r>
              <w:rPr>
                <w:sz w:val="24"/>
              </w:rPr>
              <w:t>建设项目</w:t>
            </w:r>
          </w:p>
          <w:p w14:paraId="75EDE001">
            <w:pPr>
              <w:adjustRightInd w:val="0"/>
              <w:snapToGrid w:val="0"/>
              <w:jc w:val="center"/>
              <w:rPr>
                <w:sz w:val="24"/>
              </w:rPr>
            </w:pPr>
            <w:r>
              <w:rPr>
                <w:sz w:val="24"/>
              </w:rPr>
              <w:t>行业类别</w:t>
            </w:r>
          </w:p>
        </w:tc>
        <w:tc>
          <w:tcPr>
            <w:tcW w:w="2639" w:type="dxa"/>
            <w:vAlign w:val="center"/>
          </w:tcPr>
          <w:p w14:paraId="3C30362E">
            <w:pPr>
              <w:adjustRightInd w:val="0"/>
              <w:snapToGrid w:val="0"/>
              <w:jc w:val="center"/>
              <w:rPr>
                <w:sz w:val="24"/>
              </w:rPr>
            </w:pPr>
            <w:r>
              <w:rPr>
                <w:rFonts w:hint="eastAsia"/>
                <w:sz w:val="24"/>
              </w:rPr>
              <w:t>二十七、非金属矿物制品业30——57、玻璃制造304</w:t>
            </w:r>
          </w:p>
        </w:tc>
      </w:tr>
      <w:tr w14:paraId="17D14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38" w:type="dxa"/>
            <w:tcMar>
              <w:top w:w="16" w:type="dxa"/>
              <w:left w:w="16" w:type="dxa"/>
              <w:right w:w="16" w:type="dxa"/>
            </w:tcMar>
            <w:vAlign w:val="center"/>
          </w:tcPr>
          <w:p w14:paraId="6804B687">
            <w:pPr>
              <w:adjustRightInd w:val="0"/>
              <w:snapToGrid w:val="0"/>
              <w:jc w:val="center"/>
              <w:rPr>
                <w:rFonts w:ascii="宋体" w:hAnsi="宋体" w:cs="宋体"/>
                <w:sz w:val="24"/>
              </w:rPr>
            </w:pPr>
            <w:r>
              <w:rPr>
                <w:rFonts w:hint="eastAsia" w:ascii="宋体" w:hAnsi="宋体" w:cs="宋体"/>
                <w:sz w:val="24"/>
              </w:rPr>
              <w:t>建设性质</w:t>
            </w:r>
          </w:p>
        </w:tc>
        <w:tc>
          <w:tcPr>
            <w:tcW w:w="2581" w:type="dxa"/>
            <w:vAlign w:val="center"/>
          </w:tcPr>
          <w:p w14:paraId="4732E3F4">
            <w:pPr>
              <w:jc w:val="left"/>
              <w:rPr>
                <w:rFonts w:ascii="宋体" w:hAnsi="宋体" w:cs="宋体"/>
                <w:sz w:val="24"/>
              </w:rPr>
            </w:pPr>
            <w:r>
              <w:rPr>
                <w:rFonts w:hint="eastAsia" w:ascii="宋体" w:hAnsi="宋体" w:cs="宋体"/>
                <w:sz w:val="24"/>
              </w:rPr>
              <w:sym w:font="Wingdings 2" w:char="0052"/>
            </w:r>
            <w:r>
              <w:rPr>
                <w:rFonts w:hint="eastAsia" w:ascii="宋体" w:hAnsi="宋体" w:cs="宋体"/>
                <w:sz w:val="24"/>
              </w:rPr>
              <w:t>新建（迁建）</w:t>
            </w:r>
          </w:p>
          <w:p w14:paraId="6B07F5B6">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改建</w:t>
            </w:r>
          </w:p>
          <w:p w14:paraId="07B0AA2A">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扩建</w:t>
            </w:r>
          </w:p>
          <w:p w14:paraId="751557A1">
            <w:pPr>
              <w:jc w:val="left"/>
              <w:rPr>
                <w:rFonts w:ascii="宋体" w:hAnsi="宋体" w:cs="宋体"/>
                <w:sz w:val="24"/>
              </w:rPr>
            </w:pPr>
            <w:r>
              <w:rPr>
                <w:rFonts w:hint="eastAsia" w:ascii="宋体" w:hAnsi="宋体" w:cs="宋体"/>
                <w:sz w:val="24"/>
              </w:rPr>
              <w:t>□技术改造</w:t>
            </w:r>
          </w:p>
        </w:tc>
        <w:tc>
          <w:tcPr>
            <w:tcW w:w="2212" w:type="dxa"/>
            <w:vAlign w:val="center"/>
          </w:tcPr>
          <w:p w14:paraId="35F10E6E">
            <w:pPr>
              <w:adjustRightInd w:val="0"/>
              <w:snapToGrid w:val="0"/>
              <w:jc w:val="center"/>
              <w:rPr>
                <w:rFonts w:ascii="宋体" w:hAnsi="宋体" w:cs="宋体"/>
                <w:sz w:val="24"/>
              </w:rPr>
            </w:pPr>
            <w:r>
              <w:rPr>
                <w:rFonts w:hint="eastAsia" w:ascii="宋体" w:hAnsi="宋体" w:cs="宋体"/>
                <w:sz w:val="24"/>
              </w:rPr>
              <w:t>建设项目</w:t>
            </w:r>
          </w:p>
          <w:p w14:paraId="23342A39">
            <w:pPr>
              <w:adjustRightInd w:val="0"/>
              <w:snapToGrid w:val="0"/>
              <w:jc w:val="center"/>
              <w:rPr>
                <w:rFonts w:ascii="宋体" w:hAnsi="宋体" w:cs="宋体"/>
                <w:sz w:val="24"/>
              </w:rPr>
            </w:pPr>
            <w:r>
              <w:rPr>
                <w:rFonts w:hint="eastAsia" w:ascii="宋体" w:hAnsi="宋体" w:cs="宋体"/>
                <w:sz w:val="24"/>
              </w:rPr>
              <w:t>申报情形</w:t>
            </w:r>
          </w:p>
        </w:tc>
        <w:tc>
          <w:tcPr>
            <w:tcW w:w="2639" w:type="dxa"/>
            <w:vAlign w:val="center"/>
          </w:tcPr>
          <w:p w14:paraId="78904336">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首次申报项目</w:t>
            </w:r>
            <w:r>
              <w:rPr>
                <w:rFonts w:ascii="宋体" w:hAnsi="宋体" w:cs="宋体"/>
                <w:sz w:val="24"/>
              </w:rPr>
              <w:t xml:space="preserve">             </w:t>
            </w:r>
          </w:p>
          <w:p w14:paraId="370CC1F7">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不予批准后再次申报项目</w:t>
            </w:r>
          </w:p>
          <w:p w14:paraId="4D2B88CA">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超五年重新审核项目</w:t>
            </w:r>
            <w:r>
              <w:rPr>
                <w:rFonts w:ascii="宋体" w:hAnsi="宋体" w:cs="宋体"/>
                <w:sz w:val="24"/>
              </w:rPr>
              <w:t xml:space="preserve">     </w:t>
            </w:r>
          </w:p>
          <w:p w14:paraId="5AEBBEC7">
            <w:pPr>
              <w:jc w:val="left"/>
              <w:rPr>
                <w:rFonts w:ascii="宋体" w:hAnsi="宋体" w:cs="宋体"/>
                <w:sz w:val="24"/>
              </w:rPr>
            </w:pPr>
            <w:r>
              <w:rPr>
                <w:rFonts w:hint="eastAsia" w:ascii="宋体" w:hAnsi="宋体" w:cs="宋体"/>
                <w:sz w:val="24"/>
              </w:rPr>
              <w:sym w:font="Wingdings 2" w:char="0052"/>
            </w:r>
            <w:r>
              <w:rPr>
                <w:rFonts w:hint="eastAsia" w:ascii="宋体" w:hAnsi="宋体" w:cs="宋体"/>
                <w:sz w:val="24"/>
              </w:rPr>
              <w:t>重大变动重新报批项目</w:t>
            </w:r>
          </w:p>
        </w:tc>
      </w:tr>
      <w:tr w14:paraId="4C688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38" w:type="dxa"/>
            <w:tcMar>
              <w:top w:w="16" w:type="dxa"/>
              <w:left w:w="16" w:type="dxa"/>
              <w:right w:w="16" w:type="dxa"/>
            </w:tcMar>
            <w:vAlign w:val="center"/>
          </w:tcPr>
          <w:p w14:paraId="0B655D7A">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r>
              <w:rPr>
                <w:rFonts w:hint="eastAsia" w:ascii="宋体" w:hAnsi="宋体" w:cs="宋体"/>
                <w:sz w:val="24"/>
              </w:rPr>
              <w:t>备案）部门</w:t>
            </w:r>
          </w:p>
        </w:tc>
        <w:tc>
          <w:tcPr>
            <w:tcW w:w="2581" w:type="dxa"/>
            <w:vAlign w:val="center"/>
          </w:tcPr>
          <w:p w14:paraId="6736E726">
            <w:pPr>
              <w:adjustRightInd w:val="0"/>
              <w:snapToGrid w:val="0"/>
              <w:jc w:val="center"/>
              <w:rPr>
                <w:rFonts w:ascii="宋体" w:hAnsi="宋体" w:cs="宋体"/>
                <w:sz w:val="24"/>
              </w:rPr>
            </w:pPr>
            <w:r>
              <w:rPr>
                <w:rFonts w:hint="eastAsia" w:ascii="宋体" w:hAnsi="宋体" w:cs="宋体"/>
                <w:sz w:val="24"/>
              </w:rPr>
              <w:t>清丰县先进制造业开发区管理委员会</w:t>
            </w:r>
          </w:p>
        </w:tc>
        <w:tc>
          <w:tcPr>
            <w:tcW w:w="2212" w:type="dxa"/>
            <w:vAlign w:val="center"/>
          </w:tcPr>
          <w:p w14:paraId="0598B12B">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14:paraId="523895A2">
            <w:pPr>
              <w:adjustRightInd w:val="0"/>
              <w:snapToGrid w:val="0"/>
              <w:jc w:val="center"/>
              <w:rPr>
                <w:rFonts w:ascii="宋体" w:hAnsi="宋体" w:cs="宋体"/>
                <w:sz w:val="24"/>
                <w:highlight w:val="yellow"/>
              </w:rPr>
            </w:pPr>
            <w:r>
              <w:rPr>
                <w:rFonts w:hint="eastAsia" w:ascii="宋体" w:hAnsi="宋体" w:cs="宋体"/>
                <w:sz w:val="24"/>
              </w:rPr>
              <w:t>备案）文号</w:t>
            </w:r>
          </w:p>
        </w:tc>
        <w:tc>
          <w:tcPr>
            <w:tcW w:w="2639" w:type="dxa"/>
            <w:vAlign w:val="center"/>
          </w:tcPr>
          <w:p w14:paraId="7DE0F106">
            <w:pPr>
              <w:adjustRightInd w:val="0"/>
              <w:snapToGrid w:val="0"/>
              <w:jc w:val="center"/>
              <w:rPr>
                <w:sz w:val="24"/>
                <w:highlight w:val="yellow"/>
              </w:rPr>
            </w:pPr>
            <w:r>
              <w:rPr>
                <w:sz w:val="24"/>
              </w:rPr>
              <w:t>2504-410922-04-01-185679</w:t>
            </w:r>
          </w:p>
        </w:tc>
      </w:tr>
      <w:tr w14:paraId="026975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8" w:type="dxa"/>
            <w:tcMar>
              <w:top w:w="16" w:type="dxa"/>
              <w:left w:w="16" w:type="dxa"/>
              <w:right w:w="16" w:type="dxa"/>
            </w:tcMar>
            <w:vAlign w:val="center"/>
          </w:tcPr>
          <w:p w14:paraId="6F3043DA">
            <w:pPr>
              <w:adjustRightInd w:val="0"/>
              <w:snapToGrid w:val="0"/>
              <w:jc w:val="center"/>
              <w:rPr>
                <w:rFonts w:ascii="宋体" w:hAnsi="宋体" w:cs="宋体"/>
                <w:sz w:val="24"/>
                <w:u w:val="single"/>
              </w:rPr>
            </w:pPr>
            <w:r>
              <w:rPr>
                <w:rFonts w:hint="eastAsia" w:ascii="宋体" w:hAnsi="宋体" w:cs="宋体"/>
                <w:sz w:val="24"/>
                <w:u w:val="single"/>
              </w:rPr>
              <w:t>总投资（万元）</w:t>
            </w:r>
          </w:p>
        </w:tc>
        <w:tc>
          <w:tcPr>
            <w:tcW w:w="2581" w:type="dxa"/>
            <w:vAlign w:val="center"/>
          </w:tcPr>
          <w:p w14:paraId="335E5030">
            <w:pPr>
              <w:adjustRightInd w:val="0"/>
              <w:snapToGrid w:val="0"/>
              <w:jc w:val="center"/>
              <w:rPr>
                <w:sz w:val="24"/>
                <w:u w:val="single"/>
              </w:rPr>
            </w:pPr>
            <w:r>
              <w:rPr>
                <w:rFonts w:hint="eastAsia"/>
                <w:sz w:val="24"/>
                <w:u w:val="single"/>
              </w:rPr>
              <w:t>1000</w:t>
            </w:r>
          </w:p>
        </w:tc>
        <w:tc>
          <w:tcPr>
            <w:tcW w:w="2212" w:type="dxa"/>
            <w:tcMar>
              <w:top w:w="16" w:type="dxa"/>
              <w:left w:w="16" w:type="dxa"/>
              <w:right w:w="16" w:type="dxa"/>
            </w:tcMar>
            <w:vAlign w:val="center"/>
          </w:tcPr>
          <w:p w14:paraId="3898D00A">
            <w:pPr>
              <w:adjustRightInd w:val="0"/>
              <w:snapToGrid w:val="0"/>
              <w:jc w:val="center"/>
              <w:rPr>
                <w:sz w:val="24"/>
                <w:u w:val="single"/>
              </w:rPr>
            </w:pPr>
            <w:r>
              <w:rPr>
                <w:sz w:val="24"/>
                <w:u w:val="single"/>
              </w:rPr>
              <w:t>环保投资（万元）</w:t>
            </w:r>
          </w:p>
        </w:tc>
        <w:tc>
          <w:tcPr>
            <w:tcW w:w="2639" w:type="dxa"/>
            <w:vAlign w:val="center"/>
          </w:tcPr>
          <w:p w14:paraId="2BB5F5CA">
            <w:pPr>
              <w:adjustRightInd w:val="0"/>
              <w:snapToGrid w:val="0"/>
              <w:jc w:val="center"/>
              <w:rPr>
                <w:sz w:val="24"/>
                <w:u w:val="single"/>
              </w:rPr>
            </w:pPr>
            <w:r>
              <w:rPr>
                <w:rFonts w:hint="eastAsia"/>
                <w:sz w:val="24"/>
                <w:u w:val="single"/>
              </w:rPr>
              <w:t>60</w:t>
            </w:r>
          </w:p>
        </w:tc>
      </w:tr>
      <w:tr w14:paraId="280E9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8" w:type="dxa"/>
            <w:tcMar>
              <w:top w:w="16" w:type="dxa"/>
              <w:left w:w="16" w:type="dxa"/>
              <w:right w:w="16" w:type="dxa"/>
            </w:tcMar>
            <w:vAlign w:val="center"/>
          </w:tcPr>
          <w:p w14:paraId="31D465D4">
            <w:pPr>
              <w:adjustRightInd w:val="0"/>
              <w:snapToGrid w:val="0"/>
              <w:jc w:val="center"/>
              <w:rPr>
                <w:rFonts w:ascii="宋体" w:hAnsi="宋体" w:cs="宋体"/>
                <w:sz w:val="24"/>
                <w:u w:val="single"/>
              </w:rPr>
            </w:pPr>
            <w:r>
              <w:rPr>
                <w:rFonts w:hint="eastAsia" w:ascii="宋体" w:hAnsi="宋体" w:cs="宋体"/>
                <w:sz w:val="24"/>
                <w:u w:val="single"/>
              </w:rPr>
              <w:t>环保投资占比（</w:t>
            </w:r>
            <w:r>
              <w:rPr>
                <w:rFonts w:ascii="宋体" w:hAnsi="宋体" w:cs="宋体"/>
                <w:sz w:val="24"/>
                <w:u w:val="single"/>
              </w:rPr>
              <w:t>%</w:t>
            </w:r>
            <w:r>
              <w:rPr>
                <w:rFonts w:hint="eastAsia" w:ascii="宋体" w:hAnsi="宋体" w:cs="宋体"/>
                <w:sz w:val="24"/>
                <w:u w:val="single"/>
              </w:rPr>
              <w:t>）</w:t>
            </w:r>
          </w:p>
        </w:tc>
        <w:tc>
          <w:tcPr>
            <w:tcW w:w="2581" w:type="dxa"/>
            <w:vAlign w:val="center"/>
          </w:tcPr>
          <w:p w14:paraId="77056C0F">
            <w:pPr>
              <w:adjustRightInd w:val="0"/>
              <w:snapToGrid w:val="0"/>
              <w:jc w:val="center"/>
              <w:rPr>
                <w:sz w:val="24"/>
                <w:u w:val="single"/>
              </w:rPr>
            </w:pPr>
            <w:r>
              <w:rPr>
                <w:rFonts w:hint="eastAsia"/>
                <w:sz w:val="24"/>
                <w:u w:val="single"/>
              </w:rPr>
              <w:t>6</w:t>
            </w:r>
          </w:p>
        </w:tc>
        <w:tc>
          <w:tcPr>
            <w:tcW w:w="2212" w:type="dxa"/>
            <w:tcMar>
              <w:top w:w="16" w:type="dxa"/>
              <w:left w:w="16" w:type="dxa"/>
              <w:right w:w="16" w:type="dxa"/>
            </w:tcMar>
            <w:vAlign w:val="center"/>
          </w:tcPr>
          <w:p w14:paraId="0A45BDA0">
            <w:pPr>
              <w:adjustRightInd w:val="0"/>
              <w:snapToGrid w:val="0"/>
              <w:jc w:val="center"/>
              <w:rPr>
                <w:sz w:val="24"/>
              </w:rPr>
            </w:pPr>
            <w:r>
              <w:rPr>
                <w:sz w:val="24"/>
              </w:rPr>
              <w:t>施工工期</w:t>
            </w:r>
          </w:p>
        </w:tc>
        <w:tc>
          <w:tcPr>
            <w:tcW w:w="2639" w:type="dxa"/>
            <w:vAlign w:val="center"/>
          </w:tcPr>
          <w:p w14:paraId="5EC73C84">
            <w:pPr>
              <w:adjustRightInd w:val="0"/>
              <w:snapToGrid w:val="0"/>
              <w:jc w:val="center"/>
              <w:rPr>
                <w:sz w:val="24"/>
              </w:rPr>
            </w:pPr>
            <w:r>
              <w:rPr>
                <w:rFonts w:hint="eastAsia"/>
                <w:sz w:val="24"/>
              </w:rPr>
              <w:t>3个月</w:t>
            </w:r>
          </w:p>
        </w:tc>
      </w:tr>
      <w:tr w14:paraId="3BB59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8" w:type="dxa"/>
            <w:tcMar>
              <w:top w:w="16" w:type="dxa"/>
              <w:left w:w="16" w:type="dxa"/>
              <w:right w:w="16" w:type="dxa"/>
            </w:tcMar>
            <w:vAlign w:val="center"/>
          </w:tcPr>
          <w:p w14:paraId="145AF2AD">
            <w:pPr>
              <w:adjustRightInd w:val="0"/>
              <w:snapToGrid w:val="0"/>
              <w:jc w:val="center"/>
              <w:rPr>
                <w:rFonts w:ascii="宋体" w:hAnsi="宋体" w:cs="宋体"/>
                <w:sz w:val="24"/>
              </w:rPr>
            </w:pPr>
            <w:r>
              <w:rPr>
                <w:rFonts w:hint="eastAsia" w:ascii="宋体" w:hAnsi="宋体" w:cs="宋体"/>
                <w:sz w:val="24"/>
              </w:rPr>
              <w:t>是否开工建设</w:t>
            </w:r>
          </w:p>
        </w:tc>
        <w:tc>
          <w:tcPr>
            <w:tcW w:w="2581" w:type="dxa"/>
            <w:vAlign w:val="center"/>
          </w:tcPr>
          <w:p w14:paraId="10450B6B">
            <w:pPr>
              <w:adjustRightInd w:val="0"/>
              <w:snapToGrid w:val="0"/>
              <w:rPr>
                <w:sz w:val="24"/>
              </w:rPr>
            </w:pPr>
            <w:r>
              <w:rPr>
                <w:sz w:val="24"/>
              </w:rPr>
              <w:sym w:font="Wingdings 2" w:char="0052"/>
            </w:r>
            <w:r>
              <w:rPr>
                <w:sz w:val="24"/>
              </w:rPr>
              <w:t>否</w:t>
            </w:r>
          </w:p>
          <w:p w14:paraId="4AC8A30B">
            <w:pPr>
              <w:adjustRightInd w:val="0"/>
              <w:snapToGrid w:val="0"/>
              <w:rPr>
                <w:sz w:val="24"/>
              </w:rPr>
            </w:pPr>
            <w:r>
              <w:rPr>
                <w:sz w:val="24"/>
              </w:rPr>
              <w:sym w:font="Wingdings 2" w:char="00A3"/>
            </w:r>
            <w:r>
              <w:rPr>
                <w:sz w:val="24"/>
              </w:rPr>
              <w:t>是：</w:t>
            </w:r>
            <w:r>
              <w:rPr>
                <w:sz w:val="24"/>
                <w:u w:val="single"/>
              </w:rPr>
              <w:t xml:space="preserve">             </w:t>
            </w:r>
          </w:p>
        </w:tc>
        <w:tc>
          <w:tcPr>
            <w:tcW w:w="2212" w:type="dxa"/>
            <w:tcMar>
              <w:top w:w="16" w:type="dxa"/>
              <w:left w:w="16" w:type="dxa"/>
              <w:right w:w="16" w:type="dxa"/>
            </w:tcMar>
            <w:vAlign w:val="center"/>
          </w:tcPr>
          <w:p w14:paraId="4FE70A76">
            <w:pPr>
              <w:adjustRightInd w:val="0"/>
              <w:snapToGrid w:val="0"/>
              <w:jc w:val="center"/>
              <w:rPr>
                <w:sz w:val="24"/>
              </w:rPr>
            </w:pPr>
            <w:r>
              <w:rPr>
                <w:spacing w:val="-6"/>
                <w:sz w:val="24"/>
              </w:rPr>
              <w:t>用地面积（m</w:t>
            </w:r>
            <w:r>
              <w:rPr>
                <w:spacing w:val="-6"/>
                <w:sz w:val="24"/>
                <w:vertAlign w:val="superscript"/>
              </w:rPr>
              <w:t>2</w:t>
            </w:r>
            <w:r>
              <w:rPr>
                <w:spacing w:val="-6"/>
                <w:sz w:val="24"/>
              </w:rPr>
              <w:t>）</w:t>
            </w:r>
          </w:p>
        </w:tc>
        <w:tc>
          <w:tcPr>
            <w:tcW w:w="2639" w:type="dxa"/>
            <w:vAlign w:val="center"/>
          </w:tcPr>
          <w:p w14:paraId="412A3521">
            <w:pPr>
              <w:adjustRightInd w:val="0"/>
              <w:snapToGrid w:val="0"/>
              <w:jc w:val="center"/>
              <w:rPr>
                <w:sz w:val="24"/>
              </w:rPr>
            </w:pPr>
            <w:r>
              <w:rPr>
                <w:rFonts w:hint="eastAsia"/>
                <w:sz w:val="24"/>
              </w:rPr>
              <w:t>5400</w:t>
            </w:r>
          </w:p>
        </w:tc>
      </w:tr>
      <w:tr w14:paraId="0E2B2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38" w:type="dxa"/>
            <w:vAlign w:val="center"/>
          </w:tcPr>
          <w:p w14:paraId="656AFEB0">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7432" w:type="dxa"/>
            <w:gridSpan w:val="3"/>
            <w:vAlign w:val="center"/>
          </w:tcPr>
          <w:p w14:paraId="31BFE8EB">
            <w:pPr>
              <w:autoSpaceDE w:val="0"/>
              <w:autoSpaceDN w:val="0"/>
              <w:adjustRightInd w:val="0"/>
              <w:snapToGrid w:val="0"/>
              <w:spacing w:line="360" w:lineRule="auto"/>
              <w:ind w:firstLine="480" w:firstLineChars="200"/>
              <w:rPr>
                <w:rFonts w:ascii="宋体" w:hAnsi="宋体" w:cs="宋体"/>
                <w:kern w:val="0"/>
                <w:sz w:val="24"/>
              </w:rPr>
            </w:pPr>
            <w:r>
              <w:rPr>
                <w:rFonts w:hint="eastAsia"/>
                <w:sz w:val="24"/>
              </w:rPr>
              <w:t>无，依据《建设项目环境影响报告表编制技术指南-污染影响类》专项评价设置原则表，本项目无需进行专项评价。</w:t>
            </w:r>
          </w:p>
        </w:tc>
      </w:tr>
      <w:tr w14:paraId="1B6C2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438" w:type="dxa"/>
            <w:vAlign w:val="center"/>
          </w:tcPr>
          <w:p w14:paraId="5A0B49C4">
            <w:pPr>
              <w:autoSpaceDE w:val="0"/>
              <w:autoSpaceDN w:val="0"/>
              <w:adjustRightInd w:val="0"/>
              <w:snapToGrid w:val="0"/>
              <w:jc w:val="center"/>
              <w:rPr>
                <w:rFonts w:ascii="宋体" w:hAnsi="宋体" w:cs="宋体"/>
                <w:kern w:val="0"/>
                <w:sz w:val="24"/>
              </w:rPr>
            </w:pPr>
            <w:r>
              <w:rPr>
                <w:rFonts w:hint="eastAsia" w:ascii="宋体" w:hAnsi="宋体" w:cs="宋体"/>
                <w:sz w:val="24"/>
              </w:rPr>
              <w:t>规划情况</w:t>
            </w:r>
          </w:p>
        </w:tc>
        <w:tc>
          <w:tcPr>
            <w:tcW w:w="7432" w:type="dxa"/>
            <w:gridSpan w:val="3"/>
            <w:vAlign w:val="center"/>
          </w:tcPr>
          <w:p w14:paraId="340417C3">
            <w:pPr>
              <w:autoSpaceDE w:val="0"/>
              <w:autoSpaceDN w:val="0"/>
              <w:adjustRightInd w:val="0"/>
              <w:snapToGrid w:val="0"/>
              <w:spacing w:line="360" w:lineRule="auto"/>
              <w:ind w:firstLine="480" w:firstLineChars="200"/>
              <w:rPr>
                <w:rFonts w:ascii="宋体" w:hAnsi="宋体" w:cs="宋体"/>
                <w:kern w:val="0"/>
                <w:sz w:val="24"/>
              </w:rPr>
            </w:pPr>
            <w:r>
              <w:rPr>
                <w:kern w:val="0"/>
                <w:sz w:val="24"/>
              </w:rPr>
              <w:t>规划名称</w:t>
            </w:r>
            <w:r>
              <w:rPr>
                <w:rFonts w:hint="eastAsia"/>
                <w:kern w:val="0"/>
                <w:sz w:val="24"/>
              </w:rPr>
              <w:t>：《清丰县先进制造业开发区发展规划（2022-2035年）》</w:t>
            </w:r>
          </w:p>
        </w:tc>
      </w:tr>
      <w:tr w14:paraId="5C4BB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38" w:type="dxa"/>
            <w:vAlign w:val="center"/>
          </w:tcPr>
          <w:p w14:paraId="76F86590">
            <w:pPr>
              <w:adjustRightInd w:val="0"/>
              <w:snapToGrid w:val="0"/>
              <w:jc w:val="center"/>
              <w:rPr>
                <w:rFonts w:ascii="宋体" w:hAnsi="宋体" w:cs="宋体"/>
                <w:kern w:val="0"/>
                <w:sz w:val="24"/>
              </w:rPr>
            </w:pPr>
            <w:r>
              <w:rPr>
                <w:rFonts w:hint="eastAsia" w:ascii="宋体" w:hAnsi="宋体" w:cs="宋体"/>
                <w:sz w:val="24"/>
              </w:rPr>
              <w:t>规划环境影响评价情况</w:t>
            </w:r>
          </w:p>
        </w:tc>
        <w:tc>
          <w:tcPr>
            <w:tcW w:w="7432" w:type="dxa"/>
            <w:gridSpan w:val="3"/>
            <w:vAlign w:val="center"/>
          </w:tcPr>
          <w:p w14:paraId="3FCE5989">
            <w:pPr>
              <w:autoSpaceDE w:val="0"/>
              <w:autoSpaceDN w:val="0"/>
              <w:adjustRightInd w:val="0"/>
              <w:snapToGrid w:val="0"/>
              <w:spacing w:line="360" w:lineRule="auto"/>
              <w:ind w:firstLine="480" w:firstLineChars="200"/>
              <w:rPr>
                <w:sz w:val="24"/>
              </w:rPr>
            </w:pPr>
            <w:r>
              <w:rPr>
                <w:rFonts w:hint="eastAsia"/>
                <w:sz w:val="24"/>
              </w:rPr>
              <w:t>环境影响评价文件名称：《清丰县先进制造业开发区发展规划（2022-2035）环境影响报告书》</w:t>
            </w:r>
          </w:p>
          <w:p w14:paraId="1C82EF9B">
            <w:pPr>
              <w:autoSpaceDE w:val="0"/>
              <w:autoSpaceDN w:val="0"/>
              <w:adjustRightInd w:val="0"/>
              <w:snapToGrid w:val="0"/>
              <w:spacing w:line="360" w:lineRule="auto"/>
              <w:ind w:firstLine="480" w:firstLineChars="200"/>
              <w:rPr>
                <w:sz w:val="24"/>
              </w:rPr>
            </w:pPr>
            <w:r>
              <w:rPr>
                <w:rFonts w:hint="eastAsia"/>
                <w:sz w:val="24"/>
              </w:rPr>
              <w:t>编制单位：河南汇商环保科技有限公司</w:t>
            </w:r>
          </w:p>
          <w:p w14:paraId="54E13497">
            <w:pPr>
              <w:autoSpaceDE w:val="0"/>
              <w:autoSpaceDN w:val="0"/>
              <w:adjustRightInd w:val="0"/>
              <w:snapToGrid w:val="0"/>
              <w:spacing w:line="360" w:lineRule="auto"/>
              <w:ind w:firstLine="480" w:firstLineChars="200"/>
              <w:rPr>
                <w:sz w:val="24"/>
              </w:rPr>
            </w:pPr>
            <w:r>
              <w:rPr>
                <w:rFonts w:hint="eastAsia"/>
                <w:sz w:val="24"/>
              </w:rPr>
              <w:t>审查机关：濮阳市生态环境局</w:t>
            </w:r>
          </w:p>
          <w:p w14:paraId="791D57EA">
            <w:pPr>
              <w:autoSpaceDE w:val="0"/>
              <w:autoSpaceDN w:val="0"/>
              <w:adjustRightInd w:val="0"/>
              <w:snapToGrid w:val="0"/>
              <w:spacing w:line="360" w:lineRule="auto"/>
              <w:ind w:firstLine="480" w:firstLineChars="200"/>
              <w:rPr>
                <w:sz w:val="24"/>
              </w:rPr>
            </w:pPr>
            <w:r>
              <w:rPr>
                <w:rFonts w:hint="eastAsia"/>
                <w:sz w:val="24"/>
              </w:rPr>
              <w:t>批复文号：濮环审〔2025〕2号</w:t>
            </w:r>
          </w:p>
        </w:tc>
      </w:tr>
      <w:tr w14:paraId="22FEFA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8" w:type="dxa"/>
            <w:vAlign w:val="center"/>
          </w:tcPr>
          <w:p w14:paraId="7D3336A6">
            <w:pPr>
              <w:autoSpaceDE w:val="0"/>
              <w:autoSpaceDN w:val="0"/>
              <w:adjustRightInd w:val="0"/>
              <w:snapToGrid w:val="0"/>
              <w:jc w:val="center"/>
              <w:rPr>
                <w:rFonts w:ascii="宋体" w:hAnsi="宋体" w:cs="宋体"/>
                <w:kern w:val="0"/>
                <w:sz w:val="24"/>
              </w:rPr>
            </w:pPr>
            <w:r>
              <w:rPr>
                <w:rFonts w:hint="eastAsia" w:ascii="宋体" w:hAnsi="宋体" w:cs="宋体"/>
                <w:kern w:val="0"/>
                <w:sz w:val="24"/>
              </w:rPr>
              <w:t>规划及规划环境影响评价符合性分析</w:t>
            </w:r>
          </w:p>
        </w:tc>
        <w:tc>
          <w:tcPr>
            <w:tcW w:w="7432" w:type="dxa"/>
            <w:gridSpan w:val="3"/>
            <w:vAlign w:val="center"/>
          </w:tcPr>
          <w:p w14:paraId="5DFC747F">
            <w:pPr>
              <w:autoSpaceDE w:val="0"/>
              <w:autoSpaceDN w:val="0"/>
              <w:adjustRightInd w:val="0"/>
              <w:snapToGrid w:val="0"/>
              <w:spacing w:line="360" w:lineRule="auto"/>
              <w:ind w:firstLine="480" w:firstLineChars="200"/>
              <w:rPr>
                <w:sz w:val="24"/>
              </w:rPr>
            </w:pPr>
            <w:r>
              <w:rPr>
                <w:rFonts w:hint="eastAsia"/>
                <w:sz w:val="24"/>
              </w:rPr>
              <w:t>《清丰县产业集聚区发展规划（2013-2020）》已到期，根据2021 年9月《中共河南省委河南省人民政府关于推动河南省开发区高质量发展的指导意见》（豫发〔2021〕21号）等工作部署和要求，清丰县先进制造业开发区管委会委托河南省城市规划设计研究总院有限公司编制了《清丰县先进制造业开发区发展规划（2022-2035年）》；委托河南汇商环保科技有限公司开展《清丰县先进制造业开发区发展规划（2022-2035年）环境影响评价报告书》的编制工作，该报告书于2025年1月3日通过了濮阳市生态环境局的审批。</w:t>
            </w:r>
          </w:p>
          <w:p w14:paraId="27403289">
            <w:pPr>
              <w:autoSpaceDE w:val="0"/>
              <w:autoSpaceDN w:val="0"/>
              <w:adjustRightInd w:val="0"/>
              <w:snapToGrid w:val="0"/>
              <w:spacing w:line="360" w:lineRule="auto"/>
              <w:ind w:firstLine="482" w:firstLineChars="200"/>
              <w:rPr>
                <w:b/>
                <w:sz w:val="24"/>
              </w:rPr>
            </w:pPr>
            <w:r>
              <w:rPr>
                <w:b/>
                <w:sz w:val="24"/>
              </w:rPr>
              <w:t>1、</w:t>
            </w:r>
            <w:r>
              <w:rPr>
                <w:rFonts w:hint="eastAsia"/>
                <w:b/>
                <w:sz w:val="24"/>
              </w:rPr>
              <w:t>与《清丰县先进制造业开发区发展规划（2022-2035年）》规划及规划环评相符性分析</w:t>
            </w:r>
          </w:p>
          <w:p w14:paraId="394A45F1">
            <w:pPr>
              <w:autoSpaceDE w:val="0"/>
              <w:autoSpaceDN w:val="0"/>
              <w:adjustRightInd w:val="0"/>
              <w:snapToGrid w:val="0"/>
              <w:spacing w:line="360" w:lineRule="auto"/>
              <w:ind w:firstLine="480" w:firstLineChars="200"/>
              <w:rPr>
                <w:kern w:val="0"/>
                <w:sz w:val="24"/>
              </w:rPr>
            </w:pPr>
            <w:r>
              <w:rPr>
                <w:rFonts w:hint="eastAsia"/>
                <w:kern w:val="0"/>
                <w:sz w:val="24"/>
              </w:rPr>
              <w:t>（1）规划年限</w:t>
            </w:r>
          </w:p>
          <w:p w14:paraId="45E20B16">
            <w:pPr>
              <w:autoSpaceDE w:val="0"/>
              <w:autoSpaceDN w:val="0"/>
              <w:adjustRightInd w:val="0"/>
              <w:snapToGrid w:val="0"/>
              <w:spacing w:line="360" w:lineRule="auto"/>
              <w:ind w:firstLine="480" w:firstLineChars="200"/>
              <w:rPr>
                <w:kern w:val="0"/>
                <w:sz w:val="24"/>
              </w:rPr>
            </w:pPr>
            <w:r>
              <w:rPr>
                <w:rFonts w:hint="eastAsia"/>
                <w:kern w:val="0"/>
                <w:sz w:val="24"/>
              </w:rPr>
              <w:t>近期规划期限为2022-2025年；远期规划期限为2026-2035年。</w:t>
            </w:r>
          </w:p>
          <w:p w14:paraId="7407E59F">
            <w:pPr>
              <w:autoSpaceDE w:val="0"/>
              <w:autoSpaceDN w:val="0"/>
              <w:adjustRightInd w:val="0"/>
              <w:snapToGrid w:val="0"/>
              <w:spacing w:line="360" w:lineRule="auto"/>
              <w:ind w:firstLine="480" w:firstLineChars="200"/>
              <w:rPr>
                <w:kern w:val="0"/>
                <w:sz w:val="24"/>
              </w:rPr>
            </w:pPr>
            <w:r>
              <w:rPr>
                <w:rFonts w:hint="eastAsia"/>
                <w:kern w:val="0"/>
                <w:sz w:val="24"/>
              </w:rPr>
              <w:t>（2）规划范围</w:t>
            </w:r>
          </w:p>
          <w:p w14:paraId="7228E9AF">
            <w:pPr>
              <w:autoSpaceDE w:val="0"/>
              <w:autoSpaceDN w:val="0"/>
              <w:adjustRightInd w:val="0"/>
              <w:snapToGrid w:val="0"/>
              <w:spacing w:line="360" w:lineRule="auto"/>
              <w:ind w:firstLine="480" w:firstLineChars="200"/>
              <w:rPr>
                <w:kern w:val="0"/>
                <w:sz w:val="24"/>
              </w:rPr>
            </w:pPr>
            <w:r>
              <w:rPr>
                <w:rFonts w:hint="eastAsia"/>
                <w:kern w:val="0"/>
                <w:sz w:val="24"/>
              </w:rPr>
              <w:t>清丰县先进制造业开发区共分为三个片区，分别为城区综合制造产业园、马庄桥商贸物流产业园和六塔工业园，总规划面积为18.25平方公里。</w:t>
            </w:r>
          </w:p>
          <w:p w14:paraId="30737394">
            <w:pPr>
              <w:autoSpaceDE w:val="0"/>
              <w:autoSpaceDN w:val="0"/>
              <w:adjustRightInd w:val="0"/>
              <w:snapToGrid w:val="0"/>
              <w:spacing w:line="360" w:lineRule="auto"/>
              <w:ind w:firstLine="480" w:firstLineChars="200"/>
              <w:rPr>
                <w:kern w:val="0"/>
                <w:sz w:val="24"/>
              </w:rPr>
            </w:pPr>
            <w:r>
              <w:rPr>
                <w:rFonts w:hint="eastAsia"/>
                <w:kern w:val="0"/>
                <w:sz w:val="24"/>
              </w:rPr>
              <w:t>城区综合制造产业园规划面积为13.96平方公里，东至龙乡路、北至潴泷河、西至晓月路、南至柳格大道；</w:t>
            </w:r>
          </w:p>
          <w:p w14:paraId="5EE2A2AC">
            <w:pPr>
              <w:autoSpaceDE w:val="0"/>
              <w:autoSpaceDN w:val="0"/>
              <w:adjustRightInd w:val="0"/>
              <w:snapToGrid w:val="0"/>
              <w:spacing w:line="360" w:lineRule="auto"/>
              <w:ind w:firstLine="480" w:firstLineChars="200"/>
              <w:rPr>
                <w:kern w:val="0"/>
                <w:sz w:val="24"/>
              </w:rPr>
            </w:pPr>
            <w:r>
              <w:rPr>
                <w:rFonts w:hint="eastAsia"/>
                <w:kern w:val="0"/>
                <w:sz w:val="24"/>
              </w:rPr>
              <w:t>马庄桥商贸物流园分成东西两个区域，总规划面积3.14平方公里，其中西片区城镇开发边界内用地面积为0.7平方公里，东至中逸路、北至柳格大道南200米，西至诚睦路西130米，南至342国道；东片区城镇开发边界内用地面积为2.44平方公里，东至建设南路东100米，北至342 国道北250米，西至文明路，南至长安路；</w:t>
            </w:r>
          </w:p>
          <w:p w14:paraId="59B47D09">
            <w:pPr>
              <w:autoSpaceDE w:val="0"/>
              <w:autoSpaceDN w:val="0"/>
              <w:adjustRightInd w:val="0"/>
              <w:snapToGrid w:val="0"/>
              <w:spacing w:line="360" w:lineRule="auto"/>
              <w:ind w:firstLine="480" w:firstLineChars="200"/>
              <w:rPr>
                <w:kern w:val="0"/>
                <w:sz w:val="24"/>
              </w:rPr>
            </w:pPr>
            <w:r>
              <w:rPr>
                <w:rFonts w:hint="eastAsia"/>
                <w:kern w:val="0"/>
                <w:sz w:val="24"/>
              </w:rPr>
              <w:t>六塔工业园位于六塔乡东南部，西接濮阳市华龙区、东邻范县，南靠濮阳县，是一区三县的交汇处，规划总用地面积1.15平方公里具体范围为东至六塔乡界西170米、南至濮台路及县界、西至潴泷河东800米、北至第二濮清南干渠南120米。</w:t>
            </w:r>
          </w:p>
          <w:p w14:paraId="45C16017">
            <w:pPr>
              <w:autoSpaceDE w:val="0"/>
              <w:autoSpaceDN w:val="0"/>
              <w:adjustRightInd w:val="0"/>
              <w:snapToGrid w:val="0"/>
              <w:spacing w:line="360" w:lineRule="auto"/>
              <w:ind w:firstLine="480" w:firstLineChars="200"/>
              <w:rPr>
                <w:kern w:val="0"/>
                <w:sz w:val="24"/>
              </w:rPr>
            </w:pPr>
            <w:r>
              <w:rPr>
                <w:rFonts w:hint="eastAsia"/>
                <w:kern w:val="0"/>
                <w:sz w:val="24"/>
              </w:rPr>
              <w:t>（3）主导产业</w:t>
            </w:r>
          </w:p>
          <w:p w14:paraId="7EB13FFB">
            <w:pPr>
              <w:autoSpaceDE w:val="0"/>
              <w:autoSpaceDN w:val="0"/>
              <w:adjustRightInd w:val="0"/>
              <w:snapToGrid w:val="0"/>
              <w:spacing w:line="360" w:lineRule="auto"/>
              <w:ind w:firstLine="480" w:firstLineChars="200"/>
              <w:rPr>
                <w:kern w:val="0"/>
                <w:sz w:val="24"/>
              </w:rPr>
            </w:pPr>
            <w:r>
              <w:rPr>
                <w:rFonts w:hint="eastAsia"/>
                <w:kern w:val="0"/>
                <w:sz w:val="24"/>
              </w:rPr>
              <w:t>以家居制造及贸易、食品加工及贸易、节能环保为主导产业，相关配套产业为辅助产业。</w:t>
            </w:r>
          </w:p>
          <w:p w14:paraId="735DDBE1">
            <w:pPr>
              <w:autoSpaceDE w:val="0"/>
              <w:autoSpaceDN w:val="0"/>
              <w:adjustRightInd w:val="0"/>
              <w:snapToGrid w:val="0"/>
              <w:spacing w:line="360" w:lineRule="auto"/>
              <w:ind w:firstLine="480" w:firstLineChars="200"/>
              <w:rPr>
                <w:kern w:val="0"/>
                <w:sz w:val="24"/>
              </w:rPr>
            </w:pPr>
            <w:r>
              <w:rPr>
                <w:rFonts w:hint="eastAsia"/>
                <w:kern w:val="0"/>
                <w:sz w:val="24"/>
              </w:rPr>
              <w:t>（4）产业布局</w:t>
            </w:r>
          </w:p>
          <w:p w14:paraId="63531DDC">
            <w:pPr>
              <w:autoSpaceDE w:val="0"/>
              <w:autoSpaceDN w:val="0"/>
              <w:adjustRightInd w:val="0"/>
              <w:snapToGrid w:val="0"/>
              <w:spacing w:line="360" w:lineRule="auto"/>
              <w:ind w:firstLine="480" w:firstLineChars="200"/>
              <w:rPr>
                <w:kern w:val="0"/>
                <w:sz w:val="24"/>
              </w:rPr>
            </w:pPr>
            <w:r>
              <w:rPr>
                <w:rFonts w:hint="eastAsia"/>
                <w:kern w:val="0"/>
                <w:sz w:val="24"/>
              </w:rPr>
              <w:t>1、空间布局</w:t>
            </w:r>
          </w:p>
          <w:p w14:paraId="7538D24A">
            <w:pPr>
              <w:autoSpaceDE w:val="0"/>
              <w:autoSpaceDN w:val="0"/>
              <w:adjustRightInd w:val="0"/>
              <w:snapToGrid w:val="0"/>
              <w:spacing w:line="360" w:lineRule="auto"/>
              <w:ind w:firstLine="480" w:firstLineChars="200"/>
              <w:rPr>
                <w:kern w:val="0"/>
                <w:sz w:val="24"/>
              </w:rPr>
            </w:pPr>
            <w:r>
              <w:rPr>
                <w:rFonts w:hint="eastAsia"/>
                <w:kern w:val="0"/>
                <w:sz w:val="24"/>
              </w:rPr>
              <w:t>城区综合制造产业园为原清丰县产业集聚区，重点推动家具制造及贸易、食品加工及贸易、节能环保三大产业提质增效；</w:t>
            </w:r>
          </w:p>
          <w:p w14:paraId="5D1FB28B">
            <w:pPr>
              <w:autoSpaceDE w:val="0"/>
              <w:autoSpaceDN w:val="0"/>
              <w:adjustRightInd w:val="0"/>
              <w:snapToGrid w:val="0"/>
              <w:spacing w:line="360" w:lineRule="auto"/>
              <w:ind w:firstLine="480" w:firstLineChars="200"/>
              <w:rPr>
                <w:kern w:val="0"/>
                <w:sz w:val="24"/>
              </w:rPr>
            </w:pPr>
            <w:r>
              <w:rPr>
                <w:rFonts w:hint="eastAsia"/>
                <w:kern w:val="0"/>
                <w:sz w:val="24"/>
              </w:rPr>
              <w:t>马庄桥现代商贸物流园重点发展农副产品物流、家具物流、电商物流、中央厨房、总部经济等生产性服务业，打造冀鲁豫三省省际物流中心；</w:t>
            </w:r>
          </w:p>
          <w:p w14:paraId="49E342AC">
            <w:pPr>
              <w:autoSpaceDE w:val="0"/>
              <w:autoSpaceDN w:val="0"/>
              <w:adjustRightInd w:val="0"/>
              <w:snapToGrid w:val="0"/>
              <w:spacing w:line="360" w:lineRule="auto"/>
              <w:ind w:firstLine="480" w:firstLineChars="200"/>
              <w:rPr>
                <w:kern w:val="0"/>
                <w:sz w:val="24"/>
              </w:rPr>
            </w:pPr>
            <w:r>
              <w:rPr>
                <w:rFonts w:hint="eastAsia"/>
                <w:kern w:val="0"/>
                <w:sz w:val="24"/>
              </w:rPr>
              <w:t>六塔工业园重点发展节能环保、生物发酵、轻工、新能源等新兴产业，培育新的经济增长点。</w:t>
            </w:r>
          </w:p>
          <w:p w14:paraId="6B6CF3F3">
            <w:pPr>
              <w:autoSpaceDE w:val="0"/>
              <w:autoSpaceDN w:val="0"/>
              <w:adjustRightInd w:val="0"/>
              <w:snapToGrid w:val="0"/>
              <w:spacing w:line="360" w:lineRule="auto"/>
              <w:ind w:firstLine="480" w:firstLineChars="200"/>
              <w:rPr>
                <w:kern w:val="0"/>
                <w:sz w:val="24"/>
              </w:rPr>
            </w:pPr>
            <w:r>
              <w:rPr>
                <w:rFonts w:hint="eastAsia"/>
                <w:kern w:val="0"/>
                <w:sz w:val="24"/>
              </w:rPr>
              <w:t>2、产业优化布局（节选相关部分）</w:t>
            </w:r>
          </w:p>
          <w:p w14:paraId="79AE531A">
            <w:pPr>
              <w:autoSpaceDE w:val="0"/>
              <w:autoSpaceDN w:val="0"/>
              <w:adjustRightInd w:val="0"/>
              <w:snapToGrid w:val="0"/>
              <w:spacing w:line="360" w:lineRule="auto"/>
              <w:ind w:firstLine="480" w:firstLineChars="200"/>
              <w:rPr>
                <w:kern w:val="0"/>
                <w:sz w:val="24"/>
              </w:rPr>
            </w:pPr>
            <w:r>
              <w:rPr>
                <w:rFonts w:hint="eastAsia"/>
                <w:kern w:val="0"/>
                <w:sz w:val="24"/>
              </w:rPr>
              <w:t>在开发区土地空间资源较为有限的情况下，必须坚持集聚节约发展的原则，充分发挥服务业发展趋势和开发区产业基础，做优做强家具制造及贸易产业，做特做精食品加工及贸易产业，积极培育节能环保战略新兴产业，大力发展商贸物流生产性服务业，把推动制造业高质量发展作为主攻方向，按照产业禁止和限制目录进一步推动传统制造业有机疏解和低效制造业有序退出，提升产业链供应链现代化水平，构建以先进制造业和现代服务业融合发展为支撑的现代特色产业体系。</w:t>
            </w:r>
          </w:p>
          <w:p w14:paraId="39B49164">
            <w:pPr>
              <w:autoSpaceDE w:val="0"/>
              <w:autoSpaceDN w:val="0"/>
              <w:adjustRightInd w:val="0"/>
              <w:snapToGrid w:val="0"/>
              <w:spacing w:line="360" w:lineRule="auto"/>
              <w:ind w:firstLine="480" w:firstLineChars="200"/>
              <w:rPr>
                <w:kern w:val="0"/>
                <w:sz w:val="24"/>
              </w:rPr>
            </w:pPr>
            <w:r>
              <w:rPr>
                <w:kern w:val="0"/>
                <w:sz w:val="24"/>
              </w:rPr>
              <w:fldChar w:fldCharType="begin"/>
            </w:r>
            <w:r>
              <w:rPr>
                <w:kern w:val="0"/>
                <w:sz w:val="24"/>
              </w:rPr>
              <w:instrText xml:space="preserve"> </w:instrText>
            </w:r>
            <w:r>
              <w:rPr>
                <w:rFonts w:hint="eastAsia"/>
                <w:kern w:val="0"/>
                <w:sz w:val="24"/>
              </w:rPr>
              <w:instrText xml:space="preserve">= 1 \* GB3</w:instrText>
            </w:r>
            <w:r>
              <w:rPr>
                <w:kern w:val="0"/>
                <w:sz w:val="24"/>
              </w:rPr>
              <w:instrText xml:space="preserve"> </w:instrText>
            </w:r>
            <w:r>
              <w:rPr>
                <w:kern w:val="0"/>
                <w:sz w:val="24"/>
              </w:rPr>
              <w:fldChar w:fldCharType="separate"/>
            </w:r>
            <w:r>
              <w:rPr>
                <w:rFonts w:hint="eastAsia"/>
                <w:kern w:val="0"/>
                <w:sz w:val="24"/>
              </w:rPr>
              <w:t>①</w:t>
            </w:r>
            <w:r>
              <w:rPr>
                <w:kern w:val="0"/>
                <w:sz w:val="24"/>
              </w:rPr>
              <w:fldChar w:fldCharType="end"/>
            </w:r>
            <w:r>
              <w:rPr>
                <w:rFonts w:hint="eastAsia"/>
                <w:kern w:val="0"/>
                <w:sz w:val="24"/>
              </w:rPr>
              <w:t>家具制造及贸易产业园</w:t>
            </w:r>
          </w:p>
          <w:p w14:paraId="177B1F30">
            <w:pPr>
              <w:autoSpaceDE w:val="0"/>
              <w:autoSpaceDN w:val="0"/>
              <w:adjustRightInd w:val="0"/>
              <w:snapToGrid w:val="0"/>
              <w:spacing w:line="360" w:lineRule="auto"/>
              <w:ind w:firstLine="480" w:firstLineChars="200"/>
              <w:rPr>
                <w:kern w:val="0"/>
                <w:sz w:val="24"/>
              </w:rPr>
            </w:pPr>
            <w:r>
              <w:rPr>
                <w:rFonts w:hint="eastAsia"/>
                <w:kern w:val="0"/>
                <w:sz w:val="24"/>
              </w:rPr>
              <w:t>位于开发区城区产业园南部，规划面积951公顷，发展思路：</w:t>
            </w:r>
          </w:p>
          <w:p w14:paraId="3F83B0DB">
            <w:pPr>
              <w:autoSpaceDE w:val="0"/>
              <w:autoSpaceDN w:val="0"/>
              <w:adjustRightInd w:val="0"/>
              <w:snapToGrid w:val="0"/>
              <w:spacing w:line="360" w:lineRule="auto"/>
              <w:ind w:firstLine="480" w:firstLineChars="200"/>
              <w:rPr>
                <w:kern w:val="0"/>
                <w:sz w:val="24"/>
              </w:rPr>
            </w:pPr>
            <w:r>
              <w:rPr>
                <w:rFonts w:hint="eastAsia"/>
                <w:kern w:val="0"/>
                <w:sz w:val="24"/>
              </w:rPr>
              <w:t>做优做强家具制造及贸易产业。抢抓承接京津冀、珠三角、长三角家居产业转移机遇，坚持承接产业转移和产业提质增效并重，依托清丰县实木家具产业集群，坚持“稳量、延链、提质”发展方向，大力实施“三品”（增品类、提品质、创品牌）战略，围绕高端实木、智能办公、整屋定制等发展方向，聚焦实木、板式、软体等重点领域，通过整合现有企业，培植龙头骨干企业，打造区域品牌，完善研发设计、品牌营销、物流配送、辅料配件等产业配套，加快全产业链建设，加快推进实木家具循环利用，实现绿色发展，推动传统家具向智能家具、定制家具、生态家具转变。实木家具，规划建设清丰进境木材监管区，引进培育领军企业，鼓励企业进口名贵木材，大力发展精细化、高品质实木家具，持续举办中国清丰实木家具博览会，打造中国实木家具重要产销地。板式家具，支持南方家居、全友家私等企业壮大规模，鼓励企业开展定制设计、柔性制造、网上协同生产，构建基于互联网的生产消费产业链，促进终端与服务一体化发展，打造服务型制造企业。软体家具，大力招引顾家、曲美等品牌企业，引导本土企业加大产品创新研发，积极发展功能沙发、记忆床垫、智能折叠家具等软体家具，打造中部地区软体家具集聚地。加快实木家具园、智能家居园、家纺产业园三个“园中园”建设，推动家具、智能家居家电、家纺到床上用品全产业链发展，促进“家具产业”向“家居产业”转变，打造区域品牌，促进“实木”向“多元”发展。力争2025年，开发区家具企业达到300家以上，主营业务收入突破105亿元。</w:t>
            </w:r>
          </w:p>
          <w:p w14:paraId="48AF4F3F">
            <w:pPr>
              <w:autoSpaceDE w:val="0"/>
              <w:autoSpaceDN w:val="0"/>
              <w:adjustRightInd w:val="0"/>
              <w:snapToGrid w:val="0"/>
              <w:spacing w:line="360" w:lineRule="auto"/>
              <w:ind w:firstLine="480" w:firstLineChars="200"/>
              <w:rPr>
                <w:kern w:val="0"/>
                <w:sz w:val="24"/>
              </w:rPr>
            </w:pPr>
            <w:r>
              <w:rPr>
                <w:rFonts w:hint="eastAsia"/>
                <w:kern w:val="0"/>
                <w:sz w:val="24"/>
              </w:rPr>
              <w:t>完善家具产业服务配套体系。加强机械加工、五金、人造板等配套产业建设，为家具产业发展提供支撑。依托清丰国际家居博览交易中心、大明宫建材家居·清丰店、万隆家居材料城、爱家家居材料城等，加快引进家具包装、培训、宣传、电子商务等专业化配套服务企业。包括皮革、布面、填充材料、黏合辅料、玻璃制品、饰品及装饰材料、家具五金、包装材料等辅助材料经销商，发展集商贸物流、批发零售、文化展示、吃住购乐等为一体的家居配套服务，构建“家具+家电+家纺+家装+辅料+服务”一体化发展的现代家居全产业链，打造“一站式”采购中心。将家具向家居延伸，加快引进原木进口加工、家居新材料、纺织等上游企业，大力引进家私用品、小家电、整体厨卫、互联网装修、服装等下游企业。</w:t>
            </w:r>
          </w:p>
          <w:p w14:paraId="7291B2FD">
            <w:pPr>
              <w:autoSpaceDE w:val="0"/>
              <w:autoSpaceDN w:val="0"/>
              <w:adjustRightInd w:val="0"/>
              <w:snapToGrid w:val="0"/>
              <w:spacing w:line="360" w:lineRule="auto"/>
              <w:ind w:firstLine="480" w:firstLineChars="200"/>
              <w:rPr>
                <w:kern w:val="0"/>
                <w:sz w:val="24"/>
              </w:rPr>
            </w:pPr>
            <w:r>
              <w:rPr>
                <w:rFonts w:hint="eastAsia"/>
                <w:kern w:val="0"/>
                <w:sz w:val="24"/>
              </w:rPr>
              <w:t>（5）基础设施规划（节选相关部分）</w:t>
            </w:r>
          </w:p>
          <w:p w14:paraId="1CD27530">
            <w:pPr>
              <w:autoSpaceDE w:val="0"/>
              <w:autoSpaceDN w:val="0"/>
              <w:adjustRightInd w:val="0"/>
              <w:snapToGrid w:val="0"/>
              <w:spacing w:line="360" w:lineRule="auto"/>
              <w:ind w:firstLine="480" w:firstLineChars="200"/>
              <w:rPr>
                <w:kern w:val="0"/>
                <w:sz w:val="24"/>
              </w:rPr>
            </w:pPr>
            <w:r>
              <w:rPr>
                <w:rFonts w:hint="eastAsia"/>
                <w:kern w:val="0"/>
                <w:sz w:val="24"/>
              </w:rPr>
              <w:t>1）给水工程规划</w:t>
            </w:r>
          </w:p>
          <w:p w14:paraId="60E6D3C4">
            <w:pPr>
              <w:autoSpaceDE w:val="0"/>
              <w:autoSpaceDN w:val="0"/>
              <w:adjustRightInd w:val="0"/>
              <w:snapToGrid w:val="0"/>
              <w:spacing w:line="360" w:lineRule="auto"/>
              <w:ind w:firstLine="480" w:firstLineChars="200"/>
              <w:rPr>
                <w:kern w:val="0"/>
                <w:sz w:val="24"/>
              </w:rPr>
            </w:pPr>
            <w:r>
              <w:rPr>
                <w:rFonts w:hint="eastAsia"/>
                <w:kern w:val="0"/>
                <w:sz w:val="24"/>
              </w:rPr>
              <w:t>近期城区综合制造产业园供水保持现状水厂供水规模为3.0万吨/日，水源地位于八里庄，水厂供水能力不能满足开发区长远发展的需要，远期提高水厂供水能力达到供水规模为13万吨/日。马庄桥现代商贸物流园供水采用马庄桥水厂，供水规模为3.0万吨/日，六塔工业园供水采用六塔乡供水厂。</w:t>
            </w:r>
          </w:p>
          <w:p w14:paraId="7BD46F51">
            <w:pPr>
              <w:autoSpaceDE w:val="0"/>
              <w:autoSpaceDN w:val="0"/>
              <w:adjustRightInd w:val="0"/>
              <w:snapToGrid w:val="0"/>
              <w:spacing w:line="360" w:lineRule="auto"/>
              <w:ind w:firstLine="480" w:firstLineChars="200"/>
              <w:rPr>
                <w:kern w:val="0"/>
                <w:sz w:val="24"/>
              </w:rPr>
            </w:pPr>
            <w:r>
              <w:rPr>
                <w:rFonts w:hint="eastAsia"/>
                <w:kern w:val="0"/>
                <w:sz w:val="24"/>
              </w:rPr>
              <w:t>2）污水工程规划</w:t>
            </w:r>
          </w:p>
          <w:p w14:paraId="33664E73">
            <w:pPr>
              <w:autoSpaceDE w:val="0"/>
              <w:autoSpaceDN w:val="0"/>
              <w:adjustRightInd w:val="0"/>
              <w:snapToGrid w:val="0"/>
              <w:spacing w:line="360" w:lineRule="auto"/>
              <w:ind w:firstLine="480" w:firstLineChars="200"/>
              <w:rPr>
                <w:kern w:val="0"/>
                <w:sz w:val="24"/>
              </w:rPr>
            </w:pPr>
            <w:r>
              <w:rPr>
                <w:rFonts w:hint="eastAsia"/>
                <w:kern w:val="0"/>
                <w:sz w:val="24"/>
              </w:rPr>
              <w:t>规划区北部建有清丰县第二污水处理厂，处理规模2万吨/日，位于开发区北部潴泷河南岸，占地面积为4.0公顷。马庄桥污水处理厂位于镇区东北侧，处理规模为3万吨/日。</w:t>
            </w:r>
          </w:p>
          <w:p w14:paraId="237EAA9A">
            <w:pPr>
              <w:autoSpaceDE w:val="0"/>
              <w:autoSpaceDN w:val="0"/>
              <w:adjustRightInd w:val="0"/>
              <w:snapToGrid w:val="0"/>
              <w:spacing w:line="360" w:lineRule="auto"/>
              <w:ind w:firstLine="480" w:firstLineChars="200"/>
              <w:rPr>
                <w:kern w:val="0"/>
                <w:sz w:val="24"/>
              </w:rPr>
            </w:pPr>
            <w:r>
              <w:rPr>
                <w:rFonts w:hint="eastAsia"/>
                <w:kern w:val="0"/>
                <w:sz w:val="24"/>
              </w:rPr>
              <w:t>考虑到城区综合制造产业园的污水排放至清丰县第二污水处理厂（姚庄污水处理厂）和第三污水处理厂（城东污水处理厂），其处理规模分别为2万吨/日和5万吨/日，马庄桥商贸物流园污水排放至马庄桥镇区西部龙山北污水处理厂，清丰县和义路、晓月南路以东的生活污水处理排入姚庄污水处理厂，处理规模分别为1.5万吨/日，六塔工业园排入园区东南部规划污水处理厂处理，处理规模为6万吨/日。</w:t>
            </w:r>
          </w:p>
          <w:p w14:paraId="75A18B58">
            <w:pPr>
              <w:autoSpaceDE w:val="0"/>
              <w:autoSpaceDN w:val="0"/>
              <w:adjustRightInd w:val="0"/>
              <w:snapToGrid w:val="0"/>
              <w:spacing w:line="360" w:lineRule="auto"/>
              <w:ind w:firstLine="480" w:firstLineChars="200"/>
              <w:rPr>
                <w:kern w:val="0"/>
                <w:sz w:val="24"/>
              </w:rPr>
            </w:pPr>
            <w:r>
              <w:rPr>
                <w:rFonts w:hint="eastAsia"/>
                <w:kern w:val="0"/>
                <w:sz w:val="24"/>
              </w:rPr>
              <w:t>3）雨水工程规划</w:t>
            </w:r>
          </w:p>
          <w:p w14:paraId="25A8FB1C">
            <w:pPr>
              <w:autoSpaceDE w:val="0"/>
              <w:autoSpaceDN w:val="0"/>
              <w:adjustRightInd w:val="0"/>
              <w:snapToGrid w:val="0"/>
              <w:spacing w:line="360" w:lineRule="auto"/>
              <w:ind w:firstLine="480" w:firstLineChars="200"/>
              <w:rPr>
                <w:kern w:val="0"/>
                <w:sz w:val="24"/>
              </w:rPr>
            </w:pPr>
            <w:r>
              <w:rPr>
                <w:rFonts w:hint="eastAsia"/>
                <w:kern w:val="0"/>
                <w:sz w:val="24"/>
              </w:rPr>
              <w:t>规划开发区雨水以排入潴泷河为主，规划沿固双路建设排水明渠汇入潴泷河，人民路以南区域直接或通过固双路排水明渠向东排入潴泷河，人民路以北区域向北、向西排入潴泷河。</w:t>
            </w:r>
          </w:p>
          <w:p w14:paraId="56523AFA">
            <w:pPr>
              <w:autoSpaceDE w:val="0"/>
              <w:autoSpaceDN w:val="0"/>
              <w:adjustRightInd w:val="0"/>
              <w:snapToGrid w:val="0"/>
              <w:spacing w:line="360" w:lineRule="auto"/>
              <w:ind w:firstLine="480" w:firstLineChars="200"/>
              <w:rPr>
                <w:kern w:val="0"/>
                <w:sz w:val="24"/>
              </w:rPr>
            </w:pPr>
            <w:r>
              <w:rPr>
                <w:rFonts w:hint="eastAsia"/>
                <w:kern w:val="0"/>
                <w:sz w:val="24"/>
              </w:rPr>
              <w:t>商贸物流园分别排入第三濮清南干渠和马庄桥镇区雨水管网。六塔工业园排入附近潴泷河和第二濮清南干渠。</w:t>
            </w:r>
          </w:p>
          <w:p w14:paraId="3CE0FDDE">
            <w:pPr>
              <w:autoSpaceDE w:val="0"/>
              <w:autoSpaceDN w:val="0"/>
              <w:adjustRightInd w:val="0"/>
              <w:snapToGrid w:val="0"/>
              <w:spacing w:line="360" w:lineRule="auto"/>
              <w:ind w:firstLine="480" w:firstLineChars="200"/>
              <w:rPr>
                <w:kern w:val="0"/>
                <w:sz w:val="24"/>
              </w:rPr>
            </w:pPr>
            <w:r>
              <w:rPr>
                <w:rFonts w:hint="eastAsia"/>
                <w:kern w:val="0"/>
                <w:sz w:val="24"/>
              </w:rPr>
              <w:t>4）电力工程规划</w:t>
            </w:r>
          </w:p>
          <w:p w14:paraId="3645639C">
            <w:pPr>
              <w:autoSpaceDE w:val="0"/>
              <w:autoSpaceDN w:val="0"/>
              <w:adjustRightInd w:val="0"/>
              <w:snapToGrid w:val="0"/>
              <w:spacing w:line="360" w:lineRule="auto"/>
              <w:ind w:firstLine="480" w:firstLineChars="200"/>
              <w:rPr>
                <w:kern w:val="0"/>
                <w:sz w:val="24"/>
              </w:rPr>
            </w:pPr>
            <w:r>
              <w:rPr>
                <w:rFonts w:hint="eastAsia"/>
                <w:kern w:val="0"/>
                <w:sz w:val="24"/>
              </w:rPr>
              <w:t>规划建立的电压等级：建立由110千伏高压送电、10千伏中压配电、380/220伏低压配电构成的供电体系。</w:t>
            </w:r>
          </w:p>
          <w:p w14:paraId="12E61545">
            <w:pPr>
              <w:autoSpaceDE w:val="0"/>
              <w:autoSpaceDN w:val="0"/>
              <w:adjustRightInd w:val="0"/>
              <w:snapToGrid w:val="0"/>
              <w:spacing w:line="360" w:lineRule="auto"/>
              <w:ind w:firstLine="480" w:firstLineChars="200"/>
              <w:rPr>
                <w:kern w:val="0"/>
                <w:sz w:val="24"/>
              </w:rPr>
            </w:pPr>
            <w:r>
              <w:rPr>
                <w:rFonts w:hint="eastAsia"/>
                <w:kern w:val="0"/>
                <w:sz w:val="24"/>
              </w:rPr>
              <w:t>电源规划：至2035年，规划区保留现状3×50MVA的110kV孟德变；新建110kV变电站2座，分别为城北110KV变和城南110KV变，容量为3×50MVA。商贸物流园采用马庄桥110KV变电站供电，六塔工业园以齐云变电站、晓月变电站为园区电源，在六塔工业园区中部新建10千伏开闭所2座。</w:t>
            </w:r>
          </w:p>
          <w:p w14:paraId="1D3EB1CD">
            <w:pPr>
              <w:autoSpaceDE w:val="0"/>
              <w:autoSpaceDN w:val="0"/>
              <w:adjustRightInd w:val="0"/>
              <w:snapToGrid w:val="0"/>
              <w:spacing w:line="360" w:lineRule="auto"/>
              <w:ind w:firstLine="480" w:firstLineChars="200"/>
              <w:rPr>
                <w:kern w:val="0"/>
                <w:sz w:val="24"/>
              </w:rPr>
            </w:pPr>
            <w:r>
              <w:rPr>
                <w:rFonts w:hint="eastAsia"/>
                <w:kern w:val="0"/>
                <w:sz w:val="24"/>
              </w:rPr>
              <w:t>5）燃气工程规划</w:t>
            </w:r>
          </w:p>
          <w:p w14:paraId="2D8BF104">
            <w:pPr>
              <w:autoSpaceDE w:val="0"/>
              <w:autoSpaceDN w:val="0"/>
              <w:adjustRightInd w:val="0"/>
              <w:snapToGrid w:val="0"/>
              <w:spacing w:line="360" w:lineRule="auto"/>
              <w:ind w:firstLine="480" w:firstLineChars="200"/>
              <w:rPr>
                <w:kern w:val="0"/>
                <w:sz w:val="24"/>
              </w:rPr>
            </w:pPr>
            <w:r>
              <w:rPr>
                <w:rFonts w:hint="eastAsia"/>
                <w:kern w:val="0"/>
                <w:sz w:val="24"/>
              </w:rPr>
              <w:t>气源规划：城区综合制造产业园规划天然气管道由榆—济线天然气和中原油田天然气管道接入；规划一处天然气门站，位于人和大道和濮阳市北环路交叉口东北侧，占地面积1.2公顷，门站设计供气能力为60万m</w:t>
            </w:r>
            <w:r>
              <w:rPr>
                <w:rFonts w:hint="eastAsia"/>
                <w:kern w:val="0"/>
                <w:sz w:val="24"/>
                <w:vertAlign w:val="superscript"/>
              </w:rPr>
              <w:t>3</w:t>
            </w:r>
            <w:r>
              <w:rPr>
                <w:rFonts w:hint="eastAsia"/>
                <w:kern w:val="0"/>
                <w:sz w:val="24"/>
              </w:rPr>
              <w:t>/d。马庄桥镇燃气引入镇区燃气市政管网，六塔工业园规划燃气分输站一座。</w:t>
            </w:r>
          </w:p>
          <w:p w14:paraId="55B31597">
            <w:pPr>
              <w:autoSpaceDE w:val="0"/>
              <w:autoSpaceDN w:val="0"/>
              <w:adjustRightInd w:val="0"/>
              <w:snapToGrid w:val="0"/>
              <w:spacing w:line="360" w:lineRule="auto"/>
              <w:ind w:firstLine="480" w:firstLineChars="200"/>
              <w:rPr>
                <w:kern w:val="0"/>
                <w:sz w:val="24"/>
              </w:rPr>
            </w:pPr>
            <w:r>
              <w:rPr>
                <w:rFonts w:hint="eastAsia"/>
                <w:kern w:val="0"/>
                <w:sz w:val="24"/>
              </w:rPr>
              <w:t>6）环卫工程规划</w:t>
            </w:r>
          </w:p>
          <w:p w14:paraId="24478227">
            <w:pPr>
              <w:autoSpaceDE w:val="0"/>
              <w:autoSpaceDN w:val="0"/>
              <w:adjustRightInd w:val="0"/>
              <w:snapToGrid w:val="0"/>
              <w:spacing w:line="360" w:lineRule="auto"/>
              <w:ind w:firstLine="480" w:firstLineChars="200"/>
              <w:rPr>
                <w:kern w:val="0"/>
                <w:sz w:val="24"/>
              </w:rPr>
            </w:pPr>
            <w:r>
              <w:rPr>
                <w:rFonts w:hint="eastAsia"/>
                <w:kern w:val="0"/>
                <w:sz w:val="24"/>
              </w:rPr>
              <w:t>现状有一处垃圾填埋场，位于开发区北部，人和大道东500米处，于2008年投入使用，占地面积155.25亩，日处理能力220吨，共规划4 个作业分区，配建一处垃圾渗透液处理厂，用于进一步处理产生的垃圾渗透液。</w:t>
            </w:r>
          </w:p>
          <w:p w14:paraId="3E823B54">
            <w:pPr>
              <w:autoSpaceDE w:val="0"/>
              <w:autoSpaceDN w:val="0"/>
              <w:adjustRightInd w:val="0"/>
              <w:snapToGrid w:val="0"/>
              <w:spacing w:line="360" w:lineRule="auto"/>
              <w:ind w:firstLine="480" w:firstLineChars="200"/>
              <w:rPr>
                <w:kern w:val="0"/>
                <w:sz w:val="24"/>
              </w:rPr>
            </w:pPr>
            <w:r>
              <w:rPr>
                <w:rFonts w:hint="eastAsia"/>
                <w:kern w:val="0"/>
                <w:sz w:val="24"/>
              </w:rPr>
              <w:t>垃圾中转站规划：规划中型垃圾中转站6处，服务半径3-5平方公里，用地面积控制3000-5000平方米之间。新建垃圾收集转运站尽量和公共厕所、环卫工人休息点合并设置。</w:t>
            </w:r>
          </w:p>
          <w:p w14:paraId="2CB8ADA8">
            <w:pPr>
              <w:autoSpaceDE w:val="0"/>
              <w:autoSpaceDN w:val="0"/>
              <w:adjustRightInd w:val="0"/>
              <w:snapToGrid w:val="0"/>
              <w:spacing w:line="360" w:lineRule="auto"/>
              <w:ind w:firstLine="480" w:firstLineChars="200"/>
              <w:rPr>
                <w:kern w:val="0"/>
                <w:sz w:val="24"/>
              </w:rPr>
            </w:pPr>
            <w:r>
              <w:rPr>
                <w:rFonts w:hint="eastAsia"/>
                <w:kern w:val="0"/>
                <w:sz w:val="24"/>
              </w:rPr>
              <w:t>工业垃圾由环保部门协同城管部门统一管理，制定处理措施。建筑垃圾由环卫部门协同城管部门统一管理、收运利用。</w:t>
            </w:r>
          </w:p>
          <w:p w14:paraId="71F75750">
            <w:pPr>
              <w:autoSpaceDE w:val="0"/>
              <w:autoSpaceDN w:val="0"/>
              <w:adjustRightInd w:val="0"/>
              <w:snapToGrid w:val="0"/>
              <w:spacing w:line="360" w:lineRule="auto"/>
              <w:ind w:firstLine="482" w:firstLineChars="200"/>
              <w:rPr>
                <w:kern w:val="0"/>
                <w:sz w:val="24"/>
              </w:rPr>
            </w:pPr>
            <w:r>
              <w:rPr>
                <w:rFonts w:hint="eastAsia"/>
                <w:b/>
                <w:kern w:val="0"/>
                <w:sz w:val="24"/>
              </w:rPr>
              <w:t>相符性分析：</w:t>
            </w:r>
            <w:r>
              <w:rPr>
                <w:rFonts w:hint="eastAsia"/>
                <w:kern w:val="0"/>
                <w:sz w:val="24"/>
              </w:rPr>
              <w:t>本项目选址位于濮阳市清丰县先进制造业开发区106国道与单拐大道交叉口往东200米路南，位于城区综合制造产业园中的家具制造及贸易产业园。本项目产品为钢化玻璃和中空玻璃，属于C3042特种玻璃制造。钢化玻璃和中空玻璃为家居产业辅助材料，属于规划中的家居制造产业园区相关配套辅助产业，符合开发区规划产业发展定位。项目所在位置基础设施完善，供水、供电已接入，项目周边污水管网已建成，</w:t>
            </w:r>
            <w:r>
              <w:rPr>
                <w:rFonts w:hint="eastAsia"/>
                <w:kern w:val="0"/>
                <w:sz w:val="24"/>
                <w:u w:val="single"/>
              </w:rPr>
              <w:t>本项目生产废水经循环水槽收集后循环使用，定期更换的生产废水经三级沉淀池处理后部分回用于磨边工序，剩余废水定期外排；生活污水经化粪池处理；处理后的生产废水和生活污水与纯水制备浓水一起排入市政管网，经市政管网排入清丰中州水务有限公司第二污水处理厂深度处理。</w:t>
            </w:r>
            <w:r>
              <w:rPr>
                <w:rFonts w:hint="eastAsia"/>
                <w:kern w:val="0"/>
                <w:sz w:val="24"/>
              </w:rPr>
              <w:t>根据清丰县先进制造业开发区管委会出具的项目入驻证明，本项目符合入驻条件。且本项目已在清丰县先进制造业开发区备案，项目代码为：2504-410922-04-01-185679，符合园区发展规划要求。</w:t>
            </w:r>
          </w:p>
          <w:p w14:paraId="365593C2">
            <w:pPr>
              <w:autoSpaceDE w:val="0"/>
              <w:autoSpaceDN w:val="0"/>
              <w:adjustRightInd w:val="0"/>
              <w:snapToGrid w:val="0"/>
              <w:spacing w:line="360" w:lineRule="auto"/>
              <w:ind w:firstLine="480" w:firstLineChars="200"/>
              <w:rPr>
                <w:kern w:val="0"/>
                <w:sz w:val="24"/>
              </w:rPr>
            </w:pPr>
            <w:r>
              <w:rPr>
                <w:rFonts w:hint="eastAsia"/>
                <w:kern w:val="0"/>
                <w:sz w:val="24"/>
              </w:rPr>
              <w:t>（6）清丰县先进制造业开发区生态环境准入清单</w:t>
            </w:r>
          </w:p>
          <w:p w14:paraId="283B7750">
            <w:pPr>
              <w:autoSpaceDE w:val="0"/>
              <w:autoSpaceDN w:val="0"/>
              <w:adjustRightInd w:val="0"/>
              <w:snapToGrid w:val="0"/>
              <w:spacing w:line="360" w:lineRule="auto"/>
              <w:ind w:firstLine="480" w:firstLineChars="200"/>
              <w:rPr>
                <w:kern w:val="0"/>
                <w:sz w:val="24"/>
              </w:rPr>
            </w:pPr>
            <w:r>
              <w:rPr>
                <w:rFonts w:hint="eastAsia"/>
                <w:kern w:val="0"/>
                <w:sz w:val="24"/>
              </w:rPr>
              <w:t>根据《清丰县先进制造业开发区发展规划（2022-2035年）环境影响评价报告书》，</w:t>
            </w:r>
            <w:r>
              <w:rPr>
                <w:kern w:val="0"/>
                <w:sz w:val="24"/>
              </w:rPr>
              <w:t>本项目与</w:t>
            </w:r>
            <w:r>
              <w:rPr>
                <w:rFonts w:hint="eastAsia"/>
                <w:kern w:val="0"/>
                <w:sz w:val="24"/>
              </w:rPr>
              <w:t>清丰县先进制造业开发区生态环境准入清单相符性分析</w:t>
            </w:r>
            <w:r>
              <w:rPr>
                <w:kern w:val="0"/>
                <w:sz w:val="24"/>
              </w:rPr>
              <w:t>见</w:t>
            </w:r>
            <w:r>
              <w:rPr>
                <w:rFonts w:hint="eastAsia"/>
                <w:kern w:val="0"/>
                <w:sz w:val="24"/>
              </w:rPr>
              <w:t>下表</w:t>
            </w:r>
            <w:r>
              <w:rPr>
                <w:kern w:val="0"/>
                <w:sz w:val="24"/>
              </w:rPr>
              <w:t>。</w:t>
            </w:r>
          </w:p>
          <w:p w14:paraId="616E1FDC">
            <w:pPr>
              <w:pStyle w:val="137"/>
              <w:numPr>
                <w:ilvl w:val="0"/>
                <w:numId w:val="3"/>
              </w:numPr>
              <w:autoSpaceDE w:val="0"/>
              <w:autoSpaceDN w:val="0"/>
              <w:adjustRightInd w:val="0"/>
              <w:snapToGrid w:val="0"/>
              <w:spacing w:line="360" w:lineRule="auto"/>
              <w:ind w:firstLineChars="0"/>
              <w:jc w:val="center"/>
              <w:rPr>
                <w:b/>
                <w:kern w:val="0"/>
              </w:rPr>
            </w:pPr>
            <w:r>
              <w:rPr>
                <w:rFonts w:hint="eastAsia"/>
                <w:b/>
                <w:kern w:val="0"/>
              </w:rPr>
              <w:t>本项目与规划环评提出环境准入清单相符性分析一览表</w:t>
            </w:r>
          </w:p>
          <w:tbl>
            <w:tblPr>
              <w:tblStyle w:val="39"/>
              <w:tblW w:w="7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3686"/>
              <w:gridCol w:w="1984"/>
              <w:gridCol w:w="776"/>
            </w:tblGrid>
            <w:tr w14:paraId="0B9B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Align w:val="center"/>
                </w:tcPr>
                <w:p w14:paraId="2D9F97B2">
                  <w:pPr>
                    <w:autoSpaceDE w:val="0"/>
                    <w:autoSpaceDN w:val="0"/>
                    <w:adjustRightInd w:val="0"/>
                    <w:snapToGrid w:val="0"/>
                    <w:jc w:val="center"/>
                    <w:rPr>
                      <w:rFonts w:ascii="宋体" w:hAnsi="宋体" w:cs="宋体"/>
                      <w:b/>
                      <w:kern w:val="0"/>
                      <w:szCs w:val="21"/>
                    </w:rPr>
                  </w:pPr>
                  <w:r>
                    <w:rPr>
                      <w:rFonts w:hint="eastAsia" w:ascii="宋体" w:hAnsi="宋体" w:cs="宋体"/>
                      <w:b/>
                      <w:kern w:val="0"/>
                      <w:szCs w:val="21"/>
                    </w:rPr>
                    <w:t>项目</w:t>
                  </w:r>
                </w:p>
              </w:tc>
              <w:tc>
                <w:tcPr>
                  <w:tcW w:w="3686" w:type="dxa"/>
                  <w:vAlign w:val="center"/>
                </w:tcPr>
                <w:p w14:paraId="7D747FA1">
                  <w:pPr>
                    <w:autoSpaceDE w:val="0"/>
                    <w:autoSpaceDN w:val="0"/>
                    <w:adjustRightInd w:val="0"/>
                    <w:snapToGrid w:val="0"/>
                    <w:jc w:val="center"/>
                    <w:rPr>
                      <w:rFonts w:ascii="宋体" w:hAnsi="宋体" w:cs="宋体"/>
                      <w:b/>
                      <w:kern w:val="0"/>
                      <w:szCs w:val="21"/>
                    </w:rPr>
                  </w:pPr>
                  <w:r>
                    <w:rPr>
                      <w:rFonts w:hint="eastAsia" w:ascii="宋体" w:hAnsi="宋体" w:cs="宋体"/>
                      <w:b/>
                      <w:kern w:val="0"/>
                      <w:szCs w:val="21"/>
                    </w:rPr>
                    <w:t>环境准入清单</w:t>
                  </w:r>
                </w:p>
              </w:tc>
              <w:tc>
                <w:tcPr>
                  <w:tcW w:w="1984" w:type="dxa"/>
                  <w:vAlign w:val="center"/>
                </w:tcPr>
                <w:p w14:paraId="1DF66603">
                  <w:pPr>
                    <w:autoSpaceDE w:val="0"/>
                    <w:autoSpaceDN w:val="0"/>
                    <w:adjustRightInd w:val="0"/>
                    <w:snapToGrid w:val="0"/>
                    <w:jc w:val="center"/>
                    <w:rPr>
                      <w:rFonts w:ascii="宋体" w:hAnsi="宋体" w:cs="宋体"/>
                      <w:b/>
                      <w:kern w:val="0"/>
                      <w:szCs w:val="21"/>
                    </w:rPr>
                  </w:pPr>
                  <w:r>
                    <w:rPr>
                      <w:rFonts w:hint="eastAsia" w:ascii="宋体" w:hAnsi="宋体" w:cs="宋体"/>
                      <w:b/>
                      <w:kern w:val="0"/>
                      <w:szCs w:val="21"/>
                    </w:rPr>
                    <w:t>本项目情况</w:t>
                  </w:r>
                </w:p>
              </w:tc>
              <w:tc>
                <w:tcPr>
                  <w:tcW w:w="776" w:type="dxa"/>
                  <w:vAlign w:val="center"/>
                </w:tcPr>
                <w:p w14:paraId="524086D0">
                  <w:pPr>
                    <w:autoSpaceDE w:val="0"/>
                    <w:autoSpaceDN w:val="0"/>
                    <w:adjustRightInd w:val="0"/>
                    <w:snapToGrid w:val="0"/>
                    <w:jc w:val="center"/>
                    <w:rPr>
                      <w:rFonts w:ascii="宋体" w:hAnsi="宋体" w:cs="宋体"/>
                      <w:b/>
                      <w:kern w:val="0"/>
                      <w:szCs w:val="21"/>
                    </w:rPr>
                  </w:pPr>
                  <w:r>
                    <w:rPr>
                      <w:rFonts w:hint="eastAsia" w:ascii="宋体" w:hAnsi="宋体" w:cs="宋体"/>
                      <w:b/>
                      <w:kern w:val="0"/>
                      <w:szCs w:val="21"/>
                    </w:rPr>
                    <w:t>相符性</w:t>
                  </w:r>
                </w:p>
              </w:tc>
            </w:tr>
            <w:tr w14:paraId="4997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restart"/>
                  <w:vAlign w:val="center"/>
                </w:tcPr>
                <w:p w14:paraId="300288C7">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产业发展</w:t>
                  </w:r>
                </w:p>
              </w:tc>
              <w:tc>
                <w:tcPr>
                  <w:tcW w:w="3686" w:type="dxa"/>
                  <w:vAlign w:val="center"/>
                </w:tcPr>
                <w:p w14:paraId="017B5C90">
                  <w:pPr>
                    <w:autoSpaceDE w:val="0"/>
                    <w:autoSpaceDN w:val="0"/>
                    <w:adjustRightInd w:val="0"/>
                    <w:snapToGrid w:val="0"/>
                    <w:rPr>
                      <w:rFonts w:ascii="宋体" w:hAnsi="宋体" w:cs="宋体"/>
                      <w:kern w:val="0"/>
                      <w:szCs w:val="21"/>
                    </w:rPr>
                  </w:pPr>
                  <w:r>
                    <w:rPr>
                      <w:rFonts w:hint="eastAsia" w:ascii="宋体" w:hAnsi="宋体" w:cs="宋体"/>
                      <w:kern w:val="0"/>
                      <w:szCs w:val="21"/>
                    </w:rPr>
                    <w:t>入驻项目应符合园区规划或规划环评的要求，禁止发展用排水量较大或污染严重风险较大的化学原料、医药中间体等化工项目，按照用排水量控制屠宰项目。</w:t>
                  </w:r>
                </w:p>
              </w:tc>
              <w:tc>
                <w:tcPr>
                  <w:tcW w:w="1984" w:type="dxa"/>
                  <w:vAlign w:val="center"/>
                </w:tcPr>
                <w:p w14:paraId="2936F043">
                  <w:pPr>
                    <w:autoSpaceDE w:val="0"/>
                    <w:autoSpaceDN w:val="0"/>
                    <w:adjustRightInd w:val="0"/>
                    <w:snapToGrid w:val="0"/>
                    <w:jc w:val="center"/>
                    <w:rPr>
                      <w:rFonts w:ascii="宋体" w:hAnsi="宋体" w:cs="宋体"/>
                      <w:kern w:val="0"/>
                      <w:szCs w:val="21"/>
                    </w:rPr>
                  </w:pPr>
                  <w:r>
                    <w:rPr>
                      <w:rFonts w:ascii="宋体" w:hAnsi="宋体" w:cs="宋体"/>
                      <w:kern w:val="0"/>
                      <w:szCs w:val="21"/>
                    </w:rPr>
                    <w:t>项目</w:t>
                  </w:r>
                  <w:r>
                    <w:rPr>
                      <w:kern w:val="0"/>
                      <w:szCs w:val="21"/>
                    </w:rPr>
                    <w:t>属于C3042特种玻璃制造，</w:t>
                  </w:r>
                  <w:r>
                    <w:rPr>
                      <w:rFonts w:hint="eastAsia"/>
                      <w:kern w:val="0"/>
                      <w:szCs w:val="21"/>
                    </w:rPr>
                    <w:t>符合开发区规划产业发展定位；项目</w:t>
                  </w:r>
                  <w:r>
                    <w:rPr>
                      <w:kern w:val="0"/>
                      <w:szCs w:val="21"/>
                    </w:rPr>
                    <w:t>不属于所列禁止项目</w:t>
                  </w:r>
                </w:p>
              </w:tc>
              <w:tc>
                <w:tcPr>
                  <w:tcW w:w="776" w:type="dxa"/>
                  <w:vAlign w:val="center"/>
                </w:tcPr>
                <w:p w14:paraId="297745CE">
                  <w:pPr>
                    <w:autoSpaceDE w:val="0"/>
                    <w:autoSpaceDN w:val="0"/>
                    <w:adjustRightInd w:val="0"/>
                    <w:snapToGrid w:val="0"/>
                    <w:jc w:val="center"/>
                    <w:rPr>
                      <w:rFonts w:ascii="宋体" w:hAnsi="宋体" w:cs="宋体"/>
                      <w:kern w:val="0"/>
                      <w:szCs w:val="21"/>
                    </w:rPr>
                  </w:pPr>
                  <w:r>
                    <w:rPr>
                      <w:rFonts w:hint="eastAsia"/>
                      <w:szCs w:val="21"/>
                    </w:rPr>
                    <w:t>符合</w:t>
                  </w:r>
                </w:p>
              </w:tc>
            </w:tr>
            <w:tr w14:paraId="36EC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2BBDD247">
                  <w:pPr>
                    <w:autoSpaceDE w:val="0"/>
                    <w:autoSpaceDN w:val="0"/>
                    <w:adjustRightInd w:val="0"/>
                    <w:snapToGrid w:val="0"/>
                    <w:jc w:val="center"/>
                    <w:rPr>
                      <w:rFonts w:ascii="宋体" w:hAnsi="宋体" w:cs="宋体"/>
                      <w:kern w:val="0"/>
                      <w:szCs w:val="21"/>
                    </w:rPr>
                  </w:pPr>
                </w:p>
              </w:tc>
              <w:tc>
                <w:tcPr>
                  <w:tcW w:w="3686" w:type="dxa"/>
                  <w:vAlign w:val="center"/>
                </w:tcPr>
                <w:p w14:paraId="1443B9EF">
                  <w:pPr>
                    <w:autoSpaceDE w:val="0"/>
                    <w:autoSpaceDN w:val="0"/>
                    <w:adjustRightInd w:val="0"/>
                    <w:snapToGrid w:val="0"/>
                    <w:rPr>
                      <w:kern w:val="0"/>
                      <w:szCs w:val="21"/>
                    </w:rPr>
                  </w:pPr>
                  <w:r>
                    <w:rPr>
                      <w:kern w:val="0"/>
                      <w:szCs w:val="21"/>
                    </w:rPr>
                    <w:t>禁止《产业结构调整指导目录（2024年本）》限制类和淘汰类落后生产工艺装备和产品项目入驻。</w:t>
                  </w:r>
                </w:p>
              </w:tc>
              <w:tc>
                <w:tcPr>
                  <w:tcW w:w="1984" w:type="dxa"/>
                  <w:vAlign w:val="center"/>
                </w:tcPr>
                <w:p w14:paraId="35651BAB">
                  <w:pPr>
                    <w:autoSpaceDE w:val="0"/>
                    <w:autoSpaceDN w:val="0"/>
                    <w:adjustRightInd w:val="0"/>
                    <w:snapToGrid w:val="0"/>
                    <w:jc w:val="center"/>
                    <w:rPr>
                      <w:kern w:val="0"/>
                      <w:szCs w:val="21"/>
                    </w:rPr>
                  </w:pPr>
                  <w:r>
                    <w:rPr>
                      <w:kern w:val="0"/>
                      <w:szCs w:val="21"/>
                    </w:rPr>
                    <w:t>经查阅《产业结构调整指导目录（2024年本）》，项目属于允许类</w:t>
                  </w:r>
                </w:p>
              </w:tc>
              <w:tc>
                <w:tcPr>
                  <w:tcW w:w="776" w:type="dxa"/>
                  <w:vAlign w:val="center"/>
                </w:tcPr>
                <w:p w14:paraId="2BE541B8">
                  <w:pPr>
                    <w:autoSpaceDE w:val="0"/>
                    <w:autoSpaceDN w:val="0"/>
                    <w:adjustRightInd w:val="0"/>
                    <w:snapToGrid w:val="0"/>
                    <w:jc w:val="center"/>
                    <w:rPr>
                      <w:szCs w:val="21"/>
                    </w:rPr>
                  </w:pPr>
                  <w:r>
                    <w:rPr>
                      <w:rFonts w:hint="eastAsia"/>
                      <w:szCs w:val="21"/>
                    </w:rPr>
                    <w:t>符合</w:t>
                  </w:r>
                </w:p>
              </w:tc>
            </w:tr>
            <w:tr w14:paraId="2D9B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54E5EA9B">
                  <w:pPr>
                    <w:autoSpaceDE w:val="0"/>
                    <w:autoSpaceDN w:val="0"/>
                    <w:adjustRightInd w:val="0"/>
                    <w:snapToGrid w:val="0"/>
                    <w:jc w:val="center"/>
                    <w:rPr>
                      <w:rFonts w:ascii="宋体" w:hAnsi="宋体" w:cs="宋体"/>
                      <w:kern w:val="0"/>
                      <w:szCs w:val="21"/>
                    </w:rPr>
                  </w:pPr>
                </w:p>
              </w:tc>
              <w:tc>
                <w:tcPr>
                  <w:tcW w:w="3686" w:type="dxa"/>
                  <w:vAlign w:val="center"/>
                </w:tcPr>
                <w:p w14:paraId="7CB75C44">
                  <w:pPr>
                    <w:autoSpaceDE w:val="0"/>
                    <w:autoSpaceDN w:val="0"/>
                    <w:adjustRightInd w:val="0"/>
                    <w:snapToGrid w:val="0"/>
                    <w:rPr>
                      <w:kern w:val="0"/>
                      <w:szCs w:val="21"/>
                    </w:rPr>
                  </w:pPr>
                  <w:r>
                    <w:rPr>
                      <w:kern w:val="0"/>
                      <w:szCs w:val="21"/>
                    </w:rPr>
                    <w:t>禁止入驻不符合行业准入条件及相关管理要求的项目</w:t>
                  </w:r>
                </w:p>
              </w:tc>
              <w:tc>
                <w:tcPr>
                  <w:tcW w:w="1984" w:type="dxa"/>
                  <w:vAlign w:val="center"/>
                </w:tcPr>
                <w:p w14:paraId="3E3BE261">
                  <w:pPr>
                    <w:autoSpaceDE w:val="0"/>
                    <w:autoSpaceDN w:val="0"/>
                    <w:adjustRightInd w:val="0"/>
                    <w:snapToGrid w:val="0"/>
                    <w:jc w:val="center"/>
                    <w:rPr>
                      <w:kern w:val="0"/>
                      <w:szCs w:val="21"/>
                    </w:rPr>
                  </w:pPr>
                  <w:r>
                    <w:rPr>
                      <w:kern w:val="0"/>
                      <w:szCs w:val="21"/>
                    </w:rPr>
                    <w:t>项目属于C3042特种玻璃制造，满足产业园区要求，根据清丰县先进制造业开发区管委会出具的入驻证明</w:t>
                  </w:r>
                  <w:r>
                    <w:rPr>
                      <w:rFonts w:hint="eastAsia"/>
                      <w:kern w:val="0"/>
                      <w:szCs w:val="21"/>
                    </w:rPr>
                    <w:t>，</w:t>
                  </w:r>
                  <w:r>
                    <w:rPr>
                      <w:kern w:val="0"/>
                      <w:szCs w:val="21"/>
                    </w:rPr>
                    <w:t>本项目符合入驻条件</w:t>
                  </w:r>
                </w:p>
              </w:tc>
              <w:tc>
                <w:tcPr>
                  <w:tcW w:w="776" w:type="dxa"/>
                  <w:vAlign w:val="center"/>
                </w:tcPr>
                <w:p w14:paraId="4907EF16">
                  <w:pPr>
                    <w:autoSpaceDE w:val="0"/>
                    <w:autoSpaceDN w:val="0"/>
                    <w:adjustRightInd w:val="0"/>
                    <w:snapToGrid w:val="0"/>
                    <w:jc w:val="center"/>
                    <w:rPr>
                      <w:szCs w:val="21"/>
                    </w:rPr>
                  </w:pPr>
                  <w:r>
                    <w:rPr>
                      <w:rFonts w:hint="eastAsia"/>
                      <w:szCs w:val="21"/>
                    </w:rPr>
                    <w:t>符合</w:t>
                  </w:r>
                </w:p>
              </w:tc>
            </w:tr>
            <w:tr w14:paraId="521B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7C1746A2">
                  <w:pPr>
                    <w:autoSpaceDE w:val="0"/>
                    <w:autoSpaceDN w:val="0"/>
                    <w:adjustRightInd w:val="0"/>
                    <w:snapToGrid w:val="0"/>
                    <w:jc w:val="center"/>
                    <w:rPr>
                      <w:rFonts w:ascii="宋体" w:hAnsi="宋体" w:cs="宋体"/>
                      <w:kern w:val="0"/>
                      <w:szCs w:val="21"/>
                    </w:rPr>
                  </w:pPr>
                </w:p>
              </w:tc>
              <w:tc>
                <w:tcPr>
                  <w:tcW w:w="3686" w:type="dxa"/>
                  <w:vAlign w:val="center"/>
                </w:tcPr>
                <w:p w14:paraId="7B835C1C">
                  <w:pPr>
                    <w:autoSpaceDE w:val="0"/>
                    <w:autoSpaceDN w:val="0"/>
                    <w:adjustRightInd w:val="0"/>
                    <w:snapToGrid w:val="0"/>
                    <w:rPr>
                      <w:rFonts w:ascii="宋体" w:hAnsi="宋体" w:cs="宋体"/>
                      <w:kern w:val="0"/>
                      <w:szCs w:val="21"/>
                    </w:rPr>
                  </w:pPr>
                  <w:r>
                    <w:rPr>
                      <w:rFonts w:hint="eastAsia" w:ascii="宋体" w:hAnsi="宋体" w:cs="宋体"/>
                      <w:kern w:val="0"/>
                      <w:szCs w:val="21"/>
                    </w:rPr>
                    <w:t>禁止《高污染、高环境风险产品名录》中产品项目入驻</w:t>
                  </w:r>
                </w:p>
              </w:tc>
              <w:tc>
                <w:tcPr>
                  <w:tcW w:w="1984" w:type="dxa"/>
                  <w:vAlign w:val="center"/>
                </w:tcPr>
                <w:p w14:paraId="54168D67">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经查询《环境保护综合名录》，</w:t>
                  </w:r>
                  <w:r>
                    <w:rPr>
                      <w:rFonts w:ascii="宋体" w:hAnsi="宋体" w:cs="宋体"/>
                      <w:kern w:val="0"/>
                      <w:szCs w:val="21"/>
                    </w:rPr>
                    <w:t>本项目不</w:t>
                  </w:r>
                  <w:r>
                    <w:rPr>
                      <w:rFonts w:hint="eastAsia" w:ascii="宋体" w:hAnsi="宋体" w:cs="宋体"/>
                      <w:kern w:val="0"/>
                      <w:szCs w:val="21"/>
                    </w:rPr>
                    <w:t>属于高污染、高环境风险项目</w:t>
                  </w:r>
                </w:p>
              </w:tc>
              <w:tc>
                <w:tcPr>
                  <w:tcW w:w="776" w:type="dxa"/>
                  <w:vAlign w:val="center"/>
                </w:tcPr>
                <w:p w14:paraId="4AC8B847">
                  <w:pPr>
                    <w:autoSpaceDE w:val="0"/>
                    <w:autoSpaceDN w:val="0"/>
                    <w:adjustRightInd w:val="0"/>
                    <w:snapToGrid w:val="0"/>
                    <w:jc w:val="center"/>
                    <w:rPr>
                      <w:szCs w:val="21"/>
                    </w:rPr>
                  </w:pPr>
                  <w:r>
                    <w:rPr>
                      <w:rFonts w:hint="eastAsia"/>
                      <w:szCs w:val="21"/>
                    </w:rPr>
                    <w:t>符合</w:t>
                  </w:r>
                </w:p>
              </w:tc>
            </w:tr>
            <w:tr w14:paraId="3170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4AF06EC1">
                  <w:pPr>
                    <w:autoSpaceDE w:val="0"/>
                    <w:autoSpaceDN w:val="0"/>
                    <w:adjustRightInd w:val="0"/>
                    <w:snapToGrid w:val="0"/>
                    <w:jc w:val="center"/>
                    <w:rPr>
                      <w:rFonts w:ascii="宋体" w:hAnsi="宋体" w:cs="宋体"/>
                      <w:kern w:val="0"/>
                      <w:szCs w:val="21"/>
                    </w:rPr>
                  </w:pPr>
                </w:p>
              </w:tc>
              <w:tc>
                <w:tcPr>
                  <w:tcW w:w="3686" w:type="dxa"/>
                  <w:vAlign w:val="center"/>
                </w:tcPr>
                <w:p w14:paraId="27ACB274">
                  <w:pPr>
                    <w:autoSpaceDE w:val="0"/>
                    <w:autoSpaceDN w:val="0"/>
                    <w:adjustRightInd w:val="0"/>
                    <w:snapToGrid w:val="0"/>
                    <w:rPr>
                      <w:kern w:val="0"/>
                      <w:szCs w:val="21"/>
                    </w:rPr>
                  </w:pPr>
                  <w:r>
                    <w:rPr>
                      <w:kern w:val="0"/>
                      <w:szCs w:val="21"/>
                    </w:rPr>
                    <w:t>禁止化工（与主导产业配套的辅助工程除外）、皮毛鞣制、造纸、印染等污染重的项目入驻</w:t>
                  </w:r>
                </w:p>
              </w:tc>
              <w:tc>
                <w:tcPr>
                  <w:tcW w:w="1984" w:type="dxa"/>
                  <w:vAlign w:val="center"/>
                </w:tcPr>
                <w:p w14:paraId="6DC332C9">
                  <w:pPr>
                    <w:autoSpaceDE w:val="0"/>
                    <w:autoSpaceDN w:val="0"/>
                    <w:adjustRightInd w:val="0"/>
                    <w:snapToGrid w:val="0"/>
                    <w:jc w:val="center"/>
                    <w:rPr>
                      <w:rFonts w:ascii="宋体" w:hAnsi="宋体" w:cs="宋体"/>
                      <w:kern w:val="0"/>
                      <w:szCs w:val="21"/>
                    </w:rPr>
                  </w:pPr>
                  <w:r>
                    <w:rPr>
                      <w:rFonts w:ascii="宋体" w:hAnsi="宋体" w:cs="宋体"/>
                      <w:kern w:val="0"/>
                      <w:szCs w:val="21"/>
                    </w:rPr>
                    <w:t>本项目不属于所列禁止项目</w:t>
                  </w:r>
                </w:p>
              </w:tc>
              <w:tc>
                <w:tcPr>
                  <w:tcW w:w="776" w:type="dxa"/>
                  <w:vAlign w:val="center"/>
                </w:tcPr>
                <w:p w14:paraId="47B57860">
                  <w:pPr>
                    <w:autoSpaceDE w:val="0"/>
                    <w:autoSpaceDN w:val="0"/>
                    <w:adjustRightInd w:val="0"/>
                    <w:snapToGrid w:val="0"/>
                    <w:jc w:val="center"/>
                    <w:rPr>
                      <w:szCs w:val="21"/>
                    </w:rPr>
                  </w:pPr>
                  <w:r>
                    <w:rPr>
                      <w:rFonts w:hint="eastAsia"/>
                      <w:szCs w:val="21"/>
                    </w:rPr>
                    <w:t>符合</w:t>
                  </w:r>
                </w:p>
              </w:tc>
            </w:tr>
            <w:tr w14:paraId="065F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4D1EF694">
                  <w:pPr>
                    <w:autoSpaceDE w:val="0"/>
                    <w:autoSpaceDN w:val="0"/>
                    <w:adjustRightInd w:val="0"/>
                    <w:snapToGrid w:val="0"/>
                    <w:jc w:val="center"/>
                    <w:rPr>
                      <w:rFonts w:ascii="宋体" w:hAnsi="宋体" w:cs="宋体"/>
                      <w:kern w:val="0"/>
                      <w:szCs w:val="21"/>
                    </w:rPr>
                  </w:pPr>
                </w:p>
              </w:tc>
              <w:tc>
                <w:tcPr>
                  <w:tcW w:w="3686" w:type="dxa"/>
                  <w:vAlign w:val="center"/>
                </w:tcPr>
                <w:p w14:paraId="541CD531">
                  <w:pPr>
                    <w:autoSpaceDE w:val="0"/>
                    <w:autoSpaceDN w:val="0"/>
                    <w:adjustRightInd w:val="0"/>
                    <w:snapToGrid w:val="0"/>
                    <w:rPr>
                      <w:kern w:val="0"/>
                      <w:szCs w:val="21"/>
                    </w:rPr>
                  </w:pPr>
                  <w:r>
                    <w:rPr>
                      <w:kern w:val="0"/>
                      <w:szCs w:val="21"/>
                    </w:rPr>
                    <w:t>禁止建设投资强度不符合《河南省人民政府关于进一步加强节约集约用地的意见》（豫政〔2015〕66号）文件要求的项目</w:t>
                  </w:r>
                </w:p>
              </w:tc>
              <w:tc>
                <w:tcPr>
                  <w:tcW w:w="1984" w:type="dxa"/>
                  <w:vAlign w:val="center"/>
                </w:tcPr>
                <w:p w14:paraId="751309BF">
                  <w:pPr>
                    <w:autoSpaceDE w:val="0"/>
                    <w:autoSpaceDN w:val="0"/>
                    <w:adjustRightInd w:val="0"/>
                    <w:snapToGrid w:val="0"/>
                    <w:jc w:val="center"/>
                    <w:rPr>
                      <w:rFonts w:ascii="宋体" w:hAnsi="宋体" w:cs="宋体"/>
                      <w:kern w:val="0"/>
                      <w:szCs w:val="21"/>
                    </w:rPr>
                  </w:pPr>
                  <w:r>
                    <w:rPr>
                      <w:rFonts w:ascii="宋体" w:hAnsi="宋体" w:cs="宋体"/>
                      <w:kern w:val="0"/>
                      <w:szCs w:val="21"/>
                    </w:rPr>
                    <w:t>项目占地为规划中的工业用地</w:t>
                  </w:r>
                </w:p>
              </w:tc>
              <w:tc>
                <w:tcPr>
                  <w:tcW w:w="776" w:type="dxa"/>
                  <w:vAlign w:val="center"/>
                </w:tcPr>
                <w:p w14:paraId="2305DA71">
                  <w:pPr>
                    <w:autoSpaceDE w:val="0"/>
                    <w:autoSpaceDN w:val="0"/>
                    <w:adjustRightInd w:val="0"/>
                    <w:snapToGrid w:val="0"/>
                    <w:jc w:val="center"/>
                    <w:rPr>
                      <w:szCs w:val="21"/>
                    </w:rPr>
                  </w:pPr>
                  <w:r>
                    <w:rPr>
                      <w:rFonts w:hint="eastAsia"/>
                      <w:szCs w:val="21"/>
                    </w:rPr>
                    <w:t>符合</w:t>
                  </w:r>
                </w:p>
              </w:tc>
            </w:tr>
            <w:tr w14:paraId="3DCD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0BC9AB76">
                  <w:pPr>
                    <w:autoSpaceDE w:val="0"/>
                    <w:autoSpaceDN w:val="0"/>
                    <w:adjustRightInd w:val="0"/>
                    <w:snapToGrid w:val="0"/>
                    <w:jc w:val="center"/>
                    <w:rPr>
                      <w:rFonts w:ascii="宋体" w:hAnsi="宋体" w:cs="宋体"/>
                      <w:kern w:val="0"/>
                      <w:szCs w:val="21"/>
                    </w:rPr>
                  </w:pPr>
                </w:p>
              </w:tc>
              <w:tc>
                <w:tcPr>
                  <w:tcW w:w="3686" w:type="dxa"/>
                  <w:vAlign w:val="center"/>
                </w:tcPr>
                <w:p w14:paraId="24A24AD8">
                  <w:pPr>
                    <w:autoSpaceDE w:val="0"/>
                    <w:autoSpaceDN w:val="0"/>
                    <w:adjustRightInd w:val="0"/>
                    <w:snapToGrid w:val="0"/>
                    <w:rPr>
                      <w:kern w:val="0"/>
                      <w:szCs w:val="21"/>
                    </w:rPr>
                  </w:pPr>
                  <w:r>
                    <w:rPr>
                      <w:kern w:val="0"/>
                      <w:szCs w:val="21"/>
                    </w:rPr>
                    <w:t>入驻企业的生产工艺、设备、污染治理技术、清洁生产水平均需达到同行业国内先进水平</w:t>
                  </w:r>
                </w:p>
              </w:tc>
              <w:tc>
                <w:tcPr>
                  <w:tcW w:w="1984" w:type="dxa"/>
                  <w:vAlign w:val="center"/>
                </w:tcPr>
                <w:p w14:paraId="5214B485">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本项目生产工艺、设备、污染治理技术、清洁生产水平均达到同行业国内先进水平</w:t>
                  </w:r>
                </w:p>
              </w:tc>
              <w:tc>
                <w:tcPr>
                  <w:tcW w:w="776" w:type="dxa"/>
                  <w:vAlign w:val="center"/>
                </w:tcPr>
                <w:p w14:paraId="1FB60AD1">
                  <w:pPr>
                    <w:autoSpaceDE w:val="0"/>
                    <w:autoSpaceDN w:val="0"/>
                    <w:adjustRightInd w:val="0"/>
                    <w:snapToGrid w:val="0"/>
                    <w:jc w:val="center"/>
                    <w:rPr>
                      <w:szCs w:val="21"/>
                    </w:rPr>
                  </w:pPr>
                  <w:r>
                    <w:rPr>
                      <w:rFonts w:hint="eastAsia"/>
                      <w:szCs w:val="21"/>
                    </w:rPr>
                    <w:t>符合</w:t>
                  </w:r>
                </w:p>
              </w:tc>
            </w:tr>
            <w:tr w14:paraId="116F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18E0BABC">
                  <w:pPr>
                    <w:autoSpaceDE w:val="0"/>
                    <w:autoSpaceDN w:val="0"/>
                    <w:adjustRightInd w:val="0"/>
                    <w:snapToGrid w:val="0"/>
                    <w:jc w:val="center"/>
                    <w:rPr>
                      <w:rFonts w:ascii="宋体" w:hAnsi="宋体" w:cs="宋体"/>
                      <w:kern w:val="0"/>
                      <w:szCs w:val="21"/>
                    </w:rPr>
                  </w:pPr>
                </w:p>
              </w:tc>
              <w:tc>
                <w:tcPr>
                  <w:tcW w:w="3686" w:type="dxa"/>
                  <w:vAlign w:val="center"/>
                </w:tcPr>
                <w:p w14:paraId="2F2209CA">
                  <w:pPr>
                    <w:autoSpaceDE w:val="0"/>
                    <w:autoSpaceDN w:val="0"/>
                    <w:adjustRightInd w:val="0"/>
                    <w:snapToGrid w:val="0"/>
                    <w:rPr>
                      <w:rFonts w:ascii="宋体" w:hAnsi="宋体" w:cs="宋体"/>
                      <w:kern w:val="0"/>
                      <w:szCs w:val="21"/>
                    </w:rPr>
                  </w:pPr>
                  <w:r>
                    <w:rPr>
                      <w:rFonts w:hint="eastAsia" w:ascii="宋体" w:hAnsi="宋体" w:cs="宋体"/>
                      <w:kern w:val="0"/>
                      <w:szCs w:val="21"/>
                    </w:rPr>
                    <w:t>从严控制高耗能、高排放项目建设，原则上禁止新建、扩建单纯新增产能的钢铁、电解铝、水泥、平板玻璃、传统煤化工（甲醇、合成氨）、焦化、铝用碳素、铅锌冶炼（含再生铅）、砖瓦窑（有烧结工序的）、耐火材料制品（有烧结工序的）项目。</w:t>
                  </w:r>
                </w:p>
              </w:tc>
              <w:tc>
                <w:tcPr>
                  <w:tcW w:w="1984" w:type="dxa"/>
                  <w:vAlign w:val="center"/>
                </w:tcPr>
                <w:p w14:paraId="49EF29A4">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本项目不属于高耗能、高排放项目以及所列举禁止建设项目</w:t>
                  </w:r>
                </w:p>
              </w:tc>
              <w:tc>
                <w:tcPr>
                  <w:tcW w:w="776" w:type="dxa"/>
                  <w:vAlign w:val="center"/>
                </w:tcPr>
                <w:p w14:paraId="5875BEE1">
                  <w:pPr>
                    <w:autoSpaceDE w:val="0"/>
                    <w:autoSpaceDN w:val="0"/>
                    <w:adjustRightInd w:val="0"/>
                    <w:snapToGrid w:val="0"/>
                    <w:jc w:val="center"/>
                    <w:rPr>
                      <w:szCs w:val="21"/>
                    </w:rPr>
                  </w:pPr>
                  <w:r>
                    <w:rPr>
                      <w:rFonts w:hint="eastAsia"/>
                      <w:szCs w:val="21"/>
                    </w:rPr>
                    <w:t>符合</w:t>
                  </w:r>
                </w:p>
              </w:tc>
            </w:tr>
            <w:tr w14:paraId="4990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00BA7798">
                  <w:pPr>
                    <w:autoSpaceDE w:val="0"/>
                    <w:autoSpaceDN w:val="0"/>
                    <w:adjustRightInd w:val="0"/>
                    <w:snapToGrid w:val="0"/>
                    <w:jc w:val="center"/>
                    <w:rPr>
                      <w:rFonts w:ascii="宋体" w:hAnsi="宋体" w:cs="宋体"/>
                      <w:kern w:val="0"/>
                      <w:szCs w:val="21"/>
                    </w:rPr>
                  </w:pPr>
                </w:p>
              </w:tc>
              <w:tc>
                <w:tcPr>
                  <w:tcW w:w="3686" w:type="dxa"/>
                  <w:vAlign w:val="center"/>
                </w:tcPr>
                <w:p w14:paraId="0D84F600">
                  <w:pPr>
                    <w:autoSpaceDE w:val="0"/>
                    <w:autoSpaceDN w:val="0"/>
                    <w:adjustRightInd w:val="0"/>
                    <w:snapToGrid w:val="0"/>
                    <w:rPr>
                      <w:rFonts w:ascii="宋体" w:hAnsi="宋体" w:cs="宋体"/>
                      <w:kern w:val="0"/>
                      <w:szCs w:val="21"/>
                    </w:rPr>
                  </w:pPr>
                  <w:r>
                    <w:rPr>
                      <w:rFonts w:hint="eastAsia" w:ascii="宋体" w:hAnsi="宋体" w:cs="宋体"/>
                      <w:kern w:val="0"/>
                      <w:szCs w:val="21"/>
                    </w:rPr>
                    <w:t>鼓励发展家居制造及贸易、食品加工及贸易、节能环保产业，鼓励能够延长开发区产业链条的，符合开发区功能定位的项目入驻。</w:t>
                  </w:r>
                </w:p>
              </w:tc>
              <w:tc>
                <w:tcPr>
                  <w:tcW w:w="1984" w:type="dxa"/>
                  <w:vAlign w:val="center"/>
                </w:tcPr>
                <w:p w14:paraId="1EDF4E7F">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本项目属于规划中的家居制造产业园区相关配套辅助产业，符合开发区规划产业发展定位</w:t>
                  </w:r>
                </w:p>
              </w:tc>
              <w:tc>
                <w:tcPr>
                  <w:tcW w:w="776" w:type="dxa"/>
                  <w:vAlign w:val="center"/>
                </w:tcPr>
                <w:p w14:paraId="0F0CCDF4">
                  <w:pPr>
                    <w:autoSpaceDE w:val="0"/>
                    <w:autoSpaceDN w:val="0"/>
                    <w:adjustRightInd w:val="0"/>
                    <w:snapToGrid w:val="0"/>
                    <w:jc w:val="center"/>
                    <w:rPr>
                      <w:szCs w:val="21"/>
                    </w:rPr>
                  </w:pPr>
                  <w:r>
                    <w:rPr>
                      <w:rFonts w:hint="eastAsia"/>
                      <w:szCs w:val="21"/>
                    </w:rPr>
                    <w:t>符合</w:t>
                  </w:r>
                </w:p>
              </w:tc>
            </w:tr>
            <w:tr w14:paraId="3DE0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7A98EC89">
                  <w:pPr>
                    <w:autoSpaceDE w:val="0"/>
                    <w:autoSpaceDN w:val="0"/>
                    <w:adjustRightInd w:val="0"/>
                    <w:snapToGrid w:val="0"/>
                    <w:jc w:val="center"/>
                    <w:rPr>
                      <w:rFonts w:ascii="宋体" w:hAnsi="宋体" w:cs="宋体"/>
                      <w:kern w:val="0"/>
                      <w:szCs w:val="21"/>
                    </w:rPr>
                  </w:pPr>
                </w:p>
              </w:tc>
              <w:tc>
                <w:tcPr>
                  <w:tcW w:w="3686" w:type="dxa"/>
                  <w:vAlign w:val="center"/>
                </w:tcPr>
                <w:p w14:paraId="00BAC402">
                  <w:pPr>
                    <w:autoSpaceDE w:val="0"/>
                    <w:autoSpaceDN w:val="0"/>
                    <w:adjustRightInd w:val="0"/>
                    <w:snapToGrid w:val="0"/>
                    <w:rPr>
                      <w:rFonts w:ascii="宋体" w:hAnsi="宋体" w:cs="宋体"/>
                      <w:kern w:val="0"/>
                      <w:szCs w:val="21"/>
                    </w:rPr>
                  </w:pPr>
                  <w:r>
                    <w:rPr>
                      <w:rFonts w:hint="eastAsia" w:ascii="宋体" w:hAnsi="宋体" w:cs="宋体"/>
                      <w:kern w:val="0"/>
                      <w:szCs w:val="21"/>
                    </w:rPr>
                    <w:t>鼓励开发区内建设集中的喷涂中心，禁止露天和敞开式喷漆项目</w:t>
                  </w:r>
                </w:p>
              </w:tc>
              <w:tc>
                <w:tcPr>
                  <w:tcW w:w="1984" w:type="dxa"/>
                  <w:vAlign w:val="center"/>
                </w:tcPr>
                <w:p w14:paraId="09BB4ED5">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本项目不涉及</w:t>
                  </w:r>
                </w:p>
              </w:tc>
              <w:tc>
                <w:tcPr>
                  <w:tcW w:w="776" w:type="dxa"/>
                  <w:vAlign w:val="center"/>
                </w:tcPr>
                <w:p w14:paraId="72939F32">
                  <w:pPr>
                    <w:autoSpaceDE w:val="0"/>
                    <w:autoSpaceDN w:val="0"/>
                    <w:adjustRightInd w:val="0"/>
                    <w:snapToGrid w:val="0"/>
                    <w:jc w:val="center"/>
                    <w:rPr>
                      <w:szCs w:val="21"/>
                    </w:rPr>
                  </w:pPr>
                  <w:r>
                    <w:rPr>
                      <w:rFonts w:hint="eastAsia"/>
                      <w:szCs w:val="21"/>
                    </w:rPr>
                    <w:t>符合</w:t>
                  </w:r>
                </w:p>
              </w:tc>
            </w:tr>
            <w:tr w14:paraId="09E3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086F958D">
                  <w:pPr>
                    <w:autoSpaceDE w:val="0"/>
                    <w:autoSpaceDN w:val="0"/>
                    <w:adjustRightInd w:val="0"/>
                    <w:snapToGrid w:val="0"/>
                    <w:jc w:val="center"/>
                    <w:rPr>
                      <w:rFonts w:ascii="宋体" w:hAnsi="宋体" w:cs="宋体"/>
                      <w:kern w:val="0"/>
                      <w:szCs w:val="21"/>
                    </w:rPr>
                  </w:pPr>
                </w:p>
              </w:tc>
              <w:tc>
                <w:tcPr>
                  <w:tcW w:w="3686" w:type="dxa"/>
                  <w:vAlign w:val="center"/>
                </w:tcPr>
                <w:p w14:paraId="6F25C605">
                  <w:pPr>
                    <w:autoSpaceDE w:val="0"/>
                    <w:autoSpaceDN w:val="0"/>
                    <w:adjustRightInd w:val="0"/>
                    <w:snapToGrid w:val="0"/>
                    <w:rPr>
                      <w:rFonts w:ascii="宋体" w:hAnsi="宋体" w:cs="宋体"/>
                      <w:kern w:val="0"/>
                      <w:szCs w:val="21"/>
                    </w:rPr>
                  </w:pPr>
                  <w:r>
                    <w:rPr>
                      <w:rFonts w:hint="eastAsia" w:ascii="宋体" w:hAnsi="宋体" w:cs="宋体"/>
                      <w:kern w:val="0"/>
                      <w:szCs w:val="21"/>
                    </w:rPr>
                    <w:t>在园区实现集中供热之前，禁止新建燃煤、重油及高污染燃料的锅炉项目。在园区实现集中供热之后，在保障各企业工业用蒸汽的等级、压力及用汽的连续性的基础上，原则上不再新增分散式燃气锅炉项目，原有的分散锅炉应逐步取缔。</w:t>
                  </w:r>
                </w:p>
              </w:tc>
              <w:tc>
                <w:tcPr>
                  <w:tcW w:w="1984" w:type="dxa"/>
                  <w:vAlign w:val="center"/>
                </w:tcPr>
                <w:p w14:paraId="31804445">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本项目不涉及</w:t>
                  </w:r>
                </w:p>
              </w:tc>
              <w:tc>
                <w:tcPr>
                  <w:tcW w:w="776" w:type="dxa"/>
                  <w:vAlign w:val="center"/>
                </w:tcPr>
                <w:p w14:paraId="154F26C2">
                  <w:pPr>
                    <w:autoSpaceDE w:val="0"/>
                    <w:autoSpaceDN w:val="0"/>
                    <w:adjustRightInd w:val="0"/>
                    <w:snapToGrid w:val="0"/>
                    <w:jc w:val="center"/>
                    <w:rPr>
                      <w:szCs w:val="21"/>
                    </w:rPr>
                  </w:pPr>
                  <w:r>
                    <w:rPr>
                      <w:rFonts w:hint="eastAsia"/>
                      <w:szCs w:val="21"/>
                    </w:rPr>
                    <w:t>符合</w:t>
                  </w:r>
                </w:p>
              </w:tc>
            </w:tr>
            <w:tr w14:paraId="0F98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6B9D795E">
                  <w:pPr>
                    <w:autoSpaceDE w:val="0"/>
                    <w:autoSpaceDN w:val="0"/>
                    <w:adjustRightInd w:val="0"/>
                    <w:snapToGrid w:val="0"/>
                    <w:jc w:val="center"/>
                    <w:rPr>
                      <w:rFonts w:ascii="宋体" w:hAnsi="宋体" w:cs="宋体"/>
                      <w:kern w:val="0"/>
                      <w:szCs w:val="21"/>
                    </w:rPr>
                  </w:pPr>
                </w:p>
              </w:tc>
              <w:tc>
                <w:tcPr>
                  <w:tcW w:w="3686" w:type="dxa"/>
                  <w:vAlign w:val="center"/>
                </w:tcPr>
                <w:p w14:paraId="305F6FC4">
                  <w:pPr>
                    <w:autoSpaceDE w:val="0"/>
                    <w:autoSpaceDN w:val="0"/>
                    <w:adjustRightInd w:val="0"/>
                    <w:snapToGrid w:val="0"/>
                    <w:rPr>
                      <w:rFonts w:ascii="宋体" w:hAnsi="宋体" w:cs="宋体"/>
                      <w:kern w:val="0"/>
                      <w:szCs w:val="21"/>
                    </w:rPr>
                  </w:pPr>
                  <w:r>
                    <w:rPr>
                      <w:rFonts w:hint="eastAsia" w:ascii="宋体" w:hAnsi="宋体" w:cs="宋体"/>
                      <w:kern w:val="0"/>
                      <w:szCs w:val="21"/>
                    </w:rPr>
                    <w:t>鼓励中水回用、污水深度治理等基础设施项目入驻</w:t>
                  </w:r>
                </w:p>
              </w:tc>
              <w:tc>
                <w:tcPr>
                  <w:tcW w:w="1984" w:type="dxa"/>
                  <w:vAlign w:val="center"/>
                </w:tcPr>
                <w:p w14:paraId="1FCB70D9">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本项目不涉及</w:t>
                  </w:r>
                </w:p>
              </w:tc>
              <w:tc>
                <w:tcPr>
                  <w:tcW w:w="776" w:type="dxa"/>
                  <w:vAlign w:val="center"/>
                </w:tcPr>
                <w:p w14:paraId="369231B5">
                  <w:pPr>
                    <w:autoSpaceDE w:val="0"/>
                    <w:autoSpaceDN w:val="0"/>
                    <w:adjustRightInd w:val="0"/>
                    <w:snapToGrid w:val="0"/>
                    <w:jc w:val="center"/>
                    <w:rPr>
                      <w:szCs w:val="21"/>
                    </w:rPr>
                  </w:pPr>
                  <w:r>
                    <w:rPr>
                      <w:rFonts w:hint="eastAsia"/>
                      <w:szCs w:val="21"/>
                    </w:rPr>
                    <w:t>符合</w:t>
                  </w:r>
                </w:p>
              </w:tc>
            </w:tr>
            <w:tr w14:paraId="4A9C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restart"/>
                  <w:vAlign w:val="center"/>
                </w:tcPr>
                <w:p w14:paraId="1B8ABE62">
                  <w:pPr>
                    <w:autoSpaceDE w:val="0"/>
                    <w:autoSpaceDN w:val="0"/>
                    <w:adjustRightInd w:val="0"/>
                    <w:snapToGrid w:val="0"/>
                    <w:jc w:val="center"/>
                    <w:rPr>
                      <w:rFonts w:ascii="宋体" w:hAnsi="宋体" w:cs="宋体"/>
                      <w:kern w:val="0"/>
                      <w:szCs w:val="21"/>
                    </w:rPr>
                  </w:pPr>
                  <w:r>
                    <w:rPr>
                      <w:rFonts w:ascii="宋体" w:hAnsi="宋体" w:cs="宋体"/>
                      <w:kern w:val="0"/>
                      <w:szCs w:val="21"/>
                    </w:rPr>
                    <w:t>空间布局约束</w:t>
                  </w:r>
                </w:p>
              </w:tc>
              <w:tc>
                <w:tcPr>
                  <w:tcW w:w="3686" w:type="dxa"/>
                  <w:vAlign w:val="center"/>
                </w:tcPr>
                <w:p w14:paraId="05ACD1CA">
                  <w:pPr>
                    <w:autoSpaceDE w:val="0"/>
                    <w:autoSpaceDN w:val="0"/>
                    <w:adjustRightInd w:val="0"/>
                    <w:snapToGrid w:val="0"/>
                    <w:rPr>
                      <w:rFonts w:ascii="宋体" w:hAnsi="宋体" w:cs="宋体"/>
                      <w:kern w:val="0"/>
                      <w:szCs w:val="21"/>
                    </w:rPr>
                  </w:pPr>
                  <w:r>
                    <w:rPr>
                      <w:rFonts w:hint="eastAsia" w:ascii="宋体" w:hAnsi="宋体" w:cs="宋体"/>
                      <w:kern w:val="0"/>
                      <w:szCs w:val="21"/>
                    </w:rPr>
                    <w:t>禁止新建选址不符合“三线一单”和规划环评空间管控要求的项目入驻。</w:t>
                  </w:r>
                </w:p>
              </w:tc>
              <w:tc>
                <w:tcPr>
                  <w:tcW w:w="1984" w:type="dxa"/>
                  <w:vAlign w:val="center"/>
                </w:tcPr>
                <w:p w14:paraId="001D72FC">
                  <w:pPr>
                    <w:autoSpaceDE w:val="0"/>
                    <w:autoSpaceDN w:val="0"/>
                    <w:adjustRightInd w:val="0"/>
                    <w:snapToGrid w:val="0"/>
                    <w:jc w:val="center"/>
                    <w:rPr>
                      <w:rFonts w:asciiTheme="minorEastAsia" w:hAnsiTheme="minorEastAsia" w:eastAsiaTheme="minorEastAsia"/>
                      <w:kern w:val="0"/>
                      <w:szCs w:val="21"/>
                    </w:rPr>
                  </w:pPr>
                  <w:r>
                    <w:rPr>
                      <w:rFonts w:asciiTheme="minorEastAsia" w:hAnsiTheme="minorEastAsia" w:eastAsiaTheme="minorEastAsia"/>
                      <w:kern w:val="0"/>
                      <w:szCs w:val="21"/>
                    </w:rPr>
                    <w:t>对照“河南省“三线一单”生态环境分区管控更新成果</w:t>
                  </w:r>
                  <w:r>
                    <w:rPr>
                      <w:rFonts w:eastAsiaTheme="minorEastAsia"/>
                      <w:kern w:val="0"/>
                      <w:szCs w:val="21"/>
                    </w:rPr>
                    <w:t>（2023年版）</w:t>
                  </w:r>
                  <w:r>
                    <w:rPr>
                      <w:rFonts w:asciiTheme="minorEastAsia" w:hAnsiTheme="minorEastAsia" w:eastAsiaTheme="minorEastAsia"/>
                      <w:kern w:val="0"/>
                      <w:szCs w:val="21"/>
                    </w:rPr>
                    <w:t>”，本项目符合“三线一单”和规划环评空间管控相关要求</w:t>
                  </w:r>
                </w:p>
              </w:tc>
              <w:tc>
                <w:tcPr>
                  <w:tcW w:w="776" w:type="dxa"/>
                  <w:vAlign w:val="center"/>
                </w:tcPr>
                <w:p w14:paraId="23588962">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024A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72B5181A">
                  <w:pPr>
                    <w:autoSpaceDE w:val="0"/>
                    <w:autoSpaceDN w:val="0"/>
                    <w:adjustRightInd w:val="0"/>
                    <w:snapToGrid w:val="0"/>
                    <w:jc w:val="center"/>
                    <w:rPr>
                      <w:rFonts w:ascii="宋体" w:hAnsi="宋体" w:cs="宋体"/>
                      <w:kern w:val="0"/>
                      <w:szCs w:val="21"/>
                    </w:rPr>
                  </w:pPr>
                </w:p>
              </w:tc>
              <w:tc>
                <w:tcPr>
                  <w:tcW w:w="3686" w:type="dxa"/>
                  <w:vAlign w:val="center"/>
                </w:tcPr>
                <w:p w14:paraId="25888B21">
                  <w:pPr>
                    <w:autoSpaceDE w:val="0"/>
                    <w:autoSpaceDN w:val="0"/>
                    <w:adjustRightInd w:val="0"/>
                    <w:snapToGrid w:val="0"/>
                    <w:rPr>
                      <w:rFonts w:ascii="宋体" w:hAnsi="宋体" w:cs="宋体"/>
                      <w:kern w:val="0"/>
                      <w:szCs w:val="21"/>
                    </w:rPr>
                  </w:pPr>
                  <w:r>
                    <w:rPr>
                      <w:rFonts w:hint="eastAsia" w:ascii="宋体" w:hAnsi="宋体" w:cs="宋体"/>
                      <w:kern w:val="0"/>
                      <w:szCs w:val="21"/>
                    </w:rPr>
                    <w:t>禁止在黄河干支流岸线管控范围内新建、扩建化工项目；禁止在黄河干流岸线和重要支流岸线的管控范围内新建、改建、扩建尾矿库，但是以提升安全水平、生态环境保护水平为目的的改建除外。</w:t>
                  </w:r>
                </w:p>
              </w:tc>
              <w:tc>
                <w:tcPr>
                  <w:tcW w:w="1984" w:type="dxa"/>
                  <w:vAlign w:val="center"/>
                </w:tcPr>
                <w:p w14:paraId="7F48760F">
                  <w:pPr>
                    <w:autoSpaceDE w:val="0"/>
                    <w:autoSpaceDN w:val="0"/>
                    <w:adjustRightInd w:val="0"/>
                    <w:snapToGrid w:val="0"/>
                    <w:jc w:val="center"/>
                    <w:rPr>
                      <w:kern w:val="0"/>
                      <w:szCs w:val="21"/>
                    </w:rPr>
                  </w:pPr>
                  <w:r>
                    <w:rPr>
                      <w:kern w:val="0"/>
                      <w:szCs w:val="21"/>
                    </w:rPr>
                    <w:t>本项目不涉及</w:t>
                  </w:r>
                </w:p>
              </w:tc>
              <w:tc>
                <w:tcPr>
                  <w:tcW w:w="776" w:type="dxa"/>
                  <w:vAlign w:val="center"/>
                </w:tcPr>
                <w:p w14:paraId="5B3B9B8F">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71F1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73F93B08">
                  <w:pPr>
                    <w:autoSpaceDE w:val="0"/>
                    <w:autoSpaceDN w:val="0"/>
                    <w:adjustRightInd w:val="0"/>
                    <w:snapToGrid w:val="0"/>
                    <w:jc w:val="center"/>
                    <w:rPr>
                      <w:rFonts w:ascii="宋体" w:hAnsi="宋体" w:cs="宋体"/>
                      <w:kern w:val="0"/>
                      <w:szCs w:val="21"/>
                    </w:rPr>
                  </w:pPr>
                </w:p>
              </w:tc>
              <w:tc>
                <w:tcPr>
                  <w:tcW w:w="3686" w:type="dxa"/>
                  <w:vAlign w:val="center"/>
                </w:tcPr>
                <w:p w14:paraId="69A7F7D4">
                  <w:pPr>
                    <w:autoSpaceDE w:val="0"/>
                    <w:autoSpaceDN w:val="0"/>
                    <w:adjustRightInd w:val="0"/>
                    <w:snapToGrid w:val="0"/>
                    <w:rPr>
                      <w:rFonts w:ascii="宋体" w:hAnsi="宋体" w:cs="宋体"/>
                      <w:kern w:val="0"/>
                      <w:szCs w:val="21"/>
                    </w:rPr>
                  </w:pPr>
                  <w:r>
                    <w:rPr>
                      <w:rFonts w:hint="eastAsia" w:ascii="宋体" w:hAnsi="宋体" w:cs="宋体"/>
                      <w:kern w:val="0"/>
                      <w:szCs w:val="21"/>
                    </w:rPr>
                    <w:t>禁止大气环境防护距离和环境风险防护距离范围涉及规划教育、医疗等用地的项目入驻。</w:t>
                  </w:r>
                </w:p>
              </w:tc>
              <w:tc>
                <w:tcPr>
                  <w:tcW w:w="1984" w:type="dxa"/>
                  <w:vAlign w:val="center"/>
                </w:tcPr>
                <w:p w14:paraId="297121A2">
                  <w:pPr>
                    <w:autoSpaceDE w:val="0"/>
                    <w:autoSpaceDN w:val="0"/>
                    <w:adjustRightInd w:val="0"/>
                    <w:snapToGrid w:val="0"/>
                    <w:jc w:val="center"/>
                    <w:rPr>
                      <w:rFonts w:ascii="宋体" w:hAnsi="宋体" w:cs="宋体"/>
                      <w:kern w:val="0"/>
                      <w:szCs w:val="21"/>
                    </w:rPr>
                  </w:pPr>
                  <w:r>
                    <w:rPr>
                      <w:rFonts w:ascii="宋体" w:hAnsi="宋体" w:cs="宋体"/>
                      <w:kern w:val="0"/>
                      <w:szCs w:val="21"/>
                    </w:rPr>
                    <w:t>本项目不涉及</w:t>
                  </w:r>
                </w:p>
              </w:tc>
              <w:tc>
                <w:tcPr>
                  <w:tcW w:w="776" w:type="dxa"/>
                  <w:vAlign w:val="center"/>
                </w:tcPr>
                <w:p w14:paraId="12F4953B">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6B9D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26B73B03">
                  <w:pPr>
                    <w:autoSpaceDE w:val="0"/>
                    <w:autoSpaceDN w:val="0"/>
                    <w:adjustRightInd w:val="0"/>
                    <w:snapToGrid w:val="0"/>
                    <w:jc w:val="center"/>
                    <w:rPr>
                      <w:rFonts w:ascii="宋体" w:hAnsi="宋体" w:cs="宋体"/>
                      <w:kern w:val="0"/>
                      <w:szCs w:val="21"/>
                    </w:rPr>
                  </w:pPr>
                </w:p>
              </w:tc>
              <w:tc>
                <w:tcPr>
                  <w:tcW w:w="3686" w:type="dxa"/>
                  <w:vAlign w:val="center"/>
                </w:tcPr>
                <w:p w14:paraId="7A08BA7A">
                  <w:pPr>
                    <w:autoSpaceDE w:val="0"/>
                    <w:autoSpaceDN w:val="0"/>
                    <w:adjustRightInd w:val="0"/>
                    <w:snapToGrid w:val="0"/>
                    <w:rPr>
                      <w:rFonts w:ascii="宋体" w:hAnsi="宋体" w:cs="宋体"/>
                      <w:kern w:val="0"/>
                      <w:szCs w:val="21"/>
                    </w:rPr>
                  </w:pPr>
                  <w:r>
                    <w:rPr>
                      <w:rFonts w:hint="eastAsia" w:ascii="宋体" w:hAnsi="宋体" w:cs="宋体"/>
                      <w:kern w:val="0"/>
                      <w:szCs w:val="21"/>
                    </w:rPr>
                    <w:t>被列入建设用地土壤污染风险管控和修复名录的地块，不得作为住宅、公共管理和公共服务设施用地。</w:t>
                  </w:r>
                </w:p>
              </w:tc>
              <w:tc>
                <w:tcPr>
                  <w:tcW w:w="1984" w:type="dxa"/>
                  <w:vAlign w:val="center"/>
                </w:tcPr>
                <w:p w14:paraId="369FA40E">
                  <w:pPr>
                    <w:autoSpaceDE w:val="0"/>
                    <w:autoSpaceDN w:val="0"/>
                    <w:adjustRightInd w:val="0"/>
                    <w:snapToGrid w:val="0"/>
                    <w:jc w:val="center"/>
                    <w:rPr>
                      <w:sz w:val="20"/>
                      <w:szCs w:val="20"/>
                    </w:rPr>
                  </w:pPr>
                  <w:r>
                    <w:rPr>
                      <w:rFonts w:ascii="宋体" w:hAnsi="宋体" w:cs="宋体"/>
                      <w:kern w:val="0"/>
                      <w:szCs w:val="21"/>
                    </w:rPr>
                    <w:t>本项目不涉及</w:t>
                  </w:r>
                </w:p>
              </w:tc>
              <w:tc>
                <w:tcPr>
                  <w:tcW w:w="776" w:type="dxa"/>
                  <w:vAlign w:val="center"/>
                </w:tcPr>
                <w:p w14:paraId="62B796C6">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69DA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4" w:type="dxa"/>
                  <w:vMerge w:val="continue"/>
                  <w:vAlign w:val="center"/>
                </w:tcPr>
                <w:p w14:paraId="6493D0B0">
                  <w:pPr>
                    <w:autoSpaceDE w:val="0"/>
                    <w:autoSpaceDN w:val="0"/>
                    <w:adjustRightInd w:val="0"/>
                    <w:snapToGrid w:val="0"/>
                    <w:jc w:val="center"/>
                    <w:rPr>
                      <w:rFonts w:ascii="宋体" w:hAnsi="宋体" w:cs="宋体"/>
                      <w:kern w:val="0"/>
                      <w:szCs w:val="21"/>
                    </w:rPr>
                  </w:pPr>
                </w:p>
              </w:tc>
              <w:tc>
                <w:tcPr>
                  <w:tcW w:w="3686" w:type="dxa"/>
                  <w:vAlign w:val="center"/>
                </w:tcPr>
                <w:p w14:paraId="4229B7D0">
                  <w:pPr>
                    <w:autoSpaceDE w:val="0"/>
                    <w:autoSpaceDN w:val="0"/>
                    <w:adjustRightInd w:val="0"/>
                    <w:snapToGrid w:val="0"/>
                    <w:rPr>
                      <w:rFonts w:ascii="宋体" w:hAnsi="宋体" w:cs="宋体"/>
                      <w:kern w:val="0"/>
                      <w:szCs w:val="21"/>
                    </w:rPr>
                  </w:pPr>
                  <w:r>
                    <w:rPr>
                      <w:rFonts w:hint="eastAsia" w:ascii="宋体" w:hAnsi="宋体" w:cs="宋体"/>
                      <w:kern w:val="0"/>
                      <w:szCs w:val="21"/>
                    </w:rPr>
                    <w:t>按照当地主导风向，从南至北依次布设家居制造、食品加工、机械加工，同时考虑到区内现有居民点的整合，布设综合服务带贯通三个产业片区。</w:t>
                  </w:r>
                </w:p>
              </w:tc>
              <w:tc>
                <w:tcPr>
                  <w:tcW w:w="1984" w:type="dxa"/>
                  <w:vAlign w:val="center"/>
                </w:tcPr>
                <w:p w14:paraId="020F46FF">
                  <w:pPr>
                    <w:autoSpaceDE w:val="0"/>
                    <w:autoSpaceDN w:val="0"/>
                    <w:adjustRightInd w:val="0"/>
                    <w:snapToGrid w:val="0"/>
                    <w:jc w:val="center"/>
                    <w:rPr>
                      <w:sz w:val="20"/>
                      <w:szCs w:val="20"/>
                    </w:rPr>
                  </w:pPr>
                  <w:r>
                    <w:rPr>
                      <w:rFonts w:ascii="宋体" w:hAnsi="宋体" w:cs="宋体"/>
                      <w:kern w:val="0"/>
                      <w:szCs w:val="21"/>
                    </w:rPr>
                    <w:t>本项目不涉及</w:t>
                  </w:r>
                </w:p>
              </w:tc>
              <w:tc>
                <w:tcPr>
                  <w:tcW w:w="776" w:type="dxa"/>
                  <w:vAlign w:val="center"/>
                </w:tcPr>
                <w:p w14:paraId="4F2A9F4B">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2ABC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restart"/>
                  <w:vAlign w:val="center"/>
                </w:tcPr>
                <w:p w14:paraId="5CD2B772">
                  <w:pPr>
                    <w:autoSpaceDE w:val="0"/>
                    <w:autoSpaceDN w:val="0"/>
                    <w:adjustRightInd w:val="0"/>
                    <w:snapToGrid w:val="0"/>
                    <w:jc w:val="center"/>
                    <w:rPr>
                      <w:rFonts w:ascii="宋体" w:hAnsi="宋体" w:cs="宋体"/>
                      <w:kern w:val="0"/>
                      <w:szCs w:val="21"/>
                    </w:rPr>
                  </w:pPr>
                  <w:r>
                    <w:rPr>
                      <w:rFonts w:ascii="宋体" w:hAnsi="宋体" w:cs="宋体"/>
                      <w:kern w:val="0"/>
                      <w:szCs w:val="21"/>
                    </w:rPr>
                    <w:t>污染物排放管控</w:t>
                  </w:r>
                </w:p>
              </w:tc>
              <w:tc>
                <w:tcPr>
                  <w:tcW w:w="3686" w:type="dxa"/>
                  <w:vAlign w:val="center"/>
                </w:tcPr>
                <w:p w14:paraId="53077128">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新建项目的大气和水污染物排放指标必须在提高区域内现有工业污染负荷削减量或城市污染负荷削减量中调剂；入驻集聚区项目单位产品污染物排放必须满足行业污染物排放标准。新改扩建设项目主要污染物排放应满足总量减排要求。</w:t>
                  </w:r>
                </w:p>
              </w:tc>
              <w:tc>
                <w:tcPr>
                  <w:tcW w:w="1984" w:type="dxa"/>
                  <w:vAlign w:val="center"/>
                </w:tcPr>
                <w:p w14:paraId="28814422">
                  <w:pPr>
                    <w:autoSpaceDE w:val="0"/>
                    <w:autoSpaceDN w:val="0"/>
                    <w:adjustRightInd w:val="0"/>
                    <w:snapToGrid w:val="0"/>
                    <w:jc w:val="center"/>
                    <w:rPr>
                      <w:kern w:val="0"/>
                      <w:szCs w:val="21"/>
                    </w:rPr>
                  </w:pPr>
                  <w:r>
                    <w:rPr>
                      <w:rFonts w:hint="eastAsia"/>
                      <w:kern w:val="0"/>
                      <w:szCs w:val="21"/>
                    </w:rPr>
                    <w:t>本项目各污染物经处理后均达标排放</w:t>
                  </w:r>
                </w:p>
              </w:tc>
              <w:tc>
                <w:tcPr>
                  <w:tcW w:w="776" w:type="dxa"/>
                  <w:vAlign w:val="center"/>
                </w:tcPr>
                <w:p w14:paraId="5B26E43F">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271E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586E8DEF">
                  <w:pPr>
                    <w:autoSpaceDE w:val="0"/>
                    <w:autoSpaceDN w:val="0"/>
                    <w:adjustRightInd w:val="0"/>
                    <w:snapToGrid w:val="0"/>
                    <w:jc w:val="center"/>
                    <w:rPr>
                      <w:rFonts w:ascii="宋体" w:hAnsi="宋体" w:cs="宋体"/>
                      <w:kern w:val="0"/>
                      <w:szCs w:val="21"/>
                    </w:rPr>
                  </w:pPr>
                </w:p>
              </w:tc>
              <w:tc>
                <w:tcPr>
                  <w:tcW w:w="3686" w:type="dxa"/>
                  <w:vAlign w:val="center"/>
                </w:tcPr>
                <w:p w14:paraId="6B3D1172">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国家、省级绩效分级重点行业的新建、改建、扩建项目应达到B级及以上要求。</w:t>
                  </w:r>
                </w:p>
              </w:tc>
              <w:tc>
                <w:tcPr>
                  <w:tcW w:w="1984" w:type="dxa"/>
                  <w:vAlign w:val="center"/>
                </w:tcPr>
                <w:p w14:paraId="0777A682">
                  <w:pPr>
                    <w:autoSpaceDE w:val="0"/>
                    <w:autoSpaceDN w:val="0"/>
                    <w:adjustRightInd w:val="0"/>
                    <w:snapToGrid w:val="0"/>
                    <w:jc w:val="center"/>
                    <w:rPr>
                      <w:rFonts w:ascii="宋体" w:hAnsi="宋体"/>
                      <w:kern w:val="0"/>
                      <w:szCs w:val="21"/>
                    </w:rPr>
                  </w:pPr>
                  <w:r>
                    <w:rPr>
                      <w:rFonts w:hint="eastAsia" w:ascii="宋体" w:hAnsi="宋体"/>
                      <w:kern w:val="0"/>
                      <w:szCs w:val="21"/>
                    </w:rPr>
                    <w:t>本项目按照国家重点行业-玻璃后加工、玻璃球拉丝企业绩效引领性指标要求进行建设</w:t>
                  </w:r>
                </w:p>
              </w:tc>
              <w:tc>
                <w:tcPr>
                  <w:tcW w:w="776" w:type="dxa"/>
                  <w:vAlign w:val="center"/>
                </w:tcPr>
                <w:p w14:paraId="595C64A2">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66D5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70C2CBCF">
                  <w:pPr>
                    <w:autoSpaceDE w:val="0"/>
                    <w:autoSpaceDN w:val="0"/>
                    <w:adjustRightInd w:val="0"/>
                    <w:snapToGrid w:val="0"/>
                    <w:jc w:val="center"/>
                    <w:rPr>
                      <w:rFonts w:ascii="宋体" w:hAnsi="宋体" w:cs="宋体"/>
                      <w:kern w:val="0"/>
                      <w:szCs w:val="21"/>
                    </w:rPr>
                  </w:pPr>
                </w:p>
              </w:tc>
              <w:tc>
                <w:tcPr>
                  <w:tcW w:w="3686" w:type="dxa"/>
                  <w:vAlign w:val="center"/>
                </w:tcPr>
                <w:p w14:paraId="4A0CEEF8">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对于废水水量较大、水质浓度较高，对开发区污水处理厂易造成冲击，影响污水处理厂稳定运行达标排放的项目，禁止入驻。</w:t>
                  </w:r>
                </w:p>
              </w:tc>
              <w:tc>
                <w:tcPr>
                  <w:tcW w:w="1984" w:type="dxa"/>
                  <w:vAlign w:val="center"/>
                </w:tcPr>
                <w:p w14:paraId="7DAA11C6">
                  <w:pPr>
                    <w:autoSpaceDE w:val="0"/>
                    <w:autoSpaceDN w:val="0"/>
                    <w:adjustRightInd w:val="0"/>
                    <w:snapToGrid w:val="0"/>
                    <w:jc w:val="center"/>
                    <w:rPr>
                      <w:kern w:val="0"/>
                      <w:szCs w:val="21"/>
                      <w:u w:val="single"/>
                    </w:rPr>
                  </w:pPr>
                  <w:r>
                    <w:rPr>
                      <w:kern w:val="0"/>
                      <w:szCs w:val="21"/>
                      <w:u w:val="single"/>
                    </w:rPr>
                    <w:t>本项目</w:t>
                  </w:r>
                  <w:r>
                    <w:rPr>
                      <w:rFonts w:hint="eastAsia"/>
                      <w:kern w:val="0"/>
                      <w:szCs w:val="21"/>
                      <w:u w:val="single"/>
                    </w:rPr>
                    <w:t>生产废水经循环水槽收集后循环使用，定期更换的生产废水经三级沉淀池处理后部分回用于磨边工序，剩余废水定期外排；生活污水</w:t>
                  </w:r>
                  <w:r>
                    <w:rPr>
                      <w:kern w:val="0"/>
                      <w:szCs w:val="21"/>
                      <w:u w:val="single"/>
                    </w:rPr>
                    <w:t>经化粪池处理</w:t>
                  </w:r>
                  <w:r>
                    <w:rPr>
                      <w:rFonts w:hint="eastAsia"/>
                      <w:kern w:val="0"/>
                      <w:szCs w:val="21"/>
                      <w:u w:val="single"/>
                    </w:rPr>
                    <w:t>；</w:t>
                  </w:r>
                  <w:r>
                    <w:rPr>
                      <w:kern w:val="0"/>
                      <w:szCs w:val="21"/>
                      <w:u w:val="single"/>
                    </w:rPr>
                    <w:t>处理后的生产废水和生活污水与纯水制备浓水一起排入市政管网</w:t>
                  </w:r>
                  <w:r>
                    <w:rPr>
                      <w:rFonts w:hint="eastAsia"/>
                      <w:kern w:val="0"/>
                      <w:szCs w:val="21"/>
                      <w:u w:val="single"/>
                    </w:rPr>
                    <w:t>，</w:t>
                  </w:r>
                  <w:r>
                    <w:rPr>
                      <w:kern w:val="0"/>
                      <w:szCs w:val="21"/>
                      <w:u w:val="single"/>
                    </w:rPr>
                    <w:t>由市政管网排入</w:t>
                  </w:r>
                  <w:r>
                    <w:rPr>
                      <w:rFonts w:hint="eastAsia"/>
                      <w:kern w:val="0"/>
                      <w:szCs w:val="21"/>
                      <w:u w:val="single"/>
                    </w:rPr>
                    <w:t>清丰中州水务有限公司第二污水处理厂进行处理，不会对污水处理厂稳定运行造成冲击</w:t>
                  </w:r>
                </w:p>
              </w:tc>
              <w:tc>
                <w:tcPr>
                  <w:tcW w:w="776" w:type="dxa"/>
                  <w:vAlign w:val="center"/>
                </w:tcPr>
                <w:p w14:paraId="1220C2AC">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5348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65CE05F4">
                  <w:pPr>
                    <w:autoSpaceDE w:val="0"/>
                    <w:autoSpaceDN w:val="0"/>
                    <w:adjustRightInd w:val="0"/>
                    <w:snapToGrid w:val="0"/>
                    <w:jc w:val="center"/>
                    <w:rPr>
                      <w:rFonts w:ascii="宋体" w:hAnsi="宋体" w:cs="宋体"/>
                      <w:kern w:val="0"/>
                      <w:szCs w:val="21"/>
                    </w:rPr>
                  </w:pPr>
                </w:p>
              </w:tc>
              <w:tc>
                <w:tcPr>
                  <w:tcW w:w="3686" w:type="dxa"/>
                  <w:vAlign w:val="center"/>
                </w:tcPr>
                <w:p w14:paraId="4B7F96CD">
                  <w:pPr>
                    <w:autoSpaceDE w:val="0"/>
                    <w:autoSpaceDN w:val="0"/>
                    <w:adjustRightInd w:val="0"/>
                    <w:snapToGrid w:val="0"/>
                    <w:jc w:val="center"/>
                    <w:rPr>
                      <w:kern w:val="0"/>
                      <w:szCs w:val="21"/>
                    </w:rPr>
                  </w:pPr>
                  <w:r>
                    <w:rPr>
                      <w:kern w:val="0"/>
                      <w:szCs w:val="21"/>
                    </w:rPr>
                    <w:t>新、改、扩建城镇污水处理厂按所在区域其尾水排放达到或优于《城镇污水处理厂污染物排放标准》（GB18918-2002）一级A标准和《地表水环境质量标准》（GB3838-2002）V类标准要求。</w:t>
                  </w:r>
                </w:p>
              </w:tc>
              <w:tc>
                <w:tcPr>
                  <w:tcW w:w="1984" w:type="dxa"/>
                  <w:vAlign w:val="center"/>
                </w:tcPr>
                <w:p w14:paraId="37E3C849">
                  <w:pPr>
                    <w:autoSpaceDE w:val="0"/>
                    <w:autoSpaceDN w:val="0"/>
                    <w:adjustRightInd w:val="0"/>
                    <w:snapToGrid w:val="0"/>
                    <w:jc w:val="center"/>
                    <w:rPr>
                      <w:kern w:val="0"/>
                      <w:szCs w:val="21"/>
                    </w:rPr>
                  </w:pPr>
                  <w:r>
                    <w:rPr>
                      <w:kern w:val="0"/>
                      <w:szCs w:val="21"/>
                    </w:rPr>
                    <w:t>本项目不涉及</w:t>
                  </w:r>
                </w:p>
              </w:tc>
              <w:tc>
                <w:tcPr>
                  <w:tcW w:w="776" w:type="dxa"/>
                  <w:vAlign w:val="center"/>
                </w:tcPr>
                <w:p w14:paraId="6D15FDA6">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1FDB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7B8D13BF">
                  <w:pPr>
                    <w:autoSpaceDE w:val="0"/>
                    <w:autoSpaceDN w:val="0"/>
                    <w:adjustRightInd w:val="0"/>
                    <w:snapToGrid w:val="0"/>
                    <w:jc w:val="center"/>
                    <w:rPr>
                      <w:rFonts w:ascii="宋体" w:hAnsi="宋体" w:cs="宋体"/>
                      <w:kern w:val="0"/>
                      <w:szCs w:val="21"/>
                    </w:rPr>
                  </w:pPr>
                </w:p>
              </w:tc>
              <w:tc>
                <w:tcPr>
                  <w:tcW w:w="3686" w:type="dxa"/>
                  <w:vAlign w:val="center"/>
                </w:tcPr>
                <w:p w14:paraId="079D8829">
                  <w:pPr>
                    <w:autoSpaceDE w:val="0"/>
                    <w:autoSpaceDN w:val="0"/>
                    <w:adjustRightInd w:val="0"/>
                    <w:snapToGrid w:val="0"/>
                    <w:jc w:val="center"/>
                    <w:rPr>
                      <w:kern w:val="0"/>
                      <w:szCs w:val="21"/>
                    </w:rPr>
                  </w:pPr>
                  <w:r>
                    <w:rPr>
                      <w:kern w:val="0"/>
                      <w:szCs w:val="21"/>
                    </w:rPr>
                    <w:t>新建、改建、扩建涉VOCs排放项目应加强废气收集，安装适宜高效治理设施。</w:t>
                  </w:r>
                </w:p>
              </w:tc>
              <w:tc>
                <w:tcPr>
                  <w:tcW w:w="1984" w:type="dxa"/>
                  <w:vAlign w:val="center"/>
                </w:tcPr>
                <w:p w14:paraId="1A1CC0D7">
                  <w:pPr>
                    <w:autoSpaceDE w:val="0"/>
                    <w:autoSpaceDN w:val="0"/>
                    <w:adjustRightInd w:val="0"/>
                    <w:snapToGrid w:val="0"/>
                    <w:jc w:val="center"/>
                    <w:rPr>
                      <w:kern w:val="0"/>
                      <w:szCs w:val="21"/>
                    </w:rPr>
                  </w:pPr>
                  <w:r>
                    <w:rPr>
                      <w:kern w:val="0"/>
                      <w:szCs w:val="21"/>
                    </w:rPr>
                    <w:t>本项目本项目</w:t>
                  </w:r>
                  <w:r>
                    <w:rPr>
                      <w:rFonts w:hint="eastAsia"/>
                      <w:kern w:val="0"/>
                      <w:szCs w:val="21"/>
                    </w:rPr>
                    <w:t>涉及VOCs，</w:t>
                  </w:r>
                  <w:r>
                    <w:rPr>
                      <w:kern w:val="0"/>
                      <w:szCs w:val="21"/>
                    </w:rPr>
                    <w:t>中空工序有机废气经收集后采用</w:t>
                  </w:r>
                  <w:r>
                    <w:rPr>
                      <w:rFonts w:hint="eastAsia"/>
                      <w:kern w:val="0"/>
                      <w:szCs w:val="21"/>
                    </w:rPr>
                    <w:t>活性炭吸附-脱附+催化燃烧装置处理，处理达标后由15m高排气筒排放</w:t>
                  </w:r>
                </w:p>
              </w:tc>
              <w:tc>
                <w:tcPr>
                  <w:tcW w:w="776" w:type="dxa"/>
                  <w:vAlign w:val="center"/>
                </w:tcPr>
                <w:p w14:paraId="2CD7DEC8">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6455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00F9FE81">
                  <w:pPr>
                    <w:autoSpaceDE w:val="0"/>
                    <w:autoSpaceDN w:val="0"/>
                    <w:adjustRightInd w:val="0"/>
                    <w:snapToGrid w:val="0"/>
                    <w:jc w:val="center"/>
                    <w:rPr>
                      <w:rFonts w:ascii="宋体" w:hAnsi="宋体" w:cs="宋体"/>
                      <w:kern w:val="0"/>
                      <w:szCs w:val="21"/>
                    </w:rPr>
                  </w:pPr>
                </w:p>
              </w:tc>
              <w:tc>
                <w:tcPr>
                  <w:tcW w:w="3686" w:type="dxa"/>
                  <w:vAlign w:val="center"/>
                </w:tcPr>
                <w:p w14:paraId="5ECB8BAF">
                  <w:pPr>
                    <w:autoSpaceDE w:val="0"/>
                    <w:autoSpaceDN w:val="0"/>
                    <w:adjustRightInd w:val="0"/>
                    <w:snapToGrid w:val="0"/>
                    <w:jc w:val="center"/>
                    <w:rPr>
                      <w:kern w:val="0"/>
                      <w:szCs w:val="21"/>
                    </w:rPr>
                  </w:pPr>
                  <w:r>
                    <w:rPr>
                      <w:kern w:val="0"/>
                      <w:szCs w:val="21"/>
                    </w:rPr>
                    <w:t>新建项目VOCs排放需实行区域内等量或倍量削减替代。开发区内涉及VOCs废气排放的企业废气治理措施采用低温等离子体技术、UV光催化氧化技术、活性炭吸附技术等两种或两种以上组合工艺，禁止使用单一吸附、催化氧化等处理技术。</w:t>
                  </w:r>
                </w:p>
              </w:tc>
              <w:tc>
                <w:tcPr>
                  <w:tcW w:w="1984" w:type="dxa"/>
                  <w:vAlign w:val="center"/>
                </w:tcPr>
                <w:p w14:paraId="0CCB73EB">
                  <w:pPr>
                    <w:autoSpaceDE w:val="0"/>
                    <w:autoSpaceDN w:val="0"/>
                    <w:adjustRightInd w:val="0"/>
                    <w:snapToGrid w:val="0"/>
                    <w:jc w:val="center"/>
                    <w:rPr>
                      <w:kern w:val="0"/>
                      <w:szCs w:val="21"/>
                    </w:rPr>
                  </w:pPr>
                  <w:r>
                    <w:rPr>
                      <w:rFonts w:hint="eastAsia"/>
                      <w:kern w:val="0"/>
                      <w:szCs w:val="21"/>
                    </w:rPr>
                    <w:t>本项目中空工序有机废气经收集后采用活性炭吸附-脱附+催化燃烧装置进行处理，不属于单一吸附、催化氧化等处理技术</w:t>
                  </w:r>
                </w:p>
              </w:tc>
              <w:tc>
                <w:tcPr>
                  <w:tcW w:w="776" w:type="dxa"/>
                  <w:vAlign w:val="center"/>
                </w:tcPr>
                <w:p w14:paraId="7ABA4512">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60C2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1C18AD65">
                  <w:pPr>
                    <w:autoSpaceDE w:val="0"/>
                    <w:autoSpaceDN w:val="0"/>
                    <w:adjustRightInd w:val="0"/>
                    <w:snapToGrid w:val="0"/>
                    <w:jc w:val="center"/>
                    <w:rPr>
                      <w:rFonts w:ascii="宋体" w:hAnsi="宋体" w:cs="宋体"/>
                      <w:kern w:val="0"/>
                      <w:szCs w:val="21"/>
                    </w:rPr>
                  </w:pPr>
                </w:p>
              </w:tc>
              <w:tc>
                <w:tcPr>
                  <w:tcW w:w="3686" w:type="dxa"/>
                  <w:vAlign w:val="center"/>
                </w:tcPr>
                <w:p w14:paraId="3574C6B7">
                  <w:pPr>
                    <w:autoSpaceDE w:val="0"/>
                    <w:autoSpaceDN w:val="0"/>
                    <w:adjustRightInd w:val="0"/>
                    <w:snapToGrid w:val="0"/>
                    <w:jc w:val="center"/>
                    <w:rPr>
                      <w:kern w:val="0"/>
                      <w:szCs w:val="21"/>
                    </w:rPr>
                  </w:pPr>
                  <w:r>
                    <w:rPr>
                      <w:kern w:val="0"/>
                      <w:szCs w:val="21"/>
                    </w:rPr>
                    <w:t>新、改、扩建重点行业涉重点重金属（铅、汞、镉、铬、砷）项目，需实行重金属污染物排放“减量替代原则”，减量替代比例不低于1.1:1</w:t>
                  </w:r>
                </w:p>
              </w:tc>
              <w:tc>
                <w:tcPr>
                  <w:tcW w:w="1984" w:type="dxa"/>
                  <w:vAlign w:val="center"/>
                </w:tcPr>
                <w:p w14:paraId="4BC10547">
                  <w:pPr>
                    <w:autoSpaceDE w:val="0"/>
                    <w:autoSpaceDN w:val="0"/>
                    <w:adjustRightInd w:val="0"/>
                    <w:snapToGrid w:val="0"/>
                    <w:jc w:val="center"/>
                    <w:rPr>
                      <w:kern w:val="0"/>
                      <w:szCs w:val="21"/>
                    </w:rPr>
                  </w:pPr>
                  <w:r>
                    <w:rPr>
                      <w:kern w:val="0"/>
                      <w:szCs w:val="21"/>
                    </w:rPr>
                    <w:t>本项目不涉及</w:t>
                  </w:r>
                </w:p>
              </w:tc>
              <w:tc>
                <w:tcPr>
                  <w:tcW w:w="776" w:type="dxa"/>
                  <w:vAlign w:val="center"/>
                </w:tcPr>
                <w:p w14:paraId="2C93F75D">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7F40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5607681B">
                  <w:pPr>
                    <w:autoSpaceDE w:val="0"/>
                    <w:autoSpaceDN w:val="0"/>
                    <w:adjustRightInd w:val="0"/>
                    <w:snapToGrid w:val="0"/>
                    <w:jc w:val="center"/>
                    <w:rPr>
                      <w:rFonts w:ascii="宋体" w:hAnsi="宋体" w:cs="宋体"/>
                      <w:kern w:val="0"/>
                      <w:szCs w:val="21"/>
                    </w:rPr>
                  </w:pPr>
                </w:p>
              </w:tc>
              <w:tc>
                <w:tcPr>
                  <w:tcW w:w="3686" w:type="dxa"/>
                  <w:vAlign w:val="center"/>
                </w:tcPr>
                <w:p w14:paraId="184CDB8E">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强化煤炭消费总量管控，原则上不再新增非电行业耗煤项目，确因产业和民生需要新上的热电联产项目燃煤需减量替代，明确煤炭消减来源</w:t>
                  </w:r>
                </w:p>
              </w:tc>
              <w:tc>
                <w:tcPr>
                  <w:tcW w:w="1984" w:type="dxa"/>
                  <w:vAlign w:val="center"/>
                </w:tcPr>
                <w:p w14:paraId="503B80FB">
                  <w:pPr>
                    <w:autoSpaceDE w:val="0"/>
                    <w:autoSpaceDN w:val="0"/>
                    <w:adjustRightInd w:val="0"/>
                    <w:snapToGrid w:val="0"/>
                    <w:jc w:val="center"/>
                    <w:rPr>
                      <w:kern w:val="0"/>
                      <w:szCs w:val="21"/>
                    </w:rPr>
                  </w:pPr>
                  <w:r>
                    <w:rPr>
                      <w:kern w:val="0"/>
                      <w:szCs w:val="21"/>
                    </w:rPr>
                    <w:t>本项目不涉及</w:t>
                  </w:r>
                </w:p>
              </w:tc>
              <w:tc>
                <w:tcPr>
                  <w:tcW w:w="776" w:type="dxa"/>
                  <w:vAlign w:val="center"/>
                </w:tcPr>
                <w:p w14:paraId="47542954">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2527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3DD7AE24">
                  <w:pPr>
                    <w:autoSpaceDE w:val="0"/>
                    <w:autoSpaceDN w:val="0"/>
                    <w:adjustRightInd w:val="0"/>
                    <w:snapToGrid w:val="0"/>
                    <w:jc w:val="center"/>
                    <w:rPr>
                      <w:rFonts w:ascii="宋体" w:hAnsi="宋体" w:cs="宋体"/>
                      <w:kern w:val="0"/>
                      <w:szCs w:val="21"/>
                    </w:rPr>
                  </w:pPr>
                </w:p>
              </w:tc>
              <w:tc>
                <w:tcPr>
                  <w:tcW w:w="3686" w:type="dxa"/>
                  <w:vAlign w:val="center"/>
                </w:tcPr>
                <w:p w14:paraId="30B4847C">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改善能源结构，推广使用天然气、电力等清洁能源；条件成熟时对入区企业实施集中供热；严格控制入区工业项目的类别。</w:t>
                  </w:r>
                </w:p>
              </w:tc>
              <w:tc>
                <w:tcPr>
                  <w:tcW w:w="1984" w:type="dxa"/>
                  <w:vAlign w:val="center"/>
                </w:tcPr>
                <w:p w14:paraId="7FCCFF6A">
                  <w:pPr>
                    <w:autoSpaceDE w:val="0"/>
                    <w:autoSpaceDN w:val="0"/>
                    <w:adjustRightInd w:val="0"/>
                    <w:snapToGrid w:val="0"/>
                    <w:jc w:val="center"/>
                    <w:rPr>
                      <w:kern w:val="0"/>
                      <w:szCs w:val="21"/>
                    </w:rPr>
                  </w:pPr>
                  <w:r>
                    <w:rPr>
                      <w:kern w:val="0"/>
                      <w:szCs w:val="21"/>
                    </w:rPr>
                    <w:t>本项目生产均使用电能</w:t>
                  </w:r>
                </w:p>
              </w:tc>
              <w:tc>
                <w:tcPr>
                  <w:tcW w:w="776" w:type="dxa"/>
                  <w:vAlign w:val="center"/>
                </w:tcPr>
                <w:p w14:paraId="632EEDE0">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37D5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27944D25">
                  <w:pPr>
                    <w:autoSpaceDE w:val="0"/>
                    <w:autoSpaceDN w:val="0"/>
                    <w:adjustRightInd w:val="0"/>
                    <w:snapToGrid w:val="0"/>
                    <w:jc w:val="center"/>
                    <w:rPr>
                      <w:rFonts w:ascii="宋体" w:hAnsi="宋体" w:cs="宋体"/>
                      <w:kern w:val="0"/>
                      <w:szCs w:val="21"/>
                    </w:rPr>
                  </w:pPr>
                </w:p>
              </w:tc>
              <w:tc>
                <w:tcPr>
                  <w:tcW w:w="3686" w:type="dxa"/>
                  <w:vAlign w:val="center"/>
                </w:tcPr>
                <w:p w14:paraId="34773F8A">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加强对工业喷涂项目挥发性有机物的治理工作，严格按照行业标准、治理方案，加强源头控制、过程控制和末端治理，提升清洁化生产水平。</w:t>
                  </w:r>
                </w:p>
              </w:tc>
              <w:tc>
                <w:tcPr>
                  <w:tcW w:w="1984" w:type="dxa"/>
                  <w:vAlign w:val="center"/>
                </w:tcPr>
                <w:p w14:paraId="7DE5E41D">
                  <w:pPr>
                    <w:autoSpaceDE w:val="0"/>
                    <w:autoSpaceDN w:val="0"/>
                    <w:adjustRightInd w:val="0"/>
                    <w:snapToGrid w:val="0"/>
                    <w:jc w:val="center"/>
                    <w:rPr>
                      <w:kern w:val="0"/>
                      <w:szCs w:val="21"/>
                    </w:rPr>
                  </w:pPr>
                  <w:r>
                    <w:rPr>
                      <w:kern w:val="0"/>
                      <w:szCs w:val="21"/>
                    </w:rPr>
                    <w:t>本项目不涉及</w:t>
                  </w:r>
                </w:p>
              </w:tc>
              <w:tc>
                <w:tcPr>
                  <w:tcW w:w="776" w:type="dxa"/>
                  <w:vAlign w:val="center"/>
                </w:tcPr>
                <w:p w14:paraId="4CB74A42">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19B7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5913E3F3">
                  <w:pPr>
                    <w:autoSpaceDE w:val="0"/>
                    <w:autoSpaceDN w:val="0"/>
                    <w:adjustRightInd w:val="0"/>
                    <w:snapToGrid w:val="0"/>
                    <w:jc w:val="center"/>
                    <w:rPr>
                      <w:rFonts w:ascii="宋体" w:hAnsi="宋体" w:cs="宋体"/>
                      <w:kern w:val="0"/>
                      <w:szCs w:val="21"/>
                    </w:rPr>
                  </w:pPr>
                </w:p>
              </w:tc>
              <w:tc>
                <w:tcPr>
                  <w:tcW w:w="3686" w:type="dxa"/>
                  <w:vAlign w:val="center"/>
                </w:tcPr>
                <w:p w14:paraId="62322B2B">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完善雨水、污水收集系统和排放系统，污水和生产物料输送管线需保证密封；不得建设地下或半地下式储罐设施。禁止含重金属废水进入城市生活污水处理厂。</w:t>
                  </w:r>
                </w:p>
              </w:tc>
              <w:tc>
                <w:tcPr>
                  <w:tcW w:w="1984" w:type="dxa"/>
                  <w:vAlign w:val="center"/>
                </w:tcPr>
                <w:p w14:paraId="31CBFAE1">
                  <w:pPr>
                    <w:autoSpaceDE w:val="0"/>
                    <w:autoSpaceDN w:val="0"/>
                    <w:adjustRightInd w:val="0"/>
                    <w:snapToGrid w:val="0"/>
                    <w:rPr>
                      <w:kern w:val="0"/>
                      <w:szCs w:val="21"/>
                    </w:rPr>
                  </w:pPr>
                  <w:r>
                    <w:rPr>
                      <w:rFonts w:hint="eastAsia"/>
                      <w:kern w:val="0"/>
                      <w:szCs w:val="21"/>
                    </w:rPr>
                    <w:t>项目实行雨污分流，生产废水经循环水槽收集后循环使用，定期更换的生产废水经三级沉淀池处理后部分回用于磨边工序，剩余废水定期外排；生活污水经化粪池处理；处理后的生产废水和生活污水与纯水制备浓水一起排入市政管网，经市政管网排入清丰中州水务有限公司第二污水处理厂深度处理，废水采用密闭管线输送，不涉及重金属废水</w:t>
                  </w:r>
                </w:p>
              </w:tc>
              <w:tc>
                <w:tcPr>
                  <w:tcW w:w="776" w:type="dxa"/>
                  <w:vAlign w:val="center"/>
                </w:tcPr>
                <w:p w14:paraId="76A3A7BB">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3B85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5F3DD2C1">
                  <w:pPr>
                    <w:autoSpaceDE w:val="0"/>
                    <w:autoSpaceDN w:val="0"/>
                    <w:adjustRightInd w:val="0"/>
                    <w:snapToGrid w:val="0"/>
                    <w:jc w:val="center"/>
                    <w:rPr>
                      <w:rFonts w:ascii="宋体" w:hAnsi="宋体" w:cs="宋体"/>
                      <w:kern w:val="0"/>
                      <w:szCs w:val="21"/>
                    </w:rPr>
                  </w:pPr>
                </w:p>
              </w:tc>
              <w:tc>
                <w:tcPr>
                  <w:tcW w:w="3686" w:type="dxa"/>
                  <w:vAlign w:val="center"/>
                </w:tcPr>
                <w:p w14:paraId="43309897">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禁止填埋场渗滤液直排或超标排放。</w:t>
                  </w:r>
                </w:p>
              </w:tc>
              <w:tc>
                <w:tcPr>
                  <w:tcW w:w="1984" w:type="dxa"/>
                  <w:vAlign w:val="center"/>
                </w:tcPr>
                <w:p w14:paraId="01DAF4A4">
                  <w:pPr>
                    <w:autoSpaceDE w:val="0"/>
                    <w:autoSpaceDN w:val="0"/>
                    <w:adjustRightInd w:val="0"/>
                    <w:snapToGrid w:val="0"/>
                    <w:jc w:val="center"/>
                    <w:rPr>
                      <w:kern w:val="0"/>
                      <w:szCs w:val="21"/>
                    </w:rPr>
                  </w:pPr>
                  <w:r>
                    <w:rPr>
                      <w:kern w:val="0"/>
                      <w:szCs w:val="21"/>
                    </w:rPr>
                    <w:t>本项目不涉及</w:t>
                  </w:r>
                </w:p>
              </w:tc>
              <w:tc>
                <w:tcPr>
                  <w:tcW w:w="776" w:type="dxa"/>
                  <w:vAlign w:val="center"/>
                </w:tcPr>
                <w:p w14:paraId="1E51D754">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4946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restart"/>
                  <w:vAlign w:val="center"/>
                </w:tcPr>
                <w:p w14:paraId="5ED6E0F7">
                  <w:pPr>
                    <w:autoSpaceDE w:val="0"/>
                    <w:autoSpaceDN w:val="0"/>
                    <w:adjustRightInd w:val="0"/>
                    <w:snapToGrid w:val="0"/>
                    <w:jc w:val="center"/>
                    <w:rPr>
                      <w:rFonts w:ascii="宋体" w:hAnsi="宋体" w:cs="宋体"/>
                      <w:kern w:val="0"/>
                      <w:szCs w:val="21"/>
                    </w:rPr>
                  </w:pPr>
                  <w:r>
                    <w:rPr>
                      <w:rFonts w:ascii="宋体" w:hAnsi="宋体" w:cs="宋体"/>
                      <w:kern w:val="0"/>
                      <w:szCs w:val="21"/>
                    </w:rPr>
                    <w:t>环境风险防控</w:t>
                  </w:r>
                </w:p>
              </w:tc>
              <w:tc>
                <w:tcPr>
                  <w:tcW w:w="3686" w:type="dxa"/>
                  <w:vAlign w:val="center"/>
                </w:tcPr>
                <w:p w14:paraId="082D95CA">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大气防护距离范围超越园区边界且涉及居民区、学校、医院等环境敏感点的项目，禁止新建。</w:t>
                  </w:r>
                </w:p>
              </w:tc>
              <w:tc>
                <w:tcPr>
                  <w:tcW w:w="1984" w:type="dxa"/>
                  <w:vAlign w:val="center"/>
                </w:tcPr>
                <w:p w14:paraId="779A937A">
                  <w:pPr>
                    <w:autoSpaceDE w:val="0"/>
                    <w:autoSpaceDN w:val="0"/>
                    <w:adjustRightInd w:val="0"/>
                    <w:snapToGrid w:val="0"/>
                    <w:jc w:val="center"/>
                    <w:rPr>
                      <w:kern w:val="0"/>
                      <w:szCs w:val="21"/>
                    </w:rPr>
                  </w:pPr>
                  <w:r>
                    <w:rPr>
                      <w:kern w:val="0"/>
                      <w:szCs w:val="21"/>
                    </w:rPr>
                    <w:t>本项目不涉及</w:t>
                  </w:r>
                </w:p>
              </w:tc>
              <w:tc>
                <w:tcPr>
                  <w:tcW w:w="776" w:type="dxa"/>
                  <w:vAlign w:val="center"/>
                </w:tcPr>
                <w:p w14:paraId="494B09B3">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4D66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6B055DC2">
                  <w:pPr>
                    <w:autoSpaceDE w:val="0"/>
                    <w:autoSpaceDN w:val="0"/>
                    <w:adjustRightInd w:val="0"/>
                    <w:snapToGrid w:val="0"/>
                    <w:jc w:val="center"/>
                    <w:rPr>
                      <w:rFonts w:ascii="宋体" w:hAnsi="宋体" w:cs="宋体"/>
                      <w:kern w:val="0"/>
                      <w:szCs w:val="21"/>
                    </w:rPr>
                  </w:pPr>
                </w:p>
              </w:tc>
              <w:tc>
                <w:tcPr>
                  <w:tcW w:w="3686" w:type="dxa"/>
                  <w:vAlign w:val="center"/>
                </w:tcPr>
                <w:p w14:paraId="4E1A71DC">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项目环境风险防范措施未严格按照环境影响评价文件要求落实的，应停产整改。</w:t>
                  </w:r>
                </w:p>
              </w:tc>
              <w:tc>
                <w:tcPr>
                  <w:tcW w:w="1984" w:type="dxa"/>
                  <w:vAlign w:val="center"/>
                </w:tcPr>
                <w:p w14:paraId="2CB6E1E2">
                  <w:pPr>
                    <w:autoSpaceDE w:val="0"/>
                    <w:autoSpaceDN w:val="0"/>
                    <w:adjustRightInd w:val="0"/>
                    <w:snapToGrid w:val="0"/>
                    <w:jc w:val="center"/>
                    <w:rPr>
                      <w:kern w:val="0"/>
                      <w:szCs w:val="21"/>
                    </w:rPr>
                  </w:pPr>
                  <w:r>
                    <w:rPr>
                      <w:rFonts w:hint="eastAsia"/>
                      <w:kern w:val="0"/>
                      <w:szCs w:val="21"/>
                    </w:rPr>
                    <w:t>项目将严格按照环评文件要求落实环境风险防范措施</w:t>
                  </w:r>
                </w:p>
              </w:tc>
              <w:tc>
                <w:tcPr>
                  <w:tcW w:w="776" w:type="dxa"/>
                  <w:vAlign w:val="center"/>
                </w:tcPr>
                <w:p w14:paraId="0D1A969F">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3315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6A7296E2">
                  <w:pPr>
                    <w:autoSpaceDE w:val="0"/>
                    <w:autoSpaceDN w:val="0"/>
                    <w:adjustRightInd w:val="0"/>
                    <w:snapToGrid w:val="0"/>
                    <w:jc w:val="center"/>
                    <w:rPr>
                      <w:rFonts w:ascii="宋体" w:hAnsi="宋体" w:cs="宋体"/>
                      <w:kern w:val="0"/>
                      <w:szCs w:val="21"/>
                    </w:rPr>
                  </w:pPr>
                </w:p>
              </w:tc>
              <w:tc>
                <w:tcPr>
                  <w:tcW w:w="3686" w:type="dxa"/>
                  <w:vAlign w:val="center"/>
                </w:tcPr>
                <w:p w14:paraId="71BAA2D8">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涉及危险化学品、危险废物及可能发生突发环境事件的污染物排放企业，应按照突发环境事件应急预案备案管理办法的要求，制定完善的环境应急预案，并报环境管理部门备案管理。未落实有关要求的，应停产整改。</w:t>
                  </w:r>
                </w:p>
              </w:tc>
              <w:tc>
                <w:tcPr>
                  <w:tcW w:w="1984" w:type="dxa"/>
                  <w:vAlign w:val="center"/>
                </w:tcPr>
                <w:p w14:paraId="41E0C0FD">
                  <w:pPr>
                    <w:autoSpaceDE w:val="0"/>
                    <w:autoSpaceDN w:val="0"/>
                    <w:adjustRightInd w:val="0"/>
                    <w:snapToGrid w:val="0"/>
                    <w:jc w:val="center"/>
                    <w:rPr>
                      <w:kern w:val="0"/>
                      <w:szCs w:val="21"/>
                    </w:rPr>
                  </w:pPr>
                  <w:r>
                    <w:rPr>
                      <w:rFonts w:hint="eastAsia"/>
                      <w:kern w:val="0"/>
                      <w:szCs w:val="21"/>
                    </w:rPr>
                    <w:t>本项目建设完成后将按照相关要求制定环境应急预案，并报环境管理部门备案管理</w:t>
                  </w:r>
                </w:p>
              </w:tc>
              <w:tc>
                <w:tcPr>
                  <w:tcW w:w="776" w:type="dxa"/>
                  <w:vAlign w:val="center"/>
                </w:tcPr>
                <w:p w14:paraId="498E75AB">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5E2A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70A8BB52">
                  <w:pPr>
                    <w:autoSpaceDE w:val="0"/>
                    <w:autoSpaceDN w:val="0"/>
                    <w:adjustRightInd w:val="0"/>
                    <w:snapToGrid w:val="0"/>
                    <w:jc w:val="center"/>
                    <w:rPr>
                      <w:rFonts w:ascii="宋体" w:hAnsi="宋体" w:cs="宋体"/>
                      <w:kern w:val="0"/>
                      <w:szCs w:val="21"/>
                    </w:rPr>
                  </w:pPr>
                </w:p>
              </w:tc>
              <w:tc>
                <w:tcPr>
                  <w:tcW w:w="3686" w:type="dxa"/>
                  <w:vAlign w:val="center"/>
                </w:tcPr>
                <w:p w14:paraId="217FC35C">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加强环境应急保障体系建设，园内企业应制定环境应急预案，明确环境风险防范措施。</w:t>
                  </w:r>
                </w:p>
              </w:tc>
              <w:tc>
                <w:tcPr>
                  <w:tcW w:w="1984" w:type="dxa"/>
                  <w:vAlign w:val="center"/>
                </w:tcPr>
                <w:p w14:paraId="7B9ECDA0">
                  <w:pPr>
                    <w:autoSpaceDE w:val="0"/>
                    <w:autoSpaceDN w:val="0"/>
                    <w:adjustRightInd w:val="0"/>
                    <w:snapToGrid w:val="0"/>
                    <w:jc w:val="center"/>
                    <w:rPr>
                      <w:kern w:val="0"/>
                      <w:szCs w:val="21"/>
                    </w:rPr>
                  </w:pPr>
                  <w:r>
                    <w:rPr>
                      <w:rFonts w:hint="eastAsia"/>
                      <w:kern w:val="0"/>
                      <w:szCs w:val="21"/>
                    </w:rPr>
                    <w:t>项目建设完成后将按照相关要求制定环境应急预案，落实环境风险防范措施</w:t>
                  </w:r>
                </w:p>
              </w:tc>
              <w:tc>
                <w:tcPr>
                  <w:tcW w:w="776" w:type="dxa"/>
                  <w:vAlign w:val="center"/>
                </w:tcPr>
                <w:p w14:paraId="7815677D">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453D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5519412F">
                  <w:pPr>
                    <w:autoSpaceDE w:val="0"/>
                    <w:autoSpaceDN w:val="0"/>
                    <w:adjustRightInd w:val="0"/>
                    <w:snapToGrid w:val="0"/>
                    <w:jc w:val="center"/>
                    <w:rPr>
                      <w:rFonts w:ascii="宋体" w:hAnsi="宋体" w:cs="宋体"/>
                      <w:kern w:val="0"/>
                      <w:szCs w:val="21"/>
                    </w:rPr>
                  </w:pPr>
                </w:p>
              </w:tc>
              <w:tc>
                <w:tcPr>
                  <w:tcW w:w="3686" w:type="dxa"/>
                  <w:vAlign w:val="center"/>
                </w:tcPr>
                <w:p w14:paraId="42266AE4">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铅酸蓄电池、石油加工、化工和危险化学品生产、储存、使用等企业在拆除生产设施设备、污染治理设施时，要事先制定企业拆除活动污染防控。</w:t>
                  </w:r>
                </w:p>
              </w:tc>
              <w:tc>
                <w:tcPr>
                  <w:tcW w:w="1984" w:type="dxa"/>
                  <w:vAlign w:val="center"/>
                </w:tcPr>
                <w:p w14:paraId="6F3328A1">
                  <w:pPr>
                    <w:autoSpaceDE w:val="0"/>
                    <w:autoSpaceDN w:val="0"/>
                    <w:adjustRightInd w:val="0"/>
                    <w:snapToGrid w:val="0"/>
                    <w:jc w:val="center"/>
                    <w:rPr>
                      <w:kern w:val="0"/>
                      <w:szCs w:val="21"/>
                    </w:rPr>
                  </w:pPr>
                  <w:r>
                    <w:rPr>
                      <w:kern w:val="0"/>
                      <w:szCs w:val="21"/>
                    </w:rPr>
                    <w:t>本项目不涉及</w:t>
                  </w:r>
                </w:p>
              </w:tc>
              <w:tc>
                <w:tcPr>
                  <w:tcW w:w="776" w:type="dxa"/>
                  <w:vAlign w:val="center"/>
                </w:tcPr>
                <w:p w14:paraId="372D5DCE">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44F3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12D46430">
                  <w:pPr>
                    <w:autoSpaceDE w:val="0"/>
                    <w:autoSpaceDN w:val="0"/>
                    <w:adjustRightInd w:val="0"/>
                    <w:snapToGrid w:val="0"/>
                    <w:jc w:val="center"/>
                    <w:rPr>
                      <w:rFonts w:ascii="宋体" w:hAnsi="宋体" w:cs="宋体"/>
                      <w:kern w:val="0"/>
                      <w:szCs w:val="21"/>
                    </w:rPr>
                  </w:pPr>
                </w:p>
              </w:tc>
              <w:tc>
                <w:tcPr>
                  <w:tcW w:w="3686" w:type="dxa"/>
                  <w:vAlign w:val="center"/>
                </w:tcPr>
                <w:p w14:paraId="69857D2F">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充分利用企业用地调查成果和注销、撤销排污许可的信息，考虑行业、生产年限等因素，确定优先监管地块，并按要求采取污染管控措施。</w:t>
                  </w:r>
                </w:p>
              </w:tc>
              <w:tc>
                <w:tcPr>
                  <w:tcW w:w="1984" w:type="dxa"/>
                  <w:vAlign w:val="center"/>
                </w:tcPr>
                <w:p w14:paraId="3EDE98F0">
                  <w:pPr>
                    <w:autoSpaceDE w:val="0"/>
                    <w:autoSpaceDN w:val="0"/>
                    <w:adjustRightInd w:val="0"/>
                    <w:snapToGrid w:val="0"/>
                    <w:jc w:val="center"/>
                    <w:rPr>
                      <w:kern w:val="0"/>
                      <w:szCs w:val="21"/>
                    </w:rPr>
                  </w:pPr>
                  <w:r>
                    <w:rPr>
                      <w:kern w:val="0"/>
                      <w:szCs w:val="21"/>
                    </w:rPr>
                    <w:t>本项目不涉及</w:t>
                  </w:r>
                </w:p>
              </w:tc>
              <w:tc>
                <w:tcPr>
                  <w:tcW w:w="776" w:type="dxa"/>
                  <w:vAlign w:val="center"/>
                </w:tcPr>
                <w:p w14:paraId="79625DBC">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4E54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restart"/>
                  <w:vAlign w:val="center"/>
                </w:tcPr>
                <w:p w14:paraId="26FA5BDA">
                  <w:pPr>
                    <w:autoSpaceDE w:val="0"/>
                    <w:autoSpaceDN w:val="0"/>
                    <w:adjustRightInd w:val="0"/>
                    <w:snapToGrid w:val="0"/>
                    <w:jc w:val="center"/>
                    <w:rPr>
                      <w:rFonts w:ascii="宋体" w:hAnsi="宋体" w:cs="宋体"/>
                      <w:kern w:val="0"/>
                      <w:szCs w:val="21"/>
                    </w:rPr>
                  </w:pPr>
                  <w:r>
                    <w:rPr>
                      <w:rFonts w:ascii="宋体" w:hAnsi="宋体" w:cs="宋体"/>
                      <w:kern w:val="0"/>
                      <w:szCs w:val="21"/>
                    </w:rPr>
                    <w:t>资源开发利用</w:t>
                  </w:r>
                </w:p>
              </w:tc>
              <w:tc>
                <w:tcPr>
                  <w:tcW w:w="3686" w:type="dxa"/>
                  <w:vAlign w:val="center"/>
                </w:tcPr>
                <w:p w14:paraId="25E5FD8A">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新建企业的生产工艺、设备、污染治理技术、清洁生产水平均需达到同行业国内先进水平</w:t>
                  </w:r>
                </w:p>
              </w:tc>
              <w:tc>
                <w:tcPr>
                  <w:tcW w:w="1984" w:type="dxa"/>
                  <w:vAlign w:val="center"/>
                </w:tcPr>
                <w:p w14:paraId="3E5C7EC8">
                  <w:pPr>
                    <w:autoSpaceDE w:val="0"/>
                    <w:autoSpaceDN w:val="0"/>
                    <w:adjustRightInd w:val="0"/>
                    <w:snapToGrid w:val="0"/>
                    <w:jc w:val="center"/>
                    <w:rPr>
                      <w:kern w:val="0"/>
                      <w:szCs w:val="21"/>
                    </w:rPr>
                  </w:pPr>
                  <w:r>
                    <w:rPr>
                      <w:rFonts w:hint="eastAsia"/>
                      <w:kern w:val="0"/>
                      <w:szCs w:val="21"/>
                    </w:rPr>
                    <w:t>本项目生产工艺、设备、污染治理技术、清洁生产水平均达到同行业国内先进水平</w:t>
                  </w:r>
                </w:p>
              </w:tc>
              <w:tc>
                <w:tcPr>
                  <w:tcW w:w="776" w:type="dxa"/>
                  <w:vAlign w:val="center"/>
                </w:tcPr>
                <w:p w14:paraId="352BA3F4">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1E29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1D3A63A0">
                  <w:pPr>
                    <w:autoSpaceDE w:val="0"/>
                    <w:autoSpaceDN w:val="0"/>
                    <w:adjustRightInd w:val="0"/>
                    <w:snapToGrid w:val="0"/>
                    <w:jc w:val="center"/>
                    <w:rPr>
                      <w:rFonts w:ascii="宋体" w:hAnsi="宋体" w:cs="宋体"/>
                      <w:kern w:val="0"/>
                      <w:szCs w:val="21"/>
                    </w:rPr>
                  </w:pPr>
                </w:p>
              </w:tc>
              <w:tc>
                <w:tcPr>
                  <w:tcW w:w="3686" w:type="dxa"/>
                  <w:vAlign w:val="center"/>
                </w:tcPr>
                <w:p w14:paraId="2EE568AB">
                  <w:pPr>
                    <w:autoSpaceDE w:val="0"/>
                    <w:autoSpaceDN w:val="0"/>
                    <w:adjustRightInd w:val="0"/>
                    <w:snapToGrid w:val="0"/>
                    <w:jc w:val="center"/>
                    <w:rPr>
                      <w:kern w:val="0"/>
                      <w:szCs w:val="21"/>
                    </w:rPr>
                  </w:pPr>
                  <w:r>
                    <w:rPr>
                      <w:kern w:val="0"/>
                      <w:szCs w:val="21"/>
                    </w:rPr>
                    <w:t>禁止工艺落后，生产水平过低导致资源能源消耗量大的项目入驻</w:t>
                  </w:r>
                </w:p>
              </w:tc>
              <w:tc>
                <w:tcPr>
                  <w:tcW w:w="1984" w:type="dxa"/>
                  <w:vAlign w:val="center"/>
                </w:tcPr>
                <w:p w14:paraId="4FDBD15E">
                  <w:pPr>
                    <w:autoSpaceDE w:val="0"/>
                    <w:autoSpaceDN w:val="0"/>
                    <w:adjustRightInd w:val="0"/>
                    <w:snapToGrid w:val="0"/>
                    <w:jc w:val="center"/>
                    <w:rPr>
                      <w:kern w:val="0"/>
                      <w:szCs w:val="21"/>
                    </w:rPr>
                  </w:pPr>
                  <w:r>
                    <w:rPr>
                      <w:kern w:val="0"/>
                      <w:szCs w:val="21"/>
                    </w:rPr>
                    <w:t>本项目采用先进生产工艺，不属于资源消耗量大的项目</w:t>
                  </w:r>
                </w:p>
              </w:tc>
              <w:tc>
                <w:tcPr>
                  <w:tcW w:w="776" w:type="dxa"/>
                  <w:vAlign w:val="center"/>
                </w:tcPr>
                <w:p w14:paraId="5381C11F">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1469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6231D91E">
                  <w:pPr>
                    <w:autoSpaceDE w:val="0"/>
                    <w:autoSpaceDN w:val="0"/>
                    <w:adjustRightInd w:val="0"/>
                    <w:snapToGrid w:val="0"/>
                    <w:jc w:val="center"/>
                    <w:rPr>
                      <w:rFonts w:ascii="宋体" w:hAnsi="宋体" w:cs="宋体"/>
                      <w:kern w:val="0"/>
                      <w:szCs w:val="21"/>
                    </w:rPr>
                  </w:pPr>
                </w:p>
              </w:tc>
              <w:tc>
                <w:tcPr>
                  <w:tcW w:w="3686" w:type="dxa"/>
                  <w:vAlign w:val="center"/>
                </w:tcPr>
                <w:p w14:paraId="7E31CB91">
                  <w:pPr>
                    <w:autoSpaceDE w:val="0"/>
                    <w:autoSpaceDN w:val="0"/>
                    <w:adjustRightInd w:val="0"/>
                    <w:snapToGrid w:val="0"/>
                    <w:jc w:val="center"/>
                    <w:rPr>
                      <w:kern w:val="0"/>
                      <w:szCs w:val="21"/>
                    </w:rPr>
                  </w:pPr>
                  <w:r>
                    <w:rPr>
                      <w:kern w:val="0"/>
                      <w:szCs w:val="21"/>
                    </w:rPr>
                    <w:t>加强水资源开发利用效率，提高再生水利用率，再生水回用率达到30%</w:t>
                  </w:r>
                </w:p>
              </w:tc>
              <w:tc>
                <w:tcPr>
                  <w:tcW w:w="1984" w:type="dxa"/>
                  <w:vAlign w:val="center"/>
                </w:tcPr>
                <w:p w14:paraId="2977C71F">
                  <w:pPr>
                    <w:autoSpaceDE w:val="0"/>
                    <w:autoSpaceDN w:val="0"/>
                    <w:adjustRightInd w:val="0"/>
                    <w:snapToGrid w:val="0"/>
                    <w:jc w:val="center"/>
                    <w:rPr>
                      <w:kern w:val="0"/>
                      <w:szCs w:val="21"/>
                    </w:rPr>
                  </w:pPr>
                  <w:r>
                    <w:rPr>
                      <w:kern w:val="0"/>
                      <w:szCs w:val="21"/>
                    </w:rPr>
                    <w:t>本项目不涉及</w:t>
                  </w:r>
                </w:p>
              </w:tc>
              <w:tc>
                <w:tcPr>
                  <w:tcW w:w="776" w:type="dxa"/>
                  <w:vAlign w:val="center"/>
                </w:tcPr>
                <w:p w14:paraId="09AD8B72">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5CE3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33F3A52C">
                  <w:pPr>
                    <w:autoSpaceDE w:val="0"/>
                    <w:autoSpaceDN w:val="0"/>
                    <w:adjustRightInd w:val="0"/>
                    <w:snapToGrid w:val="0"/>
                    <w:jc w:val="center"/>
                    <w:rPr>
                      <w:rFonts w:ascii="宋体" w:hAnsi="宋体" w:cs="宋体"/>
                      <w:kern w:val="0"/>
                      <w:szCs w:val="21"/>
                    </w:rPr>
                  </w:pPr>
                </w:p>
              </w:tc>
              <w:tc>
                <w:tcPr>
                  <w:tcW w:w="3686" w:type="dxa"/>
                  <w:vAlign w:val="center"/>
                </w:tcPr>
                <w:p w14:paraId="771239D6">
                  <w:pPr>
                    <w:autoSpaceDE w:val="0"/>
                    <w:autoSpaceDN w:val="0"/>
                    <w:adjustRightInd w:val="0"/>
                    <w:snapToGrid w:val="0"/>
                    <w:jc w:val="center"/>
                    <w:rPr>
                      <w:kern w:val="0"/>
                      <w:szCs w:val="21"/>
                    </w:rPr>
                  </w:pPr>
                  <w:r>
                    <w:rPr>
                      <w:kern w:val="0"/>
                      <w:szCs w:val="21"/>
                    </w:rPr>
                    <w:t>严格地下水管理，加强取水许可和计划用水管理，严格实行产业准入制度，严格控制新建、扩建、改建高耗水项目。</w:t>
                  </w:r>
                </w:p>
              </w:tc>
              <w:tc>
                <w:tcPr>
                  <w:tcW w:w="1984" w:type="dxa"/>
                  <w:vAlign w:val="center"/>
                </w:tcPr>
                <w:p w14:paraId="6EFECB54">
                  <w:pPr>
                    <w:autoSpaceDE w:val="0"/>
                    <w:autoSpaceDN w:val="0"/>
                    <w:adjustRightInd w:val="0"/>
                    <w:snapToGrid w:val="0"/>
                    <w:jc w:val="center"/>
                    <w:rPr>
                      <w:kern w:val="0"/>
                      <w:szCs w:val="21"/>
                    </w:rPr>
                  </w:pPr>
                  <w:r>
                    <w:rPr>
                      <w:kern w:val="0"/>
                      <w:szCs w:val="21"/>
                    </w:rPr>
                    <w:t>本项目供水由开发区统一供给，项目不属于高耗水项目</w:t>
                  </w:r>
                </w:p>
              </w:tc>
              <w:tc>
                <w:tcPr>
                  <w:tcW w:w="776" w:type="dxa"/>
                  <w:vAlign w:val="center"/>
                </w:tcPr>
                <w:p w14:paraId="5B3080A3">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r w14:paraId="46E1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4" w:type="dxa"/>
                  <w:vMerge w:val="continue"/>
                  <w:vAlign w:val="center"/>
                </w:tcPr>
                <w:p w14:paraId="5AF8F3B0">
                  <w:pPr>
                    <w:autoSpaceDE w:val="0"/>
                    <w:autoSpaceDN w:val="0"/>
                    <w:adjustRightInd w:val="0"/>
                    <w:snapToGrid w:val="0"/>
                    <w:jc w:val="center"/>
                    <w:rPr>
                      <w:rFonts w:ascii="宋体" w:hAnsi="宋体" w:cs="宋体"/>
                      <w:kern w:val="0"/>
                      <w:szCs w:val="21"/>
                    </w:rPr>
                  </w:pPr>
                </w:p>
              </w:tc>
              <w:tc>
                <w:tcPr>
                  <w:tcW w:w="3686" w:type="dxa"/>
                  <w:vAlign w:val="center"/>
                </w:tcPr>
                <w:p w14:paraId="71708A82">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地下水超采地区，控制高耗水新建、改建、扩建项目，推进高耗水企业向水资源条件允许的工业园区集中。</w:t>
                  </w:r>
                </w:p>
              </w:tc>
              <w:tc>
                <w:tcPr>
                  <w:tcW w:w="1984" w:type="dxa"/>
                  <w:vAlign w:val="center"/>
                </w:tcPr>
                <w:p w14:paraId="7E3DC2C4">
                  <w:pPr>
                    <w:autoSpaceDE w:val="0"/>
                    <w:autoSpaceDN w:val="0"/>
                    <w:adjustRightInd w:val="0"/>
                    <w:snapToGrid w:val="0"/>
                    <w:jc w:val="center"/>
                    <w:rPr>
                      <w:kern w:val="0"/>
                      <w:szCs w:val="21"/>
                    </w:rPr>
                  </w:pPr>
                  <w:r>
                    <w:rPr>
                      <w:kern w:val="0"/>
                      <w:szCs w:val="21"/>
                    </w:rPr>
                    <w:t>本项目</w:t>
                  </w:r>
                  <w:r>
                    <w:rPr>
                      <w:rFonts w:hint="eastAsia"/>
                      <w:kern w:val="0"/>
                      <w:szCs w:val="21"/>
                    </w:rPr>
                    <w:t>采用自来水供给，不涉及地下水采用，项目不属于高耗水项目</w:t>
                  </w:r>
                </w:p>
              </w:tc>
              <w:tc>
                <w:tcPr>
                  <w:tcW w:w="776" w:type="dxa"/>
                  <w:vAlign w:val="center"/>
                </w:tcPr>
                <w:p w14:paraId="4271DD7E">
                  <w:pPr>
                    <w:autoSpaceDE w:val="0"/>
                    <w:autoSpaceDN w:val="0"/>
                    <w:adjustRightInd w:val="0"/>
                    <w:snapToGrid w:val="0"/>
                    <w:jc w:val="center"/>
                    <w:rPr>
                      <w:rFonts w:ascii="宋体" w:hAnsi="宋体" w:cs="宋体"/>
                      <w:kern w:val="0"/>
                      <w:szCs w:val="21"/>
                    </w:rPr>
                  </w:pPr>
                  <w:r>
                    <w:rPr>
                      <w:rFonts w:ascii="宋体" w:hAnsi="宋体" w:cs="宋体"/>
                      <w:kern w:val="0"/>
                      <w:szCs w:val="21"/>
                    </w:rPr>
                    <w:t>符合</w:t>
                  </w:r>
                </w:p>
              </w:tc>
            </w:tr>
          </w:tbl>
          <w:p w14:paraId="6D882993">
            <w:pPr>
              <w:autoSpaceDE w:val="0"/>
              <w:autoSpaceDN w:val="0"/>
              <w:adjustRightInd w:val="0"/>
              <w:snapToGrid w:val="0"/>
              <w:spacing w:line="360" w:lineRule="auto"/>
              <w:ind w:firstLine="480" w:firstLineChars="200"/>
              <w:rPr>
                <w:kern w:val="0"/>
                <w:sz w:val="24"/>
              </w:rPr>
            </w:pPr>
            <w:r>
              <w:rPr>
                <w:rFonts w:hint="eastAsia"/>
                <w:kern w:val="0"/>
                <w:sz w:val="24"/>
              </w:rPr>
              <w:t>由上表可以看出，本项目符合《清丰县先进制造业开发区发展规划（2022-2035）环境影响报告书》生态环境准入条件，不在其环境负面清单内。</w:t>
            </w:r>
          </w:p>
          <w:p w14:paraId="617E6180">
            <w:pPr>
              <w:autoSpaceDE w:val="0"/>
              <w:autoSpaceDN w:val="0"/>
              <w:adjustRightInd w:val="0"/>
              <w:snapToGrid w:val="0"/>
              <w:spacing w:line="360" w:lineRule="auto"/>
              <w:ind w:firstLine="480" w:firstLineChars="200"/>
              <w:rPr>
                <w:kern w:val="0"/>
                <w:sz w:val="24"/>
              </w:rPr>
            </w:pPr>
            <w:r>
              <w:rPr>
                <w:rFonts w:hint="eastAsia"/>
                <w:kern w:val="0"/>
                <w:sz w:val="24"/>
              </w:rPr>
              <w:t>（7）《清丰县先进制造业开发区发展规划（2022-2035）环境影响报告书》审查意见</w:t>
            </w:r>
          </w:p>
          <w:p w14:paraId="734BCDC3">
            <w:pPr>
              <w:autoSpaceDE w:val="0"/>
              <w:autoSpaceDN w:val="0"/>
              <w:adjustRightInd w:val="0"/>
              <w:snapToGrid w:val="0"/>
              <w:spacing w:line="360" w:lineRule="auto"/>
              <w:ind w:firstLine="480" w:firstLineChars="200"/>
              <w:rPr>
                <w:kern w:val="0"/>
                <w:sz w:val="24"/>
              </w:rPr>
            </w:pPr>
            <w:r>
              <w:rPr>
                <w:rFonts w:hint="eastAsia"/>
                <w:kern w:val="0"/>
                <w:sz w:val="24"/>
              </w:rPr>
              <w:t>本项目与《清丰县先进制造业开发区发展规划（2022-2035）环境影响报告书》审查意见相符性分析如下：</w:t>
            </w:r>
          </w:p>
          <w:p w14:paraId="0DBAB524">
            <w:pPr>
              <w:pStyle w:val="137"/>
              <w:numPr>
                <w:ilvl w:val="0"/>
                <w:numId w:val="3"/>
              </w:numPr>
              <w:autoSpaceDE w:val="0"/>
              <w:autoSpaceDN w:val="0"/>
              <w:adjustRightInd w:val="0"/>
              <w:snapToGrid w:val="0"/>
              <w:spacing w:line="360" w:lineRule="auto"/>
              <w:ind w:firstLineChars="0"/>
              <w:jc w:val="center"/>
              <w:rPr>
                <w:b/>
                <w:kern w:val="0"/>
              </w:rPr>
            </w:pPr>
            <w:r>
              <w:rPr>
                <w:rFonts w:hint="eastAsia"/>
                <w:b/>
                <w:kern w:val="0"/>
              </w:rPr>
              <w:t>本项目与清丰县先进制造业开发区发展规划环评审查意见相符性分析</w:t>
            </w:r>
          </w:p>
          <w:tbl>
            <w:tblPr>
              <w:tblStyle w:val="134"/>
              <w:tblW w:w="6970"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1321"/>
              <w:gridCol w:w="3119"/>
              <w:gridCol w:w="1701"/>
              <w:gridCol w:w="829"/>
            </w:tblGrid>
            <w:tr w14:paraId="779D1BF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07" w:hRule="atLeast"/>
                <w:jc w:val="center"/>
              </w:trPr>
              <w:tc>
                <w:tcPr>
                  <w:tcW w:w="1321" w:type="dxa"/>
                  <w:vAlign w:val="center"/>
                </w:tcPr>
                <w:p w14:paraId="3123AB3E">
                  <w:pPr>
                    <w:pStyle w:val="133"/>
                    <w:jc w:val="center"/>
                    <w:rPr>
                      <w:rFonts w:eastAsia="Times New Roman" w:cs="Times New Roman"/>
                      <w:color w:val="auto"/>
                      <w:sz w:val="21"/>
                      <w:szCs w:val="21"/>
                    </w:rPr>
                  </w:pPr>
                  <w:r>
                    <w:rPr>
                      <w:rFonts w:hint="eastAsia" w:cs="Times New Roman" w:asciiTheme="minorEastAsia" w:hAnsiTheme="minorEastAsia" w:eastAsiaTheme="minorEastAsia"/>
                      <w:color w:val="auto"/>
                      <w:spacing w:val="5"/>
                      <w:sz w:val="21"/>
                      <w:szCs w:val="21"/>
                    </w:rPr>
                    <w:t>项目</w:t>
                  </w:r>
                </w:p>
              </w:tc>
              <w:tc>
                <w:tcPr>
                  <w:tcW w:w="3119" w:type="dxa"/>
                  <w:vAlign w:val="center"/>
                </w:tcPr>
                <w:p w14:paraId="05091680">
                  <w:pPr>
                    <w:pStyle w:val="133"/>
                    <w:jc w:val="center"/>
                    <w:rPr>
                      <w:rFonts w:eastAsia="Times New Roman" w:cs="Times New Roman"/>
                      <w:color w:val="auto"/>
                      <w:sz w:val="21"/>
                      <w:szCs w:val="21"/>
                    </w:rPr>
                  </w:pPr>
                  <w:r>
                    <w:rPr>
                      <w:rFonts w:hint="eastAsia" w:cs="Times New Roman" w:asciiTheme="minorEastAsia" w:hAnsiTheme="minorEastAsia" w:eastAsiaTheme="minorEastAsia"/>
                      <w:color w:val="auto"/>
                      <w:spacing w:val="8"/>
                      <w:sz w:val="21"/>
                      <w:szCs w:val="21"/>
                    </w:rPr>
                    <w:t>审查意见</w:t>
                  </w:r>
                  <w:r>
                    <w:rPr>
                      <w:rFonts w:hint="eastAsia" w:eastAsia="Times New Roman" w:cs="Times New Roman"/>
                      <w:color w:val="auto"/>
                      <w:spacing w:val="8"/>
                      <w:sz w:val="21"/>
                      <w:szCs w:val="21"/>
                    </w:rPr>
                    <w:t>要求</w:t>
                  </w:r>
                </w:p>
              </w:tc>
              <w:tc>
                <w:tcPr>
                  <w:tcW w:w="1701" w:type="dxa"/>
                  <w:vAlign w:val="center"/>
                </w:tcPr>
                <w:p w14:paraId="70615938">
                  <w:pPr>
                    <w:pStyle w:val="133"/>
                    <w:jc w:val="center"/>
                    <w:rPr>
                      <w:rFonts w:eastAsia="Times New Roman" w:cs="Times New Roman"/>
                      <w:color w:val="auto"/>
                      <w:sz w:val="21"/>
                      <w:szCs w:val="21"/>
                    </w:rPr>
                  </w:pPr>
                  <w:r>
                    <w:rPr>
                      <w:rFonts w:hint="eastAsia" w:cs="Times New Roman" w:asciiTheme="minorEastAsia" w:hAnsiTheme="minorEastAsia" w:eastAsiaTheme="minorEastAsia"/>
                      <w:color w:val="auto"/>
                      <w:spacing w:val="6"/>
                      <w:sz w:val="21"/>
                      <w:szCs w:val="21"/>
                    </w:rPr>
                    <w:t>本项目</w:t>
                  </w:r>
                  <w:r>
                    <w:rPr>
                      <w:rFonts w:hint="eastAsia" w:eastAsia="Times New Roman" w:cs="Times New Roman"/>
                      <w:color w:val="auto"/>
                      <w:spacing w:val="6"/>
                      <w:sz w:val="21"/>
                      <w:szCs w:val="21"/>
                    </w:rPr>
                    <w:t>情况</w:t>
                  </w:r>
                </w:p>
              </w:tc>
              <w:tc>
                <w:tcPr>
                  <w:tcW w:w="829" w:type="dxa"/>
                  <w:vAlign w:val="center"/>
                </w:tcPr>
                <w:p w14:paraId="3FFFB5B5">
                  <w:pPr>
                    <w:pStyle w:val="133"/>
                    <w:jc w:val="center"/>
                    <w:rPr>
                      <w:rFonts w:eastAsia="Times New Roman" w:cs="Times New Roman"/>
                      <w:color w:val="auto"/>
                      <w:spacing w:val="6"/>
                      <w:sz w:val="21"/>
                      <w:szCs w:val="21"/>
                    </w:rPr>
                  </w:pPr>
                  <w:r>
                    <w:rPr>
                      <w:rFonts w:hint="eastAsia" w:eastAsia="Times New Roman" w:cs="Times New Roman"/>
                      <w:color w:val="auto"/>
                      <w:spacing w:val="6"/>
                      <w:sz w:val="21"/>
                      <w:szCs w:val="21"/>
                    </w:rPr>
                    <w:t>相符性</w:t>
                  </w:r>
                </w:p>
              </w:tc>
            </w:tr>
            <w:tr w14:paraId="4F4C998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717" w:hRule="atLeast"/>
                <w:jc w:val="center"/>
              </w:trPr>
              <w:tc>
                <w:tcPr>
                  <w:tcW w:w="1321" w:type="dxa"/>
                  <w:vAlign w:val="center"/>
                </w:tcPr>
                <w:p w14:paraId="77C668A9">
                  <w:pPr>
                    <w:kinsoku w:val="0"/>
                    <w:autoSpaceDE w:val="0"/>
                    <w:autoSpaceDN w:val="0"/>
                    <w:adjustRightInd w:val="0"/>
                    <w:snapToGrid w:val="0"/>
                    <w:textAlignment w:val="baseline"/>
                    <w:rPr>
                      <w:rFonts w:eastAsia="Times New Roman"/>
                      <w:szCs w:val="21"/>
                    </w:rPr>
                  </w:pPr>
                  <w:r>
                    <w:rPr>
                      <w:rFonts w:eastAsia="Times New Roman"/>
                      <w:szCs w:val="21"/>
                    </w:rPr>
                    <w:t>（一）坚持绿色低碳高质量发展</w:t>
                  </w:r>
                </w:p>
              </w:tc>
              <w:tc>
                <w:tcPr>
                  <w:tcW w:w="3119" w:type="dxa"/>
                  <w:vAlign w:val="center"/>
                </w:tcPr>
                <w:p w14:paraId="5E7B2FF2">
                  <w:pPr>
                    <w:pStyle w:val="133"/>
                    <w:jc w:val="both"/>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规划应贯彻生态优先、绿色低碳、集约高效的绿色发展、协调发展理念，根据国家、省发展战略，以环境质量改善为核心，进一步优化产业园区的产业结构、发展规模、用地布局等，做好与区域“三线一单”成果的协调衔接，实现园区绿色低碳高质量发展目标。</w:t>
                  </w:r>
                </w:p>
              </w:tc>
              <w:tc>
                <w:tcPr>
                  <w:tcW w:w="1701" w:type="dxa"/>
                  <w:vAlign w:val="center"/>
                </w:tcPr>
                <w:p w14:paraId="0A916E20">
                  <w:pPr>
                    <w:pStyle w:val="133"/>
                    <w:jc w:val="center"/>
                    <w:rPr>
                      <w:rFonts w:ascii="Times New Roman" w:hAnsi="Times New Roman" w:cs="Times New Roman" w:eastAsiaTheme="minorEastAsia"/>
                      <w:color w:val="auto"/>
                      <w:sz w:val="21"/>
                      <w:szCs w:val="21"/>
                    </w:rPr>
                  </w:pPr>
                  <w:r>
                    <w:rPr>
                      <w:rFonts w:ascii="Times New Roman" w:hAnsi="Times New Roman" w:eastAsia="Times New Roman" w:cs="Times New Roman"/>
                      <w:color w:val="auto"/>
                      <w:sz w:val="21"/>
                      <w:szCs w:val="21"/>
                    </w:rPr>
                    <w:t>本项目为C3042特种玻璃制造</w:t>
                  </w:r>
                  <w:r>
                    <w:rPr>
                      <w:rFonts w:ascii="Times New Roman" w:hAnsi="Times New Roman" w:cs="Times New Roman" w:eastAsiaTheme="minorEastAsia"/>
                      <w:color w:val="auto"/>
                      <w:sz w:val="21"/>
                      <w:szCs w:val="21"/>
                    </w:rPr>
                    <w:t>，位于城区综合制造产业园中的家具制造及贸易产业园，</w:t>
                  </w:r>
                  <w:r>
                    <w:rPr>
                      <w:rFonts w:ascii="Times New Roman" w:hAnsi="Times New Roman" w:eastAsia="Times New Roman" w:cs="Times New Roman"/>
                      <w:color w:val="auto"/>
                      <w:sz w:val="21"/>
                      <w:szCs w:val="21"/>
                    </w:rPr>
                    <w:t>符合</w:t>
                  </w:r>
                  <w:r>
                    <w:rPr>
                      <w:rFonts w:ascii="Times New Roman" w:hAnsi="Times New Roman" w:cs="Times New Roman" w:eastAsiaTheme="minorEastAsia"/>
                      <w:color w:val="auto"/>
                      <w:sz w:val="21"/>
                      <w:szCs w:val="21"/>
                    </w:rPr>
                    <w:t>“三线一单”要求</w:t>
                  </w:r>
                </w:p>
              </w:tc>
              <w:tc>
                <w:tcPr>
                  <w:tcW w:w="829" w:type="dxa"/>
                  <w:vAlign w:val="center"/>
                </w:tcPr>
                <w:p w14:paraId="4ECD98FB">
                  <w:pPr>
                    <w:pStyle w:val="133"/>
                    <w:jc w:val="center"/>
                    <w:rPr>
                      <w:rFonts w:ascii="Times New Roman" w:hAnsi="Times New Roman" w:eastAsia="Times New Roman" w:cs="Times New Roman"/>
                      <w:color w:val="auto"/>
                      <w:spacing w:val="8"/>
                      <w:sz w:val="21"/>
                      <w:szCs w:val="21"/>
                    </w:rPr>
                  </w:pPr>
                  <w:r>
                    <w:rPr>
                      <w:rFonts w:ascii="Times New Roman" w:hAnsi="Times New Roman" w:eastAsia="Times New Roman" w:cs="Times New Roman"/>
                      <w:color w:val="auto"/>
                      <w:spacing w:val="8"/>
                      <w:sz w:val="21"/>
                      <w:szCs w:val="21"/>
                    </w:rPr>
                    <w:t>符合</w:t>
                  </w:r>
                </w:p>
              </w:tc>
            </w:tr>
            <w:tr w14:paraId="05BE5C5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93" w:hRule="atLeast"/>
                <w:jc w:val="center"/>
              </w:trPr>
              <w:tc>
                <w:tcPr>
                  <w:tcW w:w="1321" w:type="dxa"/>
                  <w:vAlign w:val="center"/>
                </w:tcPr>
                <w:p w14:paraId="734D8863">
                  <w:pPr>
                    <w:kinsoku w:val="0"/>
                    <w:autoSpaceDE w:val="0"/>
                    <w:autoSpaceDN w:val="0"/>
                    <w:adjustRightInd w:val="0"/>
                    <w:snapToGrid w:val="0"/>
                    <w:jc w:val="center"/>
                    <w:textAlignment w:val="baseline"/>
                    <w:rPr>
                      <w:rFonts w:eastAsia="Times New Roman"/>
                      <w:szCs w:val="21"/>
                    </w:rPr>
                  </w:pPr>
                  <w:r>
                    <w:rPr>
                      <w:rFonts w:eastAsia="Times New Roman"/>
                      <w:szCs w:val="21"/>
                    </w:rPr>
                    <w:t>（二）加快推进产业转型</w:t>
                  </w:r>
                </w:p>
              </w:tc>
              <w:tc>
                <w:tcPr>
                  <w:tcW w:w="3119" w:type="dxa"/>
                  <w:vAlign w:val="center"/>
                </w:tcPr>
                <w:p w14:paraId="1C9C9487">
                  <w:pPr>
                    <w:pStyle w:val="133"/>
                    <w:jc w:val="both"/>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产业园区应遵循循环经济理念，积极推进产业技术进步和园区循环化改造，坚持减污降碳协同发展。家居产业发展依托清丰县家居产业集聚，推动传统家居向智能家居、定制家居、生态家居转变；食品加工通过强化地方品牌产业全链条发展，实现食品加工业循环、绿色发展；节能环保产业瞄准产业绿色化、低碳化、循环化发展需要，重点发展先进环保设备、高效节能装备、资源循环利用和环保服务产业。</w:t>
                  </w:r>
                </w:p>
              </w:tc>
              <w:tc>
                <w:tcPr>
                  <w:tcW w:w="1701" w:type="dxa"/>
                  <w:vAlign w:val="center"/>
                </w:tcPr>
                <w:p w14:paraId="3C6882AD">
                  <w:pPr>
                    <w:pStyle w:val="133"/>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本项目为C3042特种玻璃制造，属于规划中的家居制造产业园区相关配套辅助产业</w:t>
                  </w:r>
                  <w:r>
                    <w:rPr>
                      <w:rFonts w:ascii="Times New Roman" w:hAnsi="Times New Roman" w:cs="Times New Roman" w:eastAsiaTheme="minorEastAsia"/>
                      <w:color w:val="auto"/>
                      <w:sz w:val="21"/>
                      <w:szCs w:val="21"/>
                    </w:rPr>
                    <w:t>，满足</w:t>
                  </w:r>
                  <w:r>
                    <w:rPr>
                      <w:rFonts w:ascii="Times New Roman" w:hAnsi="Times New Roman" w:eastAsia="Times New Roman" w:cs="Times New Roman"/>
                      <w:color w:val="auto"/>
                      <w:sz w:val="21"/>
                      <w:szCs w:val="21"/>
                    </w:rPr>
                    <w:t>园区产业定位和要求</w:t>
                  </w:r>
                </w:p>
              </w:tc>
              <w:tc>
                <w:tcPr>
                  <w:tcW w:w="829" w:type="dxa"/>
                  <w:vAlign w:val="center"/>
                </w:tcPr>
                <w:p w14:paraId="31C219AF">
                  <w:pPr>
                    <w:pStyle w:val="133"/>
                    <w:jc w:val="center"/>
                    <w:rPr>
                      <w:rFonts w:ascii="Times New Roman" w:hAnsi="Times New Roman" w:eastAsia="Times New Roman" w:cs="Times New Roman"/>
                      <w:color w:val="auto"/>
                      <w:spacing w:val="8"/>
                      <w:sz w:val="21"/>
                      <w:szCs w:val="21"/>
                    </w:rPr>
                  </w:pPr>
                  <w:r>
                    <w:rPr>
                      <w:rFonts w:ascii="Times New Roman" w:hAnsi="Times New Roman" w:eastAsia="Times New Roman" w:cs="Times New Roman"/>
                      <w:color w:val="auto"/>
                      <w:spacing w:val="8"/>
                      <w:sz w:val="21"/>
                      <w:szCs w:val="21"/>
                    </w:rPr>
                    <w:t>符合</w:t>
                  </w:r>
                </w:p>
              </w:tc>
            </w:tr>
            <w:tr w14:paraId="59B7ADF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60" w:hRule="atLeast"/>
                <w:jc w:val="center"/>
              </w:trPr>
              <w:tc>
                <w:tcPr>
                  <w:tcW w:w="1321" w:type="dxa"/>
                  <w:vAlign w:val="center"/>
                </w:tcPr>
                <w:p w14:paraId="256F4A0C">
                  <w:pPr>
                    <w:kinsoku w:val="0"/>
                    <w:autoSpaceDE w:val="0"/>
                    <w:autoSpaceDN w:val="0"/>
                    <w:adjustRightInd w:val="0"/>
                    <w:snapToGrid w:val="0"/>
                    <w:jc w:val="center"/>
                    <w:textAlignment w:val="baseline"/>
                    <w:rPr>
                      <w:rFonts w:eastAsia="Times New Roman"/>
                      <w:szCs w:val="21"/>
                    </w:rPr>
                  </w:pPr>
                  <w:r>
                    <w:rPr>
                      <w:rFonts w:hint="eastAsia" w:ascii="宋体" w:hAnsi="宋体" w:eastAsia="Times New Roman" w:cs="宋体"/>
                      <w:szCs w:val="21"/>
                    </w:rPr>
                    <w:t>（三）优化空间布局严格空间管控</w:t>
                  </w:r>
                </w:p>
              </w:tc>
              <w:tc>
                <w:tcPr>
                  <w:tcW w:w="3119" w:type="dxa"/>
                  <w:vAlign w:val="center"/>
                </w:tcPr>
                <w:p w14:paraId="76928F6B">
                  <w:pPr>
                    <w:pStyle w:val="133"/>
                    <w:jc w:val="center"/>
                    <w:rPr>
                      <w:rFonts w:eastAsia="Times New Roman" w:cs="Times New Roman"/>
                      <w:color w:val="auto"/>
                      <w:sz w:val="21"/>
                      <w:szCs w:val="21"/>
                    </w:rPr>
                  </w:pPr>
                  <w:r>
                    <w:rPr>
                      <w:rFonts w:hint="eastAsia" w:eastAsia="Times New Roman" w:cs="Times New Roman"/>
                      <w:color w:val="auto"/>
                      <w:sz w:val="21"/>
                      <w:szCs w:val="21"/>
                    </w:rPr>
                    <w:t>进一步加强与国土空间规划的街接，保持规划之间协调一致；加强对产业园区及周边生活区的防护，确保园区产业布局与生态环境保护、人居环境安全相协调。</w:t>
                  </w:r>
                </w:p>
              </w:tc>
              <w:tc>
                <w:tcPr>
                  <w:tcW w:w="1701" w:type="dxa"/>
                  <w:vAlign w:val="center"/>
                </w:tcPr>
                <w:p w14:paraId="5AB04006">
                  <w:pPr>
                    <w:pStyle w:val="133"/>
                    <w:jc w:val="center"/>
                    <w:rPr>
                      <w:rFonts w:eastAsia="Times New Roman" w:cs="Times New Roman"/>
                      <w:color w:val="auto"/>
                      <w:sz w:val="21"/>
                      <w:szCs w:val="21"/>
                    </w:rPr>
                  </w:pPr>
                  <w:r>
                    <w:rPr>
                      <w:rFonts w:hint="eastAsia" w:eastAsia="Times New Roman" w:cs="Times New Roman"/>
                      <w:color w:val="auto"/>
                      <w:sz w:val="21"/>
                      <w:szCs w:val="21"/>
                    </w:rPr>
                    <w:t>本项目占地为工业用地，符合园区用地规划</w:t>
                  </w:r>
                </w:p>
              </w:tc>
              <w:tc>
                <w:tcPr>
                  <w:tcW w:w="829" w:type="dxa"/>
                  <w:vAlign w:val="center"/>
                </w:tcPr>
                <w:p w14:paraId="59830F77">
                  <w:pPr>
                    <w:pStyle w:val="133"/>
                    <w:jc w:val="center"/>
                    <w:rPr>
                      <w:rFonts w:eastAsia="Times New Roman" w:cs="Times New Roman"/>
                      <w:color w:val="auto"/>
                      <w:spacing w:val="8"/>
                      <w:sz w:val="21"/>
                      <w:szCs w:val="21"/>
                    </w:rPr>
                  </w:pPr>
                  <w:r>
                    <w:rPr>
                      <w:rFonts w:hint="eastAsia" w:eastAsia="Times New Roman" w:cs="Times New Roman"/>
                      <w:color w:val="auto"/>
                      <w:spacing w:val="8"/>
                      <w:sz w:val="21"/>
                      <w:szCs w:val="21"/>
                    </w:rPr>
                    <w:t>符合</w:t>
                  </w:r>
                </w:p>
              </w:tc>
            </w:tr>
            <w:tr w14:paraId="697DD3E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63" w:hRule="atLeast"/>
                <w:jc w:val="center"/>
              </w:trPr>
              <w:tc>
                <w:tcPr>
                  <w:tcW w:w="1321" w:type="dxa"/>
                  <w:vAlign w:val="center"/>
                </w:tcPr>
                <w:p w14:paraId="6CF308F2">
                  <w:pPr>
                    <w:kinsoku w:val="0"/>
                    <w:autoSpaceDE w:val="0"/>
                    <w:autoSpaceDN w:val="0"/>
                    <w:adjustRightInd w:val="0"/>
                    <w:snapToGrid w:val="0"/>
                    <w:jc w:val="center"/>
                    <w:textAlignment w:val="baseline"/>
                    <w:rPr>
                      <w:rFonts w:eastAsia="Times New Roman"/>
                      <w:szCs w:val="21"/>
                    </w:rPr>
                  </w:pPr>
                  <w:r>
                    <w:rPr>
                      <w:rFonts w:hint="eastAsia" w:asciiTheme="minorEastAsia" w:hAnsiTheme="minorEastAsia" w:eastAsiaTheme="minorEastAsia"/>
                      <w:szCs w:val="21"/>
                    </w:rPr>
                    <w:t>（四）严格项目准入</w:t>
                  </w:r>
                </w:p>
              </w:tc>
              <w:tc>
                <w:tcPr>
                  <w:tcW w:w="3119" w:type="dxa"/>
                  <w:vAlign w:val="center"/>
                </w:tcPr>
                <w:p w14:paraId="529D6F66">
                  <w:pPr>
                    <w:pStyle w:val="133"/>
                    <w:jc w:val="both"/>
                    <w:rPr>
                      <w:rFonts w:eastAsia="Times New Roman" w:cs="Times New Roman"/>
                      <w:color w:val="auto"/>
                      <w:sz w:val="21"/>
                      <w:szCs w:val="21"/>
                    </w:rPr>
                  </w:pPr>
                  <w:r>
                    <w:rPr>
                      <w:rFonts w:hint="eastAsia" w:eastAsia="Times New Roman" w:cs="Times New Roman"/>
                      <w:color w:val="auto"/>
                      <w:sz w:val="21"/>
                      <w:szCs w:val="21"/>
                    </w:rPr>
                    <w:t>园区管理部门应按照规划环评报告提出的项目负面清单及准入条件，优化产业定位，把好项目准入关。优先发展符合园区主导产业要求、有利于园区总体产业链条延伸的项目，列入园区限制类的项目应限制入驻，列入园区的负面清单的项目禁止入驻，通过实施差别化环境准入，逐步优化产业结构，构筑园区循环经济产业链。</w:t>
                  </w:r>
                </w:p>
              </w:tc>
              <w:tc>
                <w:tcPr>
                  <w:tcW w:w="1701" w:type="dxa"/>
                  <w:vAlign w:val="center"/>
                </w:tcPr>
                <w:p w14:paraId="1D0C541C">
                  <w:pPr>
                    <w:pStyle w:val="133"/>
                    <w:jc w:val="center"/>
                    <w:rPr>
                      <w:rFonts w:cs="Times New Roman" w:eastAsiaTheme="minorEastAsia"/>
                      <w:color w:val="auto"/>
                      <w:sz w:val="21"/>
                      <w:szCs w:val="21"/>
                    </w:rPr>
                  </w:pPr>
                  <w:r>
                    <w:rPr>
                      <w:rFonts w:eastAsia="Times New Roman" w:cs="Times New Roman"/>
                      <w:color w:val="auto"/>
                      <w:sz w:val="21"/>
                      <w:szCs w:val="21"/>
                    </w:rPr>
                    <w:t>本项目符合园区生态环境准入条件</w:t>
                  </w:r>
                  <w:r>
                    <w:rPr>
                      <w:rFonts w:hint="eastAsia" w:cs="Times New Roman" w:asciiTheme="minorEastAsia" w:hAnsiTheme="minorEastAsia" w:eastAsiaTheme="minorEastAsia"/>
                      <w:color w:val="auto"/>
                      <w:sz w:val="21"/>
                      <w:szCs w:val="21"/>
                    </w:rPr>
                    <w:t>，</w:t>
                  </w:r>
                  <w:r>
                    <w:rPr>
                      <w:rFonts w:eastAsia="Times New Roman" w:cs="Times New Roman"/>
                      <w:color w:val="auto"/>
                      <w:sz w:val="21"/>
                      <w:szCs w:val="21"/>
                    </w:rPr>
                    <w:t>不属于园区限制类和负面清单内的项目</w:t>
                  </w:r>
                  <w:r>
                    <w:rPr>
                      <w:rFonts w:hint="eastAsia" w:cs="Times New Roman" w:asciiTheme="minorEastAsia" w:hAnsiTheme="minorEastAsia" w:eastAsiaTheme="minorEastAsia"/>
                      <w:color w:val="auto"/>
                      <w:sz w:val="21"/>
                      <w:szCs w:val="21"/>
                    </w:rPr>
                    <w:t>；根据清丰县先进制造业开发区管委会出具的入驻证明，项目符合开发区总体发展规划和入驻条件</w:t>
                  </w:r>
                </w:p>
              </w:tc>
              <w:tc>
                <w:tcPr>
                  <w:tcW w:w="829" w:type="dxa"/>
                  <w:vAlign w:val="center"/>
                </w:tcPr>
                <w:p w14:paraId="574057BD">
                  <w:pPr>
                    <w:pStyle w:val="133"/>
                    <w:jc w:val="center"/>
                    <w:rPr>
                      <w:rFonts w:eastAsia="Times New Roman" w:cs="Times New Roman"/>
                      <w:color w:val="auto"/>
                      <w:sz w:val="21"/>
                      <w:szCs w:val="21"/>
                    </w:rPr>
                  </w:pPr>
                  <w:r>
                    <w:rPr>
                      <w:rFonts w:hint="eastAsia" w:eastAsia="Times New Roman" w:cs="Times New Roman"/>
                      <w:color w:val="auto"/>
                      <w:sz w:val="21"/>
                      <w:szCs w:val="21"/>
                    </w:rPr>
                    <w:t>符合</w:t>
                  </w:r>
                </w:p>
              </w:tc>
            </w:tr>
            <w:tr w14:paraId="0CC9673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63" w:hRule="atLeast"/>
                <w:jc w:val="center"/>
              </w:trPr>
              <w:tc>
                <w:tcPr>
                  <w:tcW w:w="1321" w:type="dxa"/>
                  <w:vAlign w:val="center"/>
                </w:tcPr>
                <w:p w14:paraId="0EEC8F93">
                  <w:pPr>
                    <w:kinsoku w:val="0"/>
                    <w:autoSpaceDE w:val="0"/>
                    <w:autoSpaceDN w:val="0"/>
                    <w:adjustRightInd w:val="0"/>
                    <w:snapToGrid w:val="0"/>
                    <w:jc w:val="center"/>
                    <w:textAlignment w:val="baseline"/>
                    <w:rPr>
                      <w:rFonts w:eastAsiaTheme="minorEastAsia"/>
                      <w:szCs w:val="21"/>
                    </w:rPr>
                  </w:pPr>
                  <w:r>
                    <w:rPr>
                      <w:rFonts w:eastAsiaTheme="minorEastAsia"/>
                      <w:szCs w:val="21"/>
                    </w:rPr>
                    <w:t>（五）同步建设基础设施</w:t>
                  </w:r>
                </w:p>
              </w:tc>
              <w:tc>
                <w:tcPr>
                  <w:tcW w:w="3119" w:type="dxa"/>
                  <w:vAlign w:val="center"/>
                </w:tcPr>
                <w:p w14:paraId="69396744">
                  <w:pPr>
                    <w:pStyle w:val="133"/>
                    <w:jc w:val="both"/>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产业园区应实施道路、给水、排水、供热。按照园区建设规划，完善产业园区供水设施及管网建设；加快园区配套污水集中处理设施及配套管网等基础设施的建设工作。园区固体废弃物应有安全可行的处理处置措施，不得随意弃置，危险固废严格按照有关规定收集、贮存、转运、处置，确保100%安全处置。</w:t>
                  </w:r>
                </w:p>
              </w:tc>
              <w:tc>
                <w:tcPr>
                  <w:tcW w:w="1701" w:type="dxa"/>
                  <w:vAlign w:val="center"/>
                </w:tcPr>
                <w:p w14:paraId="2DD52748">
                  <w:pPr>
                    <w:pStyle w:val="133"/>
                    <w:jc w:val="center"/>
                    <w:rPr>
                      <w:rFonts w:ascii="Times New Roman" w:hAnsi="Times New Roman" w:cs="Times New Roman" w:eastAsiaTheme="minorEastAsia"/>
                      <w:color w:val="auto"/>
                      <w:sz w:val="21"/>
                      <w:szCs w:val="21"/>
                    </w:rPr>
                  </w:pPr>
                  <w:r>
                    <w:rPr>
                      <w:rFonts w:hint="eastAsia" w:cs="Times New Roman" w:asciiTheme="minorEastAsia" w:hAnsiTheme="minorEastAsia" w:eastAsiaTheme="minorEastAsia"/>
                      <w:color w:val="auto"/>
                      <w:sz w:val="21"/>
                      <w:szCs w:val="21"/>
                    </w:rPr>
                    <w:t>项目所在地给水、排水等基础设施已配套实施；</w:t>
                  </w:r>
                  <w:r>
                    <w:rPr>
                      <w:rFonts w:cs="Times New Roman" w:asciiTheme="minorEastAsia" w:hAnsiTheme="minorEastAsia" w:eastAsiaTheme="minorEastAsia"/>
                      <w:color w:val="auto"/>
                      <w:sz w:val="21"/>
                      <w:szCs w:val="21"/>
                    </w:rPr>
                    <w:t>本项目产生的固体废物均有安全可行的处理处置措施，危险废物严格按照有关规定收集、贮存、转运、处置，确保100%安全处置</w:t>
                  </w:r>
                </w:p>
              </w:tc>
              <w:tc>
                <w:tcPr>
                  <w:tcW w:w="829" w:type="dxa"/>
                  <w:vAlign w:val="center"/>
                </w:tcPr>
                <w:p w14:paraId="4F96EE11">
                  <w:pPr>
                    <w:pStyle w:val="133"/>
                    <w:jc w:val="center"/>
                    <w:rPr>
                      <w:rFonts w:eastAsia="Times New Roman" w:cs="Times New Roman"/>
                      <w:color w:val="auto"/>
                      <w:sz w:val="21"/>
                      <w:szCs w:val="21"/>
                    </w:rPr>
                  </w:pPr>
                  <w:r>
                    <w:rPr>
                      <w:rFonts w:hint="eastAsia" w:eastAsia="Times New Roman" w:cs="Times New Roman"/>
                      <w:color w:val="auto"/>
                      <w:sz w:val="21"/>
                      <w:szCs w:val="21"/>
                    </w:rPr>
                    <w:t>符合</w:t>
                  </w:r>
                </w:p>
              </w:tc>
            </w:tr>
            <w:tr w14:paraId="1BC1473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63" w:hRule="atLeast"/>
                <w:jc w:val="center"/>
              </w:trPr>
              <w:tc>
                <w:tcPr>
                  <w:tcW w:w="1321" w:type="dxa"/>
                  <w:vAlign w:val="center"/>
                </w:tcPr>
                <w:p w14:paraId="58303E79">
                  <w:pPr>
                    <w:kinsoku w:val="0"/>
                    <w:autoSpaceDE w:val="0"/>
                    <w:autoSpaceDN w:val="0"/>
                    <w:adjustRightInd w:val="0"/>
                    <w:snapToGrid w:val="0"/>
                    <w:jc w:val="center"/>
                    <w:textAlignment w:val="baseline"/>
                    <w:rPr>
                      <w:rFonts w:eastAsiaTheme="minorEastAsia"/>
                      <w:szCs w:val="21"/>
                    </w:rPr>
                  </w:pPr>
                  <w:r>
                    <w:rPr>
                      <w:rFonts w:eastAsiaTheme="minorEastAsia"/>
                      <w:szCs w:val="21"/>
                    </w:rPr>
                    <w:t>（六）严格落实各项规划环评措施</w:t>
                  </w:r>
                </w:p>
              </w:tc>
              <w:tc>
                <w:tcPr>
                  <w:tcW w:w="3119" w:type="dxa"/>
                  <w:vAlign w:val="center"/>
                </w:tcPr>
                <w:p w14:paraId="51F0B03B">
                  <w:pPr>
                    <w:pStyle w:val="13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规划批准后，应严格按照规划要求推动产业园区高质量发展，严守生态保护红线、环境质量底线、资源利用上线，落实《报告书》提出的各项措施，在实施范围、适用期限、规模、结构和布局等方面进行重大调整或者修订的，应当重新或者补充进行环境影响评价。</w:t>
                  </w:r>
                </w:p>
              </w:tc>
              <w:tc>
                <w:tcPr>
                  <w:tcW w:w="1701" w:type="dxa"/>
                  <w:vAlign w:val="center"/>
                </w:tcPr>
                <w:p w14:paraId="63A191DD">
                  <w:pPr>
                    <w:pStyle w:val="133"/>
                    <w:jc w:val="center"/>
                    <w:rPr>
                      <w:rFonts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本项目位于清丰县先进制造开发区规划范围内，对照河南省“三线一单”生态环境分区管控更新成果（2023年版），本项目符合“三线一单”的要求</w:t>
                  </w:r>
                </w:p>
              </w:tc>
              <w:tc>
                <w:tcPr>
                  <w:tcW w:w="829" w:type="dxa"/>
                  <w:vAlign w:val="center"/>
                </w:tcPr>
                <w:p w14:paraId="32346B92">
                  <w:pPr>
                    <w:pStyle w:val="133"/>
                    <w:jc w:val="center"/>
                    <w:rPr>
                      <w:rFonts w:eastAsia="Times New Roman" w:cs="Times New Roman"/>
                      <w:color w:val="auto"/>
                      <w:sz w:val="21"/>
                      <w:szCs w:val="21"/>
                    </w:rPr>
                  </w:pPr>
                  <w:r>
                    <w:rPr>
                      <w:rFonts w:hint="eastAsia" w:eastAsia="Times New Roman" w:cs="Times New Roman"/>
                      <w:color w:val="auto"/>
                      <w:sz w:val="21"/>
                      <w:szCs w:val="21"/>
                    </w:rPr>
                    <w:t>符合</w:t>
                  </w:r>
                </w:p>
              </w:tc>
            </w:tr>
          </w:tbl>
          <w:p w14:paraId="29CFFD2C">
            <w:pPr>
              <w:autoSpaceDE w:val="0"/>
              <w:autoSpaceDN w:val="0"/>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由</w:t>
            </w:r>
            <w:r>
              <w:rPr>
                <w:kern w:val="0"/>
                <w:sz w:val="24"/>
              </w:rPr>
              <w:t>上表分析可知，本项目符合《清丰县先进制造业开发区发展规划（2022-2035）环境影响报告书》审</w:t>
            </w:r>
            <w:r>
              <w:rPr>
                <w:rFonts w:hint="eastAsia" w:ascii="宋体" w:hAnsi="宋体" w:cs="宋体"/>
                <w:kern w:val="0"/>
                <w:sz w:val="24"/>
              </w:rPr>
              <w:t>查意见中的相关要求。</w:t>
            </w:r>
          </w:p>
        </w:tc>
      </w:tr>
      <w:tr w14:paraId="16BAC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8" w:type="dxa"/>
            <w:vAlign w:val="center"/>
          </w:tcPr>
          <w:p w14:paraId="00FFAFC6">
            <w:pPr>
              <w:autoSpaceDE w:val="0"/>
              <w:autoSpaceDN w:val="0"/>
              <w:adjustRightInd w:val="0"/>
              <w:snapToGrid w:val="0"/>
              <w:jc w:val="center"/>
              <w:rPr>
                <w:rFonts w:ascii="宋体" w:hAnsi="宋体" w:cs="宋体"/>
                <w:kern w:val="0"/>
                <w:sz w:val="24"/>
              </w:rPr>
            </w:pPr>
            <w:r>
              <w:rPr>
                <w:rFonts w:hint="eastAsia" w:ascii="宋体" w:hAnsi="宋体" w:cs="宋体"/>
                <w:kern w:val="0"/>
                <w:sz w:val="24"/>
              </w:rPr>
              <w:t>其他符合性分析</w:t>
            </w:r>
          </w:p>
        </w:tc>
        <w:tc>
          <w:tcPr>
            <w:tcW w:w="7432" w:type="dxa"/>
            <w:gridSpan w:val="3"/>
            <w:vAlign w:val="center"/>
          </w:tcPr>
          <w:p w14:paraId="7693CE5D">
            <w:pPr>
              <w:spacing w:line="360" w:lineRule="auto"/>
              <w:ind w:firstLine="482" w:firstLineChars="200"/>
              <w:rPr>
                <w:b/>
                <w:bCs/>
                <w:sz w:val="24"/>
              </w:rPr>
            </w:pPr>
            <w:r>
              <w:rPr>
                <w:rFonts w:hint="eastAsia"/>
                <w:b/>
                <w:bCs/>
                <w:sz w:val="24"/>
              </w:rPr>
              <w:t>1</w:t>
            </w:r>
            <w:r>
              <w:rPr>
                <w:b/>
                <w:bCs/>
                <w:sz w:val="24"/>
              </w:rPr>
              <w:t>、产业政策符合性</w:t>
            </w:r>
          </w:p>
          <w:p w14:paraId="3F9AD636">
            <w:pPr>
              <w:spacing w:line="360" w:lineRule="auto"/>
              <w:ind w:firstLine="480" w:firstLineChars="200"/>
              <w:rPr>
                <w:sz w:val="24"/>
              </w:rPr>
            </w:pPr>
            <w:r>
              <w:rPr>
                <w:rFonts w:hint="eastAsia"/>
                <w:bCs/>
                <w:sz w:val="24"/>
              </w:rPr>
              <w:t>本项目</w:t>
            </w:r>
            <w:r>
              <w:rPr>
                <w:rFonts w:hint="eastAsia"/>
                <w:sz w:val="24"/>
              </w:rPr>
              <w:t>产品及使用的工艺、设备均不属于</w:t>
            </w:r>
            <w:r>
              <w:rPr>
                <w:sz w:val="24"/>
              </w:rPr>
              <w:t>《产业结构调整指导目录</w:t>
            </w:r>
            <w:r>
              <w:rPr>
                <w:rFonts w:hint="eastAsia"/>
                <w:sz w:val="24"/>
              </w:rPr>
              <w:t>（2024年本）</w:t>
            </w:r>
            <w:r>
              <w:rPr>
                <w:sz w:val="24"/>
              </w:rPr>
              <w:t>》</w:t>
            </w:r>
            <w:r>
              <w:rPr>
                <w:rFonts w:hint="eastAsia"/>
                <w:sz w:val="24"/>
              </w:rPr>
              <w:t>中的淘汰类项目，也不属于鼓励类和限制类项目，故本项目属于允许类项目，符合国家产业政策</w:t>
            </w:r>
            <w:r>
              <w:rPr>
                <w:sz w:val="24"/>
              </w:rPr>
              <w:t>。经</w:t>
            </w:r>
            <w:r>
              <w:rPr>
                <w:rFonts w:hint="eastAsia"/>
                <w:sz w:val="24"/>
              </w:rPr>
              <w:t>查询《市场准入负面清单（2025年版）》，本项目不属于禁止准入类项目和许可准入类项目。</w:t>
            </w:r>
          </w:p>
          <w:p w14:paraId="17D7A45B">
            <w:pPr>
              <w:spacing w:line="360" w:lineRule="auto"/>
              <w:ind w:firstLine="480" w:firstLineChars="200"/>
              <w:rPr>
                <w:sz w:val="24"/>
              </w:rPr>
            </w:pPr>
            <w:r>
              <w:rPr>
                <w:rFonts w:hint="eastAsia"/>
                <w:sz w:val="24"/>
              </w:rPr>
              <w:t>清丰县先进制造业开发区管理委员会于2025年4月11日出具了本项目的《河南省企业投资项目备案证明》，项目代码为：</w:t>
            </w:r>
            <w:r>
              <w:rPr>
                <w:sz w:val="24"/>
              </w:rPr>
              <w:t>2</w:t>
            </w:r>
            <w:r>
              <w:rPr>
                <w:rFonts w:hint="eastAsia"/>
                <w:sz w:val="24"/>
              </w:rPr>
              <w:t>504</w:t>
            </w:r>
            <w:r>
              <w:rPr>
                <w:sz w:val="24"/>
              </w:rPr>
              <w:t>-4109</w:t>
            </w:r>
            <w:r>
              <w:rPr>
                <w:rFonts w:hint="eastAsia"/>
                <w:sz w:val="24"/>
              </w:rPr>
              <w:t>2</w:t>
            </w:r>
            <w:r>
              <w:rPr>
                <w:sz w:val="24"/>
              </w:rPr>
              <w:t>2-04-01-1</w:t>
            </w:r>
            <w:r>
              <w:rPr>
                <w:rFonts w:hint="eastAsia"/>
                <w:sz w:val="24"/>
              </w:rPr>
              <w:t>85679，项目备案证明详见附件1。</w:t>
            </w:r>
          </w:p>
          <w:p w14:paraId="30DFEEE9">
            <w:pPr>
              <w:spacing w:line="360" w:lineRule="auto"/>
              <w:ind w:firstLine="480" w:firstLineChars="200"/>
              <w:rPr>
                <w:sz w:val="24"/>
              </w:rPr>
            </w:pPr>
            <w:r>
              <w:rPr>
                <w:sz w:val="24"/>
              </w:rPr>
              <w:t>综上所述，本项目为允许类项目</w:t>
            </w:r>
            <w:r>
              <w:rPr>
                <w:rFonts w:hint="eastAsia"/>
                <w:sz w:val="24"/>
              </w:rPr>
              <w:t>，符合国家和河南省相关产业政策。</w:t>
            </w:r>
          </w:p>
          <w:p w14:paraId="0BAA7F3F">
            <w:pPr>
              <w:spacing w:line="360" w:lineRule="auto"/>
              <w:ind w:firstLine="482" w:firstLineChars="200"/>
              <w:rPr>
                <w:b/>
                <w:bCs/>
                <w:sz w:val="24"/>
              </w:rPr>
            </w:pPr>
            <w:r>
              <w:rPr>
                <w:rFonts w:hint="eastAsia"/>
                <w:b/>
                <w:bCs/>
                <w:sz w:val="24"/>
              </w:rPr>
              <w:t>2、用地规划相符性分析</w:t>
            </w:r>
          </w:p>
          <w:p w14:paraId="4291E657">
            <w:pPr>
              <w:spacing w:line="360" w:lineRule="auto"/>
              <w:ind w:firstLine="480" w:firstLineChars="200"/>
              <w:rPr>
                <w:sz w:val="24"/>
              </w:rPr>
            </w:pPr>
            <w:r>
              <w:rPr>
                <w:rFonts w:hint="eastAsia"/>
                <w:sz w:val="24"/>
              </w:rPr>
              <w:t>本项目选址位于濮阳市清丰县先进制造业开发区106国道与单拐大道交叉口往东200米路南。根据《清丰县先进制造业开发区发展规划（2022-2035）》用地规划图（附图6），项目所在厂区用地为二类工业用地，符合当地用地规划。</w:t>
            </w:r>
          </w:p>
          <w:p w14:paraId="5DCDF145">
            <w:pPr>
              <w:autoSpaceDE w:val="0"/>
              <w:autoSpaceDN w:val="0"/>
              <w:adjustRightInd w:val="0"/>
              <w:snapToGrid w:val="0"/>
              <w:spacing w:line="360" w:lineRule="auto"/>
              <w:ind w:firstLine="482" w:firstLineChars="200"/>
              <w:rPr>
                <w:b/>
                <w:bCs/>
                <w:sz w:val="24"/>
              </w:rPr>
            </w:pPr>
            <w:r>
              <w:rPr>
                <w:rFonts w:hint="eastAsia"/>
                <w:b/>
                <w:bCs/>
                <w:sz w:val="24"/>
              </w:rPr>
              <w:t>3</w:t>
            </w:r>
            <w:r>
              <w:rPr>
                <w:b/>
                <w:bCs/>
                <w:sz w:val="24"/>
              </w:rPr>
              <w:t>、“三线一单”相符性分析</w:t>
            </w:r>
          </w:p>
          <w:p w14:paraId="14725C47">
            <w:pPr>
              <w:spacing w:line="360" w:lineRule="auto"/>
              <w:ind w:firstLine="480" w:firstLineChars="200"/>
              <w:rPr>
                <w:bCs/>
                <w:sz w:val="24"/>
              </w:rPr>
            </w:pPr>
            <w:r>
              <w:rPr>
                <w:rFonts w:hint="eastAsia"/>
                <w:bCs/>
                <w:sz w:val="24"/>
              </w:rPr>
              <w:t>根据河南省三线一单综合信息应用平台中导出《河南省“三线一单”建设项目准入研判分析报告》分析，本项目与其相关内容相符性分析如下：</w:t>
            </w:r>
          </w:p>
          <w:p w14:paraId="3598BD0C">
            <w:pPr>
              <w:spacing w:line="360" w:lineRule="auto"/>
              <w:ind w:firstLine="480" w:firstLineChars="200"/>
              <w:rPr>
                <w:bCs/>
                <w:sz w:val="24"/>
              </w:rPr>
            </w:pPr>
            <w:r>
              <w:rPr>
                <w:rFonts w:hint="eastAsia"/>
                <w:bCs/>
                <w:sz w:val="24"/>
              </w:rPr>
              <w:t>一、空间冲突</w:t>
            </w:r>
          </w:p>
          <w:p w14:paraId="28AEAB8A">
            <w:pPr>
              <w:spacing w:line="360" w:lineRule="auto"/>
              <w:ind w:firstLine="480" w:firstLineChars="200"/>
              <w:rPr>
                <w:bCs/>
                <w:sz w:val="24"/>
              </w:rPr>
            </w:pPr>
            <w:r>
              <w:rPr>
                <w:rFonts w:hint="eastAsia"/>
                <w:bCs/>
                <w:sz w:val="24"/>
              </w:rPr>
              <w:t>经研判，初步判定该项目无空间冲突，最终结果以自然资源部门提供的为准。</w:t>
            </w:r>
          </w:p>
          <w:p w14:paraId="73B432E5">
            <w:pPr>
              <w:spacing w:line="360" w:lineRule="auto"/>
              <w:ind w:firstLine="480" w:firstLineChars="200"/>
              <w:rPr>
                <w:bCs/>
                <w:sz w:val="24"/>
              </w:rPr>
            </w:pPr>
            <w:r>
              <w:rPr>
                <w:rFonts w:hint="eastAsia"/>
                <w:bCs/>
                <w:sz w:val="24"/>
              </w:rPr>
              <w:t>二、项目涉及的各类管控分区有关情况</w:t>
            </w:r>
          </w:p>
          <w:p w14:paraId="4DF0CEFD">
            <w:pPr>
              <w:spacing w:line="360" w:lineRule="auto"/>
              <w:ind w:firstLine="480" w:firstLineChars="200"/>
              <w:rPr>
                <w:bCs/>
                <w:sz w:val="24"/>
              </w:rPr>
            </w:pPr>
            <w:r>
              <w:rPr>
                <w:rFonts w:hint="eastAsia"/>
                <w:bCs/>
                <w:sz w:val="24"/>
              </w:rPr>
              <w:t>根据生态环境管控分区压占分析，建设项目涉及环境管控单元1个，生态空间分区1个，水环境管控分区1个，大气管控分区2个，自然资源管控分区2个，岸线管控分区0个，水源地0个，湿地公园0个，风景名胜区0个，森林公园0个，自然保护区0个。</w:t>
            </w:r>
          </w:p>
          <w:p w14:paraId="16C90103">
            <w:pPr>
              <w:spacing w:line="360" w:lineRule="auto"/>
              <w:ind w:firstLine="480" w:firstLineChars="200"/>
              <w:rPr>
                <w:bCs/>
                <w:sz w:val="24"/>
              </w:rPr>
            </w:pPr>
            <w:r>
              <w:rPr>
                <w:rFonts w:hint="eastAsia"/>
                <w:bCs/>
                <w:sz w:val="24"/>
              </w:rPr>
              <w:t>三、环境管控单元分析</w:t>
            </w:r>
          </w:p>
          <w:p w14:paraId="79E4A0C5">
            <w:pPr>
              <w:spacing w:line="360" w:lineRule="auto"/>
              <w:ind w:firstLine="480" w:firstLineChars="200"/>
              <w:rPr>
                <w:bCs/>
                <w:sz w:val="24"/>
              </w:rPr>
            </w:pPr>
            <w:r>
              <w:rPr>
                <w:rFonts w:hint="eastAsia"/>
                <w:bCs/>
                <w:sz w:val="24"/>
              </w:rPr>
              <w:t>经比对，项目涉及1个河南省环境管控单元，其中优先保护单元0个，重点管控单元1个，一般管控单元0个，详见下表。</w:t>
            </w:r>
          </w:p>
          <w:p w14:paraId="6B3CE793">
            <w:pPr>
              <w:pStyle w:val="137"/>
              <w:numPr>
                <w:ilvl w:val="0"/>
                <w:numId w:val="3"/>
              </w:numPr>
              <w:autoSpaceDE w:val="0"/>
              <w:autoSpaceDN w:val="0"/>
              <w:adjustRightInd w:val="0"/>
              <w:snapToGrid w:val="0"/>
              <w:spacing w:line="360" w:lineRule="auto"/>
              <w:ind w:firstLineChars="0"/>
              <w:jc w:val="center"/>
              <w:rPr>
                <w:b/>
                <w:kern w:val="0"/>
              </w:rPr>
            </w:pPr>
            <w:r>
              <w:rPr>
                <w:rFonts w:hint="eastAsia"/>
                <w:b/>
                <w:kern w:val="0"/>
              </w:rPr>
              <w:t>项目涉及河南省环境管控单元一览表</w:t>
            </w:r>
          </w:p>
          <w:tbl>
            <w:tblPr>
              <w:tblStyle w:val="39"/>
              <w:tblW w:w="7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682"/>
              <w:gridCol w:w="416"/>
              <w:gridCol w:w="416"/>
              <w:gridCol w:w="402"/>
              <w:gridCol w:w="457"/>
              <w:gridCol w:w="1956"/>
              <w:gridCol w:w="1484"/>
              <w:gridCol w:w="501"/>
            </w:tblGrid>
            <w:tr w14:paraId="2EE0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tl2br w:val="nil"/>
                    <w:tr2bl w:val="nil"/>
                  </w:tcBorders>
                  <w:shd w:val="clear" w:color="auto" w:fill="auto"/>
                  <w:vAlign w:val="center"/>
                </w:tcPr>
                <w:p w14:paraId="274AC987">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环境管控单元编码</w:t>
                  </w:r>
                </w:p>
              </w:tc>
              <w:tc>
                <w:tcPr>
                  <w:tcW w:w="682" w:type="dxa"/>
                  <w:tcBorders>
                    <w:tl2br w:val="nil"/>
                    <w:tr2bl w:val="nil"/>
                  </w:tcBorders>
                  <w:shd w:val="clear" w:color="auto" w:fill="auto"/>
                  <w:vAlign w:val="center"/>
                </w:tcPr>
                <w:p w14:paraId="53CD27A7">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环境管控单元名称</w:t>
                  </w:r>
                </w:p>
              </w:tc>
              <w:tc>
                <w:tcPr>
                  <w:tcW w:w="416" w:type="dxa"/>
                  <w:tcBorders>
                    <w:tl2br w:val="nil"/>
                    <w:tr2bl w:val="nil"/>
                  </w:tcBorders>
                  <w:shd w:val="clear" w:color="auto" w:fill="auto"/>
                  <w:vAlign w:val="center"/>
                </w:tcPr>
                <w:p w14:paraId="471F9944">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管控分类</w:t>
                  </w:r>
                </w:p>
              </w:tc>
              <w:tc>
                <w:tcPr>
                  <w:tcW w:w="416" w:type="dxa"/>
                  <w:tcBorders>
                    <w:tl2br w:val="nil"/>
                    <w:tr2bl w:val="nil"/>
                  </w:tcBorders>
                  <w:shd w:val="clear" w:color="auto" w:fill="auto"/>
                  <w:vAlign w:val="center"/>
                </w:tcPr>
                <w:p w14:paraId="5647E57C">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市</w:t>
                  </w:r>
                </w:p>
              </w:tc>
              <w:tc>
                <w:tcPr>
                  <w:tcW w:w="402" w:type="dxa"/>
                  <w:tcBorders>
                    <w:tl2br w:val="nil"/>
                    <w:tr2bl w:val="nil"/>
                  </w:tcBorders>
                  <w:shd w:val="clear" w:color="auto" w:fill="auto"/>
                  <w:vAlign w:val="center"/>
                </w:tcPr>
                <w:p w14:paraId="29F4A099">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区县</w:t>
                  </w:r>
                </w:p>
              </w:tc>
              <w:tc>
                <w:tcPr>
                  <w:tcW w:w="2413" w:type="dxa"/>
                  <w:gridSpan w:val="2"/>
                  <w:tcBorders>
                    <w:tl2br w:val="nil"/>
                    <w:tr2bl w:val="nil"/>
                  </w:tcBorders>
                  <w:shd w:val="clear" w:color="auto" w:fill="auto"/>
                  <w:vAlign w:val="center"/>
                </w:tcPr>
                <w:p w14:paraId="3D8B243F">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主要要求</w:t>
                  </w:r>
                </w:p>
              </w:tc>
              <w:tc>
                <w:tcPr>
                  <w:tcW w:w="1484" w:type="dxa"/>
                  <w:tcBorders>
                    <w:tl2br w:val="nil"/>
                    <w:tr2bl w:val="nil"/>
                  </w:tcBorders>
                  <w:shd w:val="clear" w:color="auto" w:fill="auto"/>
                  <w:vAlign w:val="center"/>
                </w:tcPr>
                <w:p w14:paraId="79374950">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本项目情况</w:t>
                  </w:r>
                </w:p>
              </w:tc>
              <w:tc>
                <w:tcPr>
                  <w:tcW w:w="501" w:type="dxa"/>
                  <w:tcBorders>
                    <w:tl2br w:val="nil"/>
                    <w:tr2bl w:val="nil"/>
                  </w:tcBorders>
                  <w:shd w:val="clear" w:color="auto" w:fill="auto"/>
                  <w:vAlign w:val="center"/>
                </w:tcPr>
                <w:p w14:paraId="280370F4">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符合性</w:t>
                  </w:r>
                </w:p>
              </w:tc>
            </w:tr>
            <w:tr w14:paraId="108C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733" w:type="dxa"/>
                  <w:vMerge w:val="restart"/>
                  <w:tcBorders>
                    <w:tl2br w:val="nil"/>
                    <w:tr2bl w:val="nil"/>
                  </w:tcBorders>
                  <w:shd w:val="clear" w:color="auto" w:fill="auto"/>
                  <w:vAlign w:val="center"/>
                </w:tcPr>
                <w:p w14:paraId="1BA04BB0">
                  <w:pPr>
                    <w:pStyle w:val="33"/>
                    <w:spacing w:line="240" w:lineRule="auto"/>
                    <w:rPr>
                      <w:rFonts w:ascii="Times New Roman" w:hAnsi="Times New Roman"/>
                      <w:b w:val="0"/>
                      <w:sz w:val="21"/>
                      <w:szCs w:val="21"/>
                    </w:rPr>
                  </w:pPr>
                  <w:r>
                    <w:rPr>
                      <w:rFonts w:ascii="Times New Roman" w:hAnsi="Times New Roman" w:eastAsia="宋体"/>
                      <w:b w:val="0"/>
                      <w:kern w:val="2"/>
                      <w:sz w:val="21"/>
                      <w:szCs w:val="21"/>
                      <w:lang w:bidi="ar"/>
                    </w:rPr>
                    <w:t>ZH41092220001</w:t>
                  </w:r>
                </w:p>
              </w:tc>
              <w:tc>
                <w:tcPr>
                  <w:tcW w:w="682" w:type="dxa"/>
                  <w:vMerge w:val="restart"/>
                  <w:tcBorders>
                    <w:tl2br w:val="nil"/>
                    <w:tr2bl w:val="nil"/>
                  </w:tcBorders>
                  <w:shd w:val="clear" w:color="auto" w:fill="auto"/>
                  <w:vAlign w:val="center"/>
                </w:tcPr>
                <w:p w14:paraId="31B91084">
                  <w:pPr>
                    <w:pStyle w:val="33"/>
                    <w:spacing w:line="240" w:lineRule="auto"/>
                    <w:rPr>
                      <w:rFonts w:ascii="Times New Roman" w:hAnsi="Times New Roman"/>
                      <w:b w:val="0"/>
                      <w:sz w:val="21"/>
                      <w:szCs w:val="21"/>
                    </w:rPr>
                  </w:pPr>
                  <w:r>
                    <w:rPr>
                      <w:rFonts w:hint="eastAsia" w:ascii="Times New Roman" w:hAnsi="Times New Roman"/>
                      <w:b w:val="0"/>
                      <w:sz w:val="21"/>
                      <w:szCs w:val="21"/>
                    </w:rPr>
                    <w:t>清丰县先进制造业开发区</w:t>
                  </w:r>
                </w:p>
              </w:tc>
              <w:tc>
                <w:tcPr>
                  <w:tcW w:w="416" w:type="dxa"/>
                  <w:vMerge w:val="restart"/>
                  <w:tcBorders>
                    <w:tl2br w:val="nil"/>
                    <w:tr2bl w:val="nil"/>
                  </w:tcBorders>
                  <w:shd w:val="clear" w:color="auto" w:fill="auto"/>
                  <w:vAlign w:val="center"/>
                </w:tcPr>
                <w:p w14:paraId="72CA1148">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重点</w:t>
                  </w:r>
                </w:p>
              </w:tc>
              <w:tc>
                <w:tcPr>
                  <w:tcW w:w="416" w:type="dxa"/>
                  <w:vMerge w:val="restart"/>
                  <w:tcBorders>
                    <w:tl2br w:val="nil"/>
                    <w:tr2bl w:val="nil"/>
                  </w:tcBorders>
                  <w:shd w:val="clear" w:color="auto" w:fill="auto"/>
                  <w:vAlign w:val="center"/>
                </w:tcPr>
                <w:p w14:paraId="507587E4">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濮阳市</w:t>
                  </w:r>
                </w:p>
              </w:tc>
              <w:tc>
                <w:tcPr>
                  <w:tcW w:w="402" w:type="dxa"/>
                  <w:vMerge w:val="restart"/>
                  <w:tcBorders>
                    <w:tl2br w:val="nil"/>
                    <w:tr2bl w:val="nil"/>
                  </w:tcBorders>
                  <w:shd w:val="clear" w:color="auto" w:fill="auto"/>
                  <w:vAlign w:val="center"/>
                </w:tcPr>
                <w:p w14:paraId="3CCD84F7">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清丰县</w:t>
                  </w:r>
                </w:p>
              </w:tc>
              <w:tc>
                <w:tcPr>
                  <w:tcW w:w="457" w:type="dxa"/>
                  <w:tcBorders>
                    <w:tl2br w:val="nil"/>
                    <w:tr2bl w:val="nil"/>
                  </w:tcBorders>
                  <w:shd w:val="clear" w:color="auto" w:fill="auto"/>
                  <w:vAlign w:val="center"/>
                </w:tcPr>
                <w:p w14:paraId="30326586">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空间布局约束</w:t>
                  </w:r>
                </w:p>
              </w:tc>
              <w:tc>
                <w:tcPr>
                  <w:tcW w:w="1956" w:type="dxa"/>
                  <w:tcBorders>
                    <w:tl2br w:val="nil"/>
                    <w:tr2bl w:val="nil"/>
                  </w:tcBorders>
                  <w:shd w:val="clear" w:color="auto" w:fill="auto"/>
                  <w:vAlign w:val="center"/>
                </w:tcPr>
                <w:p w14:paraId="09F49C40">
                  <w:pPr>
                    <w:widowControl/>
                    <w:rPr>
                      <w:b/>
                    </w:rPr>
                  </w:pPr>
                  <w:r>
                    <w:rPr>
                      <w:rFonts w:hint="eastAsia" w:cs="宋体"/>
                      <w:snapToGrid w:val="0"/>
                      <w:kern w:val="0"/>
                      <w:szCs w:val="21"/>
                      <w:lang w:bidi="ar"/>
                    </w:rPr>
                    <w:t>1、入驻项目应符合园区规划或规划环评的要求，禁止发展用排水量较大或污染严重风险较大的化学原料、医药中间体等化工项目，按照用排水量控制屠宰项目。2、按照当地主导风向，从南至北依次布设家具制造、食品加工、机械加工，同时考虑到区内现有居民民点的整合，布设综合服务带贯通三个产业片区。3、马庄桥商贸物流园区发展家具贸易和商贸物流业，六塔工业园发展节能环保产业。</w:t>
                  </w:r>
                </w:p>
              </w:tc>
              <w:tc>
                <w:tcPr>
                  <w:tcW w:w="1484" w:type="dxa"/>
                  <w:tcBorders>
                    <w:tl2br w:val="nil"/>
                    <w:tr2bl w:val="nil"/>
                  </w:tcBorders>
                  <w:shd w:val="clear" w:color="auto" w:fill="auto"/>
                  <w:vAlign w:val="center"/>
                </w:tcPr>
                <w:p w14:paraId="35A1AEF2">
                  <w:pPr>
                    <w:widowControl/>
                    <w:rPr>
                      <w:rFonts w:cs="宋体"/>
                      <w:kern w:val="0"/>
                      <w:szCs w:val="21"/>
                      <w:lang w:bidi="ar"/>
                    </w:rPr>
                  </w:pPr>
                  <w:r>
                    <w:rPr>
                      <w:rFonts w:hint="eastAsia" w:cs="宋体"/>
                      <w:kern w:val="0"/>
                      <w:szCs w:val="21"/>
                      <w:lang w:bidi="ar"/>
                    </w:rPr>
                    <w:t>1、本项目为C3042特种玻璃制造，不属于排水量较大或污染严重风险较大的项目，不属于所列化工及屠宰项目；</w:t>
                  </w:r>
                </w:p>
                <w:p w14:paraId="5713DB80">
                  <w:pPr>
                    <w:widowControl/>
                    <w:rPr>
                      <w:rFonts w:cs="宋体"/>
                      <w:kern w:val="0"/>
                      <w:szCs w:val="21"/>
                      <w:lang w:bidi="ar"/>
                    </w:rPr>
                  </w:pPr>
                  <w:r>
                    <w:rPr>
                      <w:rFonts w:hint="eastAsia" w:cs="宋体"/>
                      <w:kern w:val="0"/>
                      <w:szCs w:val="21"/>
                      <w:lang w:bidi="ar"/>
                    </w:rPr>
                    <w:t>2、本项目位于城区综合制造产业园中的家具制造及贸易产业园，符合园区规划；</w:t>
                  </w:r>
                </w:p>
                <w:p w14:paraId="465160AD">
                  <w:pPr>
                    <w:widowControl/>
                  </w:pPr>
                  <w:r>
                    <w:rPr>
                      <w:rFonts w:hint="eastAsia" w:cs="宋体"/>
                      <w:snapToGrid w:val="0"/>
                      <w:kern w:val="0"/>
                      <w:szCs w:val="21"/>
                      <w:lang w:bidi="ar"/>
                    </w:rPr>
                    <w:t>3、本项目位于城区综合制造产业园规划范围内</w:t>
                  </w:r>
                </w:p>
              </w:tc>
              <w:tc>
                <w:tcPr>
                  <w:tcW w:w="501" w:type="dxa"/>
                  <w:tcBorders>
                    <w:tl2br w:val="nil"/>
                    <w:tr2bl w:val="nil"/>
                  </w:tcBorders>
                  <w:shd w:val="clear" w:color="auto" w:fill="auto"/>
                  <w:vAlign w:val="center"/>
                </w:tcPr>
                <w:p w14:paraId="6C75777B">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33E0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33" w:type="dxa"/>
                  <w:vMerge w:val="continue"/>
                  <w:tcBorders>
                    <w:tl2br w:val="nil"/>
                    <w:tr2bl w:val="nil"/>
                  </w:tcBorders>
                  <w:shd w:val="clear" w:color="auto" w:fill="auto"/>
                  <w:vAlign w:val="center"/>
                </w:tcPr>
                <w:p w14:paraId="0C1B3802">
                  <w:pPr>
                    <w:rPr>
                      <w:sz w:val="20"/>
                      <w:szCs w:val="20"/>
                    </w:rPr>
                  </w:pPr>
                </w:p>
              </w:tc>
              <w:tc>
                <w:tcPr>
                  <w:tcW w:w="682" w:type="dxa"/>
                  <w:vMerge w:val="continue"/>
                  <w:tcBorders>
                    <w:tl2br w:val="nil"/>
                    <w:tr2bl w:val="nil"/>
                  </w:tcBorders>
                  <w:shd w:val="clear" w:color="auto" w:fill="auto"/>
                  <w:vAlign w:val="center"/>
                </w:tcPr>
                <w:p w14:paraId="3174A0CA">
                  <w:pPr>
                    <w:rPr>
                      <w:sz w:val="20"/>
                      <w:szCs w:val="20"/>
                    </w:rPr>
                  </w:pPr>
                </w:p>
              </w:tc>
              <w:tc>
                <w:tcPr>
                  <w:tcW w:w="416" w:type="dxa"/>
                  <w:vMerge w:val="continue"/>
                  <w:tcBorders>
                    <w:tl2br w:val="nil"/>
                    <w:tr2bl w:val="nil"/>
                  </w:tcBorders>
                  <w:shd w:val="clear" w:color="auto" w:fill="auto"/>
                  <w:vAlign w:val="center"/>
                </w:tcPr>
                <w:p w14:paraId="3ED58EC4">
                  <w:pPr>
                    <w:rPr>
                      <w:sz w:val="20"/>
                      <w:szCs w:val="20"/>
                    </w:rPr>
                  </w:pPr>
                </w:p>
              </w:tc>
              <w:tc>
                <w:tcPr>
                  <w:tcW w:w="416" w:type="dxa"/>
                  <w:vMerge w:val="continue"/>
                  <w:tcBorders>
                    <w:tl2br w:val="nil"/>
                    <w:tr2bl w:val="nil"/>
                  </w:tcBorders>
                  <w:shd w:val="clear" w:color="auto" w:fill="auto"/>
                  <w:vAlign w:val="center"/>
                </w:tcPr>
                <w:p w14:paraId="43D3CBB3">
                  <w:pPr>
                    <w:rPr>
                      <w:sz w:val="20"/>
                      <w:szCs w:val="20"/>
                    </w:rPr>
                  </w:pPr>
                </w:p>
              </w:tc>
              <w:tc>
                <w:tcPr>
                  <w:tcW w:w="402" w:type="dxa"/>
                  <w:vMerge w:val="continue"/>
                  <w:tcBorders>
                    <w:tl2br w:val="nil"/>
                    <w:tr2bl w:val="nil"/>
                  </w:tcBorders>
                  <w:shd w:val="clear" w:color="auto" w:fill="auto"/>
                  <w:vAlign w:val="center"/>
                </w:tcPr>
                <w:p w14:paraId="1F8760B8">
                  <w:pPr>
                    <w:rPr>
                      <w:sz w:val="20"/>
                      <w:szCs w:val="20"/>
                    </w:rPr>
                  </w:pPr>
                </w:p>
              </w:tc>
              <w:tc>
                <w:tcPr>
                  <w:tcW w:w="457" w:type="dxa"/>
                  <w:tcBorders>
                    <w:tl2br w:val="nil"/>
                    <w:tr2bl w:val="nil"/>
                  </w:tcBorders>
                  <w:shd w:val="clear" w:color="auto" w:fill="auto"/>
                  <w:vAlign w:val="center"/>
                </w:tcPr>
                <w:p w14:paraId="13109AC5">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污染物排放管控</w:t>
                  </w:r>
                </w:p>
              </w:tc>
              <w:tc>
                <w:tcPr>
                  <w:tcW w:w="1956" w:type="dxa"/>
                  <w:tcBorders>
                    <w:tl2br w:val="nil"/>
                    <w:tr2bl w:val="nil"/>
                  </w:tcBorders>
                  <w:shd w:val="clear" w:color="auto" w:fill="auto"/>
                  <w:vAlign w:val="center"/>
                </w:tcPr>
                <w:p w14:paraId="5E6AB98A">
                  <w:pPr>
                    <w:widowControl/>
                    <w:rPr>
                      <w:b/>
                    </w:rPr>
                  </w:pPr>
                  <w:r>
                    <w:rPr>
                      <w:rFonts w:hint="eastAsia" w:cs="宋体"/>
                      <w:szCs w:val="21"/>
                      <w:lang w:bidi="ar"/>
                    </w:rPr>
                    <w:t>1、禁止填埋场渗滤液直排或超标排放。2、大气：改善能源结构，推广使用天然气、电力等清洁能源；严格控制入区工业项目的类别；加强对工业喷涂项目挥发性有机物的治理工作，严格按照行业标准、治理方案，加强源头控制、过程控制和末端治理，提升清洁化生产水平。3、水：完善雨水、污水收集系统和排放系统，污水和生产物料输送管线需保证密封；不得建设地下或半地下式储罐设施。禁止含重金属废水进入城市生活污水处理厂。</w:t>
                  </w:r>
                </w:p>
              </w:tc>
              <w:tc>
                <w:tcPr>
                  <w:tcW w:w="1484" w:type="dxa"/>
                  <w:tcBorders>
                    <w:tl2br w:val="nil"/>
                    <w:tr2bl w:val="nil"/>
                  </w:tcBorders>
                  <w:shd w:val="clear" w:color="auto" w:fill="auto"/>
                  <w:vAlign w:val="center"/>
                </w:tcPr>
                <w:p w14:paraId="7E90B654">
                  <w:pPr>
                    <w:pStyle w:val="33"/>
                    <w:widowControl w:val="0"/>
                    <w:spacing w:line="240" w:lineRule="auto"/>
                    <w:jc w:val="left"/>
                    <w:rPr>
                      <w:rFonts w:ascii="Times New Roman" w:hAnsi="Times New Roman" w:eastAsia="宋体" w:cs="宋体"/>
                      <w:b w:val="0"/>
                      <w:sz w:val="21"/>
                      <w:szCs w:val="21"/>
                      <w:lang w:bidi="ar"/>
                    </w:rPr>
                  </w:pPr>
                  <w:r>
                    <w:rPr>
                      <w:rFonts w:ascii="Times New Roman" w:hAnsi="Times New Roman" w:eastAsia="宋体"/>
                      <w:b w:val="0"/>
                      <w:sz w:val="21"/>
                      <w:szCs w:val="21"/>
                      <w:lang w:bidi="ar"/>
                    </w:rPr>
                    <w:t>1</w:t>
                  </w:r>
                  <w:r>
                    <w:rPr>
                      <w:rFonts w:hint="eastAsia" w:ascii="Times New Roman" w:hAnsi="Times New Roman" w:eastAsia="宋体" w:cs="宋体"/>
                      <w:b w:val="0"/>
                      <w:sz w:val="21"/>
                      <w:szCs w:val="21"/>
                      <w:lang w:bidi="ar"/>
                    </w:rPr>
                    <w:t>、不涉及；</w:t>
                  </w:r>
                </w:p>
                <w:p w14:paraId="10BE712A">
                  <w:pPr>
                    <w:rPr>
                      <w:lang w:bidi="ar"/>
                    </w:rPr>
                  </w:pPr>
                  <w:r>
                    <w:rPr>
                      <w:rFonts w:hint="eastAsia"/>
                      <w:lang w:bidi="ar"/>
                    </w:rPr>
                    <w:t>2、项目生产均使用电能，属于清洁能源；</w:t>
                  </w:r>
                </w:p>
                <w:p w14:paraId="79B04E90">
                  <w:pPr>
                    <w:rPr>
                      <w:lang w:bidi="ar"/>
                    </w:rPr>
                  </w:pPr>
                  <w:r>
                    <w:rPr>
                      <w:rFonts w:hint="eastAsia"/>
                      <w:lang w:bidi="ar"/>
                    </w:rPr>
                    <w:t>3、项目建成后厂区地面进行硬化，厂区设有完善的雨水、污水收集系统和排放系统；项目不涉及含重金属废水</w:t>
                  </w:r>
                </w:p>
              </w:tc>
              <w:tc>
                <w:tcPr>
                  <w:tcW w:w="501" w:type="dxa"/>
                  <w:tcBorders>
                    <w:tl2br w:val="nil"/>
                    <w:tr2bl w:val="nil"/>
                  </w:tcBorders>
                  <w:shd w:val="clear" w:color="auto" w:fill="auto"/>
                  <w:vAlign w:val="center"/>
                </w:tcPr>
                <w:p w14:paraId="4AEEF220">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4B6A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4" w:hRule="atLeast"/>
                <w:jc w:val="center"/>
              </w:trPr>
              <w:tc>
                <w:tcPr>
                  <w:tcW w:w="733" w:type="dxa"/>
                  <w:vMerge w:val="continue"/>
                  <w:tcBorders>
                    <w:tl2br w:val="nil"/>
                    <w:tr2bl w:val="nil"/>
                  </w:tcBorders>
                  <w:shd w:val="clear" w:color="auto" w:fill="auto"/>
                  <w:vAlign w:val="center"/>
                </w:tcPr>
                <w:p w14:paraId="0BB6CBD3">
                  <w:pPr>
                    <w:rPr>
                      <w:sz w:val="20"/>
                      <w:szCs w:val="20"/>
                    </w:rPr>
                  </w:pPr>
                </w:p>
              </w:tc>
              <w:tc>
                <w:tcPr>
                  <w:tcW w:w="682" w:type="dxa"/>
                  <w:vMerge w:val="continue"/>
                  <w:tcBorders>
                    <w:tl2br w:val="nil"/>
                    <w:tr2bl w:val="nil"/>
                  </w:tcBorders>
                  <w:shd w:val="clear" w:color="auto" w:fill="auto"/>
                  <w:vAlign w:val="center"/>
                </w:tcPr>
                <w:p w14:paraId="2AE9602D">
                  <w:pPr>
                    <w:rPr>
                      <w:sz w:val="20"/>
                      <w:szCs w:val="20"/>
                    </w:rPr>
                  </w:pPr>
                </w:p>
              </w:tc>
              <w:tc>
                <w:tcPr>
                  <w:tcW w:w="416" w:type="dxa"/>
                  <w:vMerge w:val="continue"/>
                  <w:tcBorders>
                    <w:tl2br w:val="nil"/>
                    <w:tr2bl w:val="nil"/>
                  </w:tcBorders>
                  <w:shd w:val="clear" w:color="auto" w:fill="auto"/>
                  <w:vAlign w:val="center"/>
                </w:tcPr>
                <w:p w14:paraId="06E4B150">
                  <w:pPr>
                    <w:rPr>
                      <w:sz w:val="20"/>
                      <w:szCs w:val="20"/>
                    </w:rPr>
                  </w:pPr>
                </w:p>
              </w:tc>
              <w:tc>
                <w:tcPr>
                  <w:tcW w:w="416" w:type="dxa"/>
                  <w:vMerge w:val="continue"/>
                  <w:tcBorders>
                    <w:tl2br w:val="nil"/>
                    <w:tr2bl w:val="nil"/>
                  </w:tcBorders>
                  <w:shd w:val="clear" w:color="auto" w:fill="auto"/>
                  <w:vAlign w:val="center"/>
                </w:tcPr>
                <w:p w14:paraId="67D91141">
                  <w:pPr>
                    <w:rPr>
                      <w:sz w:val="20"/>
                      <w:szCs w:val="20"/>
                    </w:rPr>
                  </w:pPr>
                </w:p>
              </w:tc>
              <w:tc>
                <w:tcPr>
                  <w:tcW w:w="402" w:type="dxa"/>
                  <w:vMerge w:val="continue"/>
                  <w:tcBorders>
                    <w:tl2br w:val="nil"/>
                    <w:tr2bl w:val="nil"/>
                  </w:tcBorders>
                  <w:shd w:val="clear" w:color="auto" w:fill="auto"/>
                  <w:vAlign w:val="center"/>
                </w:tcPr>
                <w:p w14:paraId="414566A7">
                  <w:pPr>
                    <w:rPr>
                      <w:sz w:val="20"/>
                      <w:szCs w:val="20"/>
                    </w:rPr>
                  </w:pPr>
                </w:p>
              </w:tc>
              <w:tc>
                <w:tcPr>
                  <w:tcW w:w="457" w:type="dxa"/>
                  <w:tcBorders>
                    <w:tl2br w:val="nil"/>
                    <w:tr2bl w:val="nil"/>
                  </w:tcBorders>
                  <w:shd w:val="clear" w:color="auto" w:fill="auto"/>
                  <w:vAlign w:val="center"/>
                </w:tcPr>
                <w:p w14:paraId="4FD863B1">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环境风险防控</w:t>
                  </w:r>
                </w:p>
              </w:tc>
              <w:tc>
                <w:tcPr>
                  <w:tcW w:w="1956" w:type="dxa"/>
                  <w:tcBorders>
                    <w:tl2br w:val="nil"/>
                    <w:tr2bl w:val="nil"/>
                  </w:tcBorders>
                  <w:shd w:val="clear" w:color="auto" w:fill="auto"/>
                  <w:vAlign w:val="center"/>
                </w:tcPr>
                <w:p w14:paraId="661CCAF9">
                  <w:pPr>
                    <w:widowControl/>
                    <w:rPr>
                      <w:rFonts w:cs="宋体"/>
                      <w:szCs w:val="21"/>
                      <w:lang w:bidi="ar"/>
                    </w:rPr>
                  </w:pPr>
                  <w:r>
                    <w:rPr>
                      <w:rFonts w:hint="eastAsia" w:cs="宋体"/>
                      <w:szCs w:val="21"/>
                      <w:lang w:bidi="ar"/>
                    </w:rPr>
                    <w:t>1.铅酸蓄电池、石</w:t>
                  </w:r>
                </w:p>
                <w:p w14:paraId="0CE4EBA7">
                  <w:pPr>
                    <w:widowControl/>
                    <w:rPr>
                      <w:rFonts w:cs="宋体"/>
                      <w:szCs w:val="21"/>
                      <w:lang w:bidi="ar"/>
                    </w:rPr>
                  </w:pPr>
                  <w:r>
                    <w:rPr>
                      <w:rFonts w:hint="eastAsia" w:cs="宋体"/>
                      <w:szCs w:val="21"/>
                      <w:lang w:bidi="ar"/>
                    </w:rPr>
                    <w:t>油加工、化工和危险化学品生产、储存、使用等企业在拆除生产设施设备、污染治理设施时，要事先制定企业拆除活动污染防治方案和拆除活动环境应急预案。</w:t>
                  </w:r>
                </w:p>
                <w:p w14:paraId="7BEFCAC6">
                  <w:pPr>
                    <w:widowControl/>
                    <w:rPr>
                      <w:b/>
                    </w:rPr>
                  </w:pPr>
                  <w:r>
                    <w:rPr>
                      <w:rFonts w:hint="eastAsia" w:cs="宋体"/>
                      <w:szCs w:val="21"/>
                      <w:lang w:bidi="ar"/>
                    </w:rPr>
                    <w:t>2、充分利用企业用地调查成果和注销、撤销排污许可的信息，考虑行业、生产年限等因素，确定优先监管地块，并按要求采取污染管控措施。</w:t>
                  </w:r>
                </w:p>
              </w:tc>
              <w:tc>
                <w:tcPr>
                  <w:tcW w:w="1484" w:type="dxa"/>
                  <w:tcBorders>
                    <w:tl2br w:val="nil"/>
                    <w:tr2bl w:val="nil"/>
                  </w:tcBorders>
                  <w:shd w:val="clear" w:color="auto" w:fill="auto"/>
                  <w:vAlign w:val="center"/>
                </w:tcPr>
                <w:p w14:paraId="6C21F8EA">
                  <w:pPr>
                    <w:widowControl/>
                    <w:jc w:val="center"/>
                    <w:rPr>
                      <w:b/>
                    </w:rPr>
                  </w:pPr>
                  <w:r>
                    <w:rPr>
                      <w:rFonts w:cs="宋体"/>
                      <w:szCs w:val="21"/>
                      <w:lang w:bidi="ar"/>
                    </w:rPr>
                    <w:t>不涉及</w:t>
                  </w:r>
                </w:p>
              </w:tc>
              <w:tc>
                <w:tcPr>
                  <w:tcW w:w="501" w:type="dxa"/>
                  <w:tcBorders>
                    <w:tl2br w:val="nil"/>
                    <w:tr2bl w:val="nil"/>
                  </w:tcBorders>
                  <w:shd w:val="clear" w:color="auto" w:fill="auto"/>
                  <w:vAlign w:val="center"/>
                </w:tcPr>
                <w:p w14:paraId="2C37F4C9">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009B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33" w:type="dxa"/>
                  <w:vMerge w:val="continue"/>
                  <w:tcBorders>
                    <w:tl2br w:val="nil"/>
                    <w:tr2bl w:val="nil"/>
                  </w:tcBorders>
                  <w:shd w:val="clear" w:color="auto" w:fill="auto"/>
                  <w:vAlign w:val="center"/>
                </w:tcPr>
                <w:p w14:paraId="3C7CAD0C">
                  <w:pPr>
                    <w:rPr>
                      <w:sz w:val="20"/>
                      <w:szCs w:val="20"/>
                    </w:rPr>
                  </w:pPr>
                </w:p>
              </w:tc>
              <w:tc>
                <w:tcPr>
                  <w:tcW w:w="682" w:type="dxa"/>
                  <w:vMerge w:val="continue"/>
                  <w:tcBorders>
                    <w:tl2br w:val="nil"/>
                    <w:tr2bl w:val="nil"/>
                  </w:tcBorders>
                  <w:shd w:val="clear" w:color="auto" w:fill="auto"/>
                  <w:vAlign w:val="center"/>
                </w:tcPr>
                <w:p w14:paraId="434B0348">
                  <w:pPr>
                    <w:rPr>
                      <w:sz w:val="20"/>
                      <w:szCs w:val="20"/>
                    </w:rPr>
                  </w:pPr>
                </w:p>
              </w:tc>
              <w:tc>
                <w:tcPr>
                  <w:tcW w:w="416" w:type="dxa"/>
                  <w:vMerge w:val="continue"/>
                  <w:tcBorders>
                    <w:tl2br w:val="nil"/>
                    <w:tr2bl w:val="nil"/>
                  </w:tcBorders>
                  <w:shd w:val="clear" w:color="auto" w:fill="auto"/>
                  <w:vAlign w:val="center"/>
                </w:tcPr>
                <w:p w14:paraId="59F1D098">
                  <w:pPr>
                    <w:rPr>
                      <w:sz w:val="20"/>
                      <w:szCs w:val="20"/>
                    </w:rPr>
                  </w:pPr>
                </w:p>
              </w:tc>
              <w:tc>
                <w:tcPr>
                  <w:tcW w:w="416" w:type="dxa"/>
                  <w:vMerge w:val="continue"/>
                  <w:tcBorders>
                    <w:tl2br w:val="nil"/>
                    <w:tr2bl w:val="nil"/>
                  </w:tcBorders>
                  <w:shd w:val="clear" w:color="auto" w:fill="auto"/>
                  <w:vAlign w:val="center"/>
                </w:tcPr>
                <w:p w14:paraId="775DCFDB">
                  <w:pPr>
                    <w:rPr>
                      <w:sz w:val="20"/>
                      <w:szCs w:val="20"/>
                    </w:rPr>
                  </w:pPr>
                </w:p>
              </w:tc>
              <w:tc>
                <w:tcPr>
                  <w:tcW w:w="402" w:type="dxa"/>
                  <w:vMerge w:val="continue"/>
                  <w:tcBorders>
                    <w:tl2br w:val="nil"/>
                    <w:tr2bl w:val="nil"/>
                  </w:tcBorders>
                  <w:shd w:val="clear" w:color="auto" w:fill="auto"/>
                  <w:vAlign w:val="center"/>
                </w:tcPr>
                <w:p w14:paraId="20BD44FD">
                  <w:pPr>
                    <w:rPr>
                      <w:sz w:val="20"/>
                      <w:szCs w:val="20"/>
                    </w:rPr>
                  </w:pPr>
                </w:p>
              </w:tc>
              <w:tc>
                <w:tcPr>
                  <w:tcW w:w="457" w:type="dxa"/>
                  <w:tcBorders>
                    <w:tl2br w:val="nil"/>
                    <w:tr2bl w:val="nil"/>
                  </w:tcBorders>
                  <w:shd w:val="clear" w:color="auto" w:fill="auto"/>
                  <w:vAlign w:val="center"/>
                </w:tcPr>
                <w:p w14:paraId="0AB6C099">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资源开发效率要求</w:t>
                  </w:r>
                </w:p>
              </w:tc>
              <w:tc>
                <w:tcPr>
                  <w:tcW w:w="1956" w:type="dxa"/>
                  <w:tcBorders>
                    <w:tl2br w:val="nil"/>
                    <w:tr2bl w:val="nil"/>
                  </w:tcBorders>
                  <w:shd w:val="clear" w:color="auto" w:fill="auto"/>
                  <w:vAlign w:val="center"/>
                </w:tcPr>
                <w:p w14:paraId="11731849">
                  <w:pPr>
                    <w:widowControl/>
                    <w:rPr>
                      <w:b/>
                    </w:rPr>
                  </w:pPr>
                  <w:r>
                    <w:rPr>
                      <w:rFonts w:hint="eastAsia" w:cs="宋体"/>
                      <w:szCs w:val="21"/>
                      <w:lang w:bidi="ar"/>
                    </w:rPr>
                    <w:t>地下水超采地区，控制采用地下水的高耗水新建、改建、扩建项目。</w:t>
                  </w:r>
                </w:p>
              </w:tc>
              <w:tc>
                <w:tcPr>
                  <w:tcW w:w="1484" w:type="dxa"/>
                  <w:tcBorders>
                    <w:tl2br w:val="nil"/>
                    <w:tr2bl w:val="nil"/>
                  </w:tcBorders>
                  <w:shd w:val="clear" w:color="auto" w:fill="auto"/>
                  <w:vAlign w:val="center"/>
                </w:tcPr>
                <w:p w14:paraId="27DB70EB">
                  <w:pPr>
                    <w:widowControl/>
                    <w:rPr>
                      <w:b/>
                    </w:rPr>
                  </w:pPr>
                  <w:r>
                    <w:rPr>
                      <w:rFonts w:hint="eastAsia" w:cs="宋体"/>
                      <w:szCs w:val="21"/>
                      <w:lang w:bidi="ar"/>
                    </w:rPr>
                    <w:t>本项目使用园区供水，不涉及地下水开采，不属于高耗水项目。</w:t>
                  </w:r>
                </w:p>
              </w:tc>
              <w:tc>
                <w:tcPr>
                  <w:tcW w:w="501" w:type="dxa"/>
                  <w:tcBorders>
                    <w:tl2br w:val="nil"/>
                    <w:tr2bl w:val="nil"/>
                  </w:tcBorders>
                  <w:shd w:val="clear" w:color="auto" w:fill="auto"/>
                  <w:vAlign w:val="center"/>
                </w:tcPr>
                <w:p w14:paraId="02CDFEE1">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bl>
          <w:p w14:paraId="6AFE2B66">
            <w:pPr>
              <w:spacing w:line="360" w:lineRule="auto"/>
              <w:ind w:firstLine="480" w:firstLineChars="200"/>
              <w:rPr>
                <w:bCs/>
                <w:sz w:val="24"/>
              </w:rPr>
            </w:pPr>
            <w:r>
              <w:rPr>
                <w:rFonts w:hint="eastAsia"/>
                <w:bCs/>
                <w:sz w:val="24"/>
              </w:rPr>
              <w:t>四、水环境管控分区分析</w:t>
            </w:r>
          </w:p>
          <w:p w14:paraId="08A1D5CE">
            <w:pPr>
              <w:spacing w:line="360" w:lineRule="auto"/>
              <w:ind w:firstLine="480" w:firstLineChars="200"/>
              <w:rPr>
                <w:bCs/>
                <w:sz w:val="24"/>
              </w:rPr>
            </w:pPr>
            <w:r>
              <w:rPr>
                <w:rFonts w:hint="eastAsia"/>
                <w:bCs/>
                <w:sz w:val="24"/>
              </w:rPr>
              <w:t>经比对，项目涉及1个河南省水环境管控分区，其中水环境优先保护区0个，工业污染重点管控区1个，城镇生活污染重点管控区0个，农业污染重点管控区0个，水环境一般管控区0个，详见下表：</w:t>
            </w:r>
          </w:p>
          <w:p w14:paraId="4C200CB4">
            <w:pPr>
              <w:pStyle w:val="137"/>
              <w:numPr>
                <w:ilvl w:val="0"/>
                <w:numId w:val="3"/>
              </w:numPr>
              <w:autoSpaceDE w:val="0"/>
              <w:autoSpaceDN w:val="0"/>
              <w:adjustRightInd w:val="0"/>
              <w:snapToGrid w:val="0"/>
              <w:spacing w:line="360" w:lineRule="auto"/>
              <w:ind w:firstLineChars="0"/>
              <w:jc w:val="center"/>
              <w:rPr>
                <w:b/>
                <w:kern w:val="0"/>
              </w:rPr>
            </w:pPr>
            <w:r>
              <w:rPr>
                <w:rFonts w:hint="eastAsia"/>
                <w:b/>
                <w:kern w:val="0"/>
              </w:rPr>
              <w:t>项目涉及河南省水环境管控一览表</w:t>
            </w:r>
          </w:p>
          <w:tbl>
            <w:tblPr>
              <w:tblStyle w:val="39"/>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671"/>
              <w:gridCol w:w="405"/>
              <w:gridCol w:w="364"/>
              <w:gridCol w:w="392"/>
              <w:gridCol w:w="774"/>
              <w:gridCol w:w="1984"/>
              <w:gridCol w:w="1443"/>
              <w:gridCol w:w="471"/>
            </w:tblGrid>
            <w:tr w14:paraId="7F7A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51" w:type="dxa"/>
                  <w:tcBorders>
                    <w:tl2br w:val="nil"/>
                    <w:tr2bl w:val="nil"/>
                  </w:tcBorders>
                  <w:shd w:val="clear" w:color="auto" w:fill="auto"/>
                  <w:vAlign w:val="center"/>
                </w:tcPr>
                <w:p w14:paraId="3262AA4E">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环境管控单元编码</w:t>
                  </w:r>
                </w:p>
              </w:tc>
              <w:tc>
                <w:tcPr>
                  <w:tcW w:w="671" w:type="dxa"/>
                  <w:tcBorders>
                    <w:tl2br w:val="nil"/>
                    <w:tr2bl w:val="nil"/>
                  </w:tcBorders>
                  <w:shd w:val="clear" w:color="auto" w:fill="auto"/>
                  <w:vAlign w:val="center"/>
                </w:tcPr>
                <w:p w14:paraId="73AAA423">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环境管控单元名称</w:t>
                  </w:r>
                </w:p>
              </w:tc>
              <w:tc>
                <w:tcPr>
                  <w:tcW w:w="405" w:type="dxa"/>
                  <w:tcBorders>
                    <w:tl2br w:val="nil"/>
                    <w:tr2bl w:val="nil"/>
                  </w:tcBorders>
                  <w:shd w:val="clear" w:color="auto" w:fill="auto"/>
                  <w:vAlign w:val="center"/>
                </w:tcPr>
                <w:p w14:paraId="51756257">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管控分类</w:t>
                  </w:r>
                </w:p>
              </w:tc>
              <w:tc>
                <w:tcPr>
                  <w:tcW w:w="364" w:type="dxa"/>
                  <w:tcBorders>
                    <w:tl2br w:val="nil"/>
                    <w:tr2bl w:val="nil"/>
                  </w:tcBorders>
                  <w:shd w:val="clear" w:color="auto" w:fill="auto"/>
                  <w:vAlign w:val="center"/>
                </w:tcPr>
                <w:p w14:paraId="51303927">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市</w:t>
                  </w:r>
                </w:p>
              </w:tc>
              <w:tc>
                <w:tcPr>
                  <w:tcW w:w="392" w:type="dxa"/>
                  <w:tcBorders>
                    <w:tl2br w:val="nil"/>
                    <w:tr2bl w:val="nil"/>
                  </w:tcBorders>
                  <w:shd w:val="clear" w:color="auto" w:fill="auto"/>
                  <w:vAlign w:val="center"/>
                </w:tcPr>
                <w:p w14:paraId="38D488F2">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区县</w:t>
                  </w:r>
                </w:p>
              </w:tc>
              <w:tc>
                <w:tcPr>
                  <w:tcW w:w="2758" w:type="dxa"/>
                  <w:gridSpan w:val="2"/>
                  <w:tcBorders>
                    <w:tl2br w:val="nil"/>
                    <w:tr2bl w:val="nil"/>
                  </w:tcBorders>
                  <w:shd w:val="clear" w:color="auto" w:fill="auto"/>
                  <w:vAlign w:val="center"/>
                </w:tcPr>
                <w:p w14:paraId="5DEB1F45">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主要要求</w:t>
                  </w:r>
                </w:p>
              </w:tc>
              <w:tc>
                <w:tcPr>
                  <w:tcW w:w="1443" w:type="dxa"/>
                  <w:tcBorders>
                    <w:tl2br w:val="nil"/>
                    <w:tr2bl w:val="nil"/>
                  </w:tcBorders>
                  <w:shd w:val="clear" w:color="auto" w:fill="auto"/>
                  <w:vAlign w:val="center"/>
                </w:tcPr>
                <w:p w14:paraId="56FA03B9">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本项目情况</w:t>
                  </w:r>
                </w:p>
              </w:tc>
              <w:tc>
                <w:tcPr>
                  <w:tcW w:w="471" w:type="dxa"/>
                  <w:tcBorders>
                    <w:tl2br w:val="nil"/>
                    <w:tr2bl w:val="nil"/>
                  </w:tcBorders>
                  <w:shd w:val="clear" w:color="auto" w:fill="auto"/>
                  <w:vAlign w:val="center"/>
                </w:tcPr>
                <w:p w14:paraId="0CB6D2A6">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符合性</w:t>
                  </w:r>
                </w:p>
              </w:tc>
            </w:tr>
            <w:tr w14:paraId="5E71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651" w:type="dxa"/>
                  <w:vMerge w:val="restart"/>
                  <w:tcBorders>
                    <w:tl2br w:val="nil"/>
                    <w:tr2bl w:val="nil"/>
                  </w:tcBorders>
                  <w:shd w:val="clear" w:color="auto" w:fill="auto"/>
                  <w:vAlign w:val="center"/>
                </w:tcPr>
                <w:p w14:paraId="40EB18E6">
                  <w:pPr>
                    <w:pStyle w:val="33"/>
                    <w:spacing w:line="240" w:lineRule="auto"/>
                    <w:rPr>
                      <w:rFonts w:ascii="Times New Roman" w:hAnsi="Times New Roman"/>
                      <w:b w:val="0"/>
                      <w:sz w:val="21"/>
                      <w:szCs w:val="21"/>
                    </w:rPr>
                  </w:pPr>
                  <w:r>
                    <w:rPr>
                      <w:rFonts w:ascii="Times New Roman" w:hAnsi="Times New Roman" w:eastAsia="宋体"/>
                      <w:b w:val="0"/>
                      <w:kern w:val="2"/>
                      <w:sz w:val="21"/>
                      <w:szCs w:val="21"/>
                      <w:lang w:bidi="ar"/>
                    </w:rPr>
                    <w:t>YS4109222210065</w:t>
                  </w:r>
                </w:p>
              </w:tc>
              <w:tc>
                <w:tcPr>
                  <w:tcW w:w="671" w:type="dxa"/>
                  <w:vMerge w:val="restart"/>
                  <w:tcBorders>
                    <w:tl2br w:val="nil"/>
                    <w:tr2bl w:val="nil"/>
                  </w:tcBorders>
                  <w:shd w:val="clear" w:color="auto" w:fill="auto"/>
                  <w:vAlign w:val="center"/>
                </w:tcPr>
                <w:p w14:paraId="55F6DA0F">
                  <w:pPr>
                    <w:pStyle w:val="33"/>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清丰县先进制造业开发区</w:t>
                  </w:r>
                </w:p>
              </w:tc>
              <w:tc>
                <w:tcPr>
                  <w:tcW w:w="405" w:type="dxa"/>
                  <w:vMerge w:val="restart"/>
                  <w:tcBorders>
                    <w:tl2br w:val="nil"/>
                    <w:tr2bl w:val="nil"/>
                  </w:tcBorders>
                  <w:shd w:val="clear" w:color="auto" w:fill="auto"/>
                  <w:vAlign w:val="center"/>
                </w:tcPr>
                <w:p w14:paraId="37A4CC68">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重点</w:t>
                  </w:r>
                </w:p>
              </w:tc>
              <w:tc>
                <w:tcPr>
                  <w:tcW w:w="364" w:type="dxa"/>
                  <w:vMerge w:val="restart"/>
                  <w:tcBorders>
                    <w:tl2br w:val="nil"/>
                    <w:tr2bl w:val="nil"/>
                  </w:tcBorders>
                  <w:shd w:val="clear" w:color="auto" w:fill="auto"/>
                  <w:vAlign w:val="center"/>
                </w:tcPr>
                <w:p w14:paraId="735FF6F9">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濮阳市</w:t>
                  </w:r>
                </w:p>
              </w:tc>
              <w:tc>
                <w:tcPr>
                  <w:tcW w:w="392" w:type="dxa"/>
                  <w:vMerge w:val="restart"/>
                  <w:tcBorders>
                    <w:tl2br w:val="nil"/>
                    <w:tr2bl w:val="nil"/>
                  </w:tcBorders>
                  <w:shd w:val="clear" w:color="auto" w:fill="auto"/>
                  <w:vAlign w:val="center"/>
                </w:tcPr>
                <w:p w14:paraId="0DDD006C">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清丰县</w:t>
                  </w:r>
                </w:p>
              </w:tc>
              <w:tc>
                <w:tcPr>
                  <w:tcW w:w="774" w:type="dxa"/>
                  <w:tcBorders>
                    <w:tl2br w:val="nil"/>
                    <w:tr2bl w:val="nil"/>
                  </w:tcBorders>
                  <w:shd w:val="clear" w:color="auto" w:fill="auto"/>
                  <w:vAlign w:val="center"/>
                </w:tcPr>
                <w:p w14:paraId="74173D2C">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空间布局约束</w:t>
                  </w:r>
                </w:p>
              </w:tc>
              <w:tc>
                <w:tcPr>
                  <w:tcW w:w="1984" w:type="dxa"/>
                  <w:tcBorders>
                    <w:tl2br w:val="nil"/>
                    <w:tr2bl w:val="nil"/>
                  </w:tcBorders>
                  <w:shd w:val="clear" w:color="auto" w:fill="auto"/>
                  <w:vAlign w:val="center"/>
                </w:tcPr>
                <w:p w14:paraId="2D1956D6">
                  <w:pPr>
                    <w:pStyle w:val="33"/>
                    <w:widowControl w:val="0"/>
                    <w:spacing w:line="240" w:lineRule="auto"/>
                    <w:rPr>
                      <w:rFonts w:ascii="Times New Roman" w:hAnsi="Times New Roman"/>
                      <w:b w:val="0"/>
                    </w:rPr>
                  </w:pPr>
                  <w:r>
                    <w:rPr>
                      <w:rFonts w:hint="eastAsia" w:ascii="Times New Roman" w:hAnsi="Times New Roman"/>
                      <w:b w:val="0"/>
                      <w:sz w:val="21"/>
                      <w:szCs w:val="21"/>
                    </w:rPr>
                    <w:t>入驻项目应符合园区规划或规划环评的要求，禁止发展用排水量较大或污染严重风险较大的化学原料、医药中间体等化工项目，按照用排水量控制屠宰项目。</w:t>
                  </w:r>
                </w:p>
              </w:tc>
              <w:tc>
                <w:tcPr>
                  <w:tcW w:w="1443" w:type="dxa"/>
                  <w:tcBorders>
                    <w:tl2br w:val="nil"/>
                    <w:tr2bl w:val="nil"/>
                  </w:tcBorders>
                  <w:shd w:val="clear" w:color="auto" w:fill="auto"/>
                  <w:vAlign w:val="center"/>
                </w:tcPr>
                <w:p w14:paraId="759E0B02">
                  <w:pPr>
                    <w:pStyle w:val="33"/>
                    <w:widowControl w:val="0"/>
                    <w:spacing w:line="240" w:lineRule="auto"/>
                    <w:rPr>
                      <w:rFonts w:ascii="Times New Roman" w:hAnsi="Times New Roman"/>
                      <w:b w:val="0"/>
                      <w:sz w:val="21"/>
                      <w:szCs w:val="21"/>
                    </w:rPr>
                  </w:pPr>
                  <w:r>
                    <w:rPr>
                      <w:rFonts w:hint="eastAsia" w:ascii="Times New Roman" w:hAnsi="Times New Roman"/>
                      <w:b w:val="0"/>
                      <w:sz w:val="21"/>
                      <w:szCs w:val="21"/>
                    </w:rPr>
                    <w:t>本项目为C3042特种玻璃制造，位于城区综合制造产业园中的家具制造及贸易产业园，符合园区规划；项目不属于排水量较大或污染严重风险较大的项目，不属于所列化工及屠宰项目</w:t>
                  </w:r>
                </w:p>
              </w:tc>
              <w:tc>
                <w:tcPr>
                  <w:tcW w:w="471" w:type="dxa"/>
                  <w:tcBorders>
                    <w:tl2br w:val="nil"/>
                    <w:tr2bl w:val="nil"/>
                  </w:tcBorders>
                  <w:shd w:val="clear" w:color="auto" w:fill="auto"/>
                  <w:vAlign w:val="center"/>
                </w:tcPr>
                <w:p w14:paraId="1722807D">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2FF0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651" w:type="dxa"/>
                  <w:vMerge w:val="continue"/>
                  <w:tcBorders>
                    <w:tl2br w:val="nil"/>
                    <w:tr2bl w:val="nil"/>
                  </w:tcBorders>
                  <w:shd w:val="clear" w:color="auto" w:fill="auto"/>
                  <w:vAlign w:val="center"/>
                </w:tcPr>
                <w:p w14:paraId="0D2B7C66">
                  <w:pPr>
                    <w:rPr>
                      <w:sz w:val="20"/>
                      <w:szCs w:val="20"/>
                    </w:rPr>
                  </w:pPr>
                </w:p>
              </w:tc>
              <w:tc>
                <w:tcPr>
                  <w:tcW w:w="671" w:type="dxa"/>
                  <w:vMerge w:val="continue"/>
                  <w:tcBorders>
                    <w:tl2br w:val="nil"/>
                    <w:tr2bl w:val="nil"/>
                  </w:tcBorders>
                  <w:shd w:val="clear" w:color="auto" w:fill="auto"/>
                  <w:vAlign w:val="center"/>
                </w:tcPr>
                <w:p w14:paraId="330FD050">
                  <w:pPr>
                    <w:rPr>
                      <w:sz w:val="20"/>
                      <w:szCs w:val="20"/>
                    </w:rPr>
                  </w:pPr>
                </w:p>
              </w:tc>
              <w:tc>
                <w:tcPr>
                  <w:tcW w:w="405" w:type="dxa"/>
                  <w:vMerge w:val="continue"/>
                  <w:tcBorders>
                    <w:tl2br w:val="nil"/>
                    <w:tr2bl w:val="nil"/>
                  </w:tcBorders>
                  <w:shd w:val="clear" w:color="auto" w:fill="auto"/>
                  <w:vAlign w:val="center"/>
                </w:tcPr>
                <w:p w14:paraId="36DBFA03">
                  <w:pPr>
                    <w:rPr>
                      <w:sz w:val="20"/>
                      <w:szCs w:val="20"/>
                    </w:rPr>
                  </w:pPr>
                </w:p>
              </w:tc>
              <w:tc>
                <w:tcPr>
                  <w:tcW w:w="364" w:type="dxa"/>
                  <w:vMerge w:val="continue"/>
                  <w:tcBorders>
                    <w:tl2br w:val="nil"/>
                    <w:tr2bl w:val="nil"/>
                  </w:tcBorders>
                  <w:shd w:val="clear" w:color="auto" w:fill="auto"/>
                  <w:vAlign w:val="center"/>
                </w:tcPr>
                <w:p w14:paraId="0A123751">
                  <w:pPr>
                    <w:rPr>
                      <w:sz w:val="20"/>
                      <w:szCs w:val="20"/>
                    </w:rPr>
                  </w:pPr>
                </w:p>
              </w:tc>
              <w:tc>
                <w:tcPr>
                  <w:tcW w:w="392" w:type="dxa"/>
                  <w:vMerge w:val="continue"/>
                  <w:tcBorders>
                    <w:tl2br w:val="nil"/>
                    <w:tr2bl w:val="nil"/>
                  </w:tcBorders>
                  <w:shd w:val="clear" w:color="auto" w:fill="auto"/>
                  <w:vAlign w:val="center"/>
                </w:tcPr>
                <w:p w14:paraId="50F12497">
                  <w:pPr>
                    <w:rPr>
                      <w:sz w:val="20"/>
                      <w:szCs w:val="20"/>
                    </w:rPr>
                  </w:pPr>
                </w:p>
              </w:tc>
              <w:tc>
                <w:tcPr>
                  <w:tcW w:w="774" w:type="dxa"/>
                  <w:tcBorders>
                    <w:tl2br w:val="nil"/>
                    <w:tr2bl w:val="nil"/>
                  </w:tcBorders>
                  <w:shd w:val="clear" w:color="auto" w:fill="auto"/>
                  <w:vAlign w:val="center"/>
                </w:tcPr>
                <w:p w14:paraId="60B7158A">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污染物排放管控</w:t>
                  </w:r>
                </w:p>
              </w:tc>
              <w:tc>
                <w:tcPr>
                  <w:tcW w:w="1984" w:type="dxa"/>
                  <w:tcBorders>
                    <w:tl2br w:val="nil"/>
                    <w:tr2bl w:val="nil"/>
                  </w:tcBorders>
                  <w:shd w:val="clear" w:color="auto" w:fill="auto"/>
                  <w:vAlign w:val="center"/>
                </w:tcPr>
                <w:p w14:paraId="69A1802B">
                  <w:pPr>
                    <w:pStyle w:val="33"/>
                    <w:widowControl w:val="0"/>
                    <w:spacing w:line="240" w:lineRule="auto"/>
                    <w:rPr>
                      <w:rFonts w:ascii="Times New Roman" w:hAnsi="Times New Roman"/>
                      <w:b w:val="0"/>
                    </w:rPr>
                  </w:pPr>
                  <w:r>
                    <w:rPr>
                      <w:rFonts w:hint="eastAsia" w:ascii="Times New Roman" w:hAnsi="Times New Roman"/>
                      <w:b w:val="0"/>
                      <w:sz w:val="21"/>
                      <w:szCs w:val="21"/>
                    </w:rPr>
                    <w:t>完善雨水、污水收集系统和排放系统，污水和生产物料输送管线需保证密封；禁止含重金属废水进入城市生活污水处理厂。</w:t>
                  </w:r>
                </w:p>
              </w:tc>
              <w:tc>
                <w:tcPr>
                  <w:tcW w:w="1443" w:type="dxa"/>
                  <w:tcBorders>
                    <w:tl2br w:val="nil"/>
                    <w:tr2bl w:val="nil"/>
                  </w:tcBorders>
                  <w:shd w:val="clear" w:color="auto" w:fill="auto"/>
                  <w:vAlign w:val="center"/>
                </w:tcPr>
                <w:p w14:paraId="29B782BB">
                  <w:pPr>
                    <w:pStyle w:val="33"/>
                    <w:widowControl w:val="0"/>
                    <w:spacing w:line="240" w:lineRule="auto"/>
                    <w:rPr>
                      <w:rFonts w:ascii="Times New Roman" w:hAnsi="Times New Roman"/>
                      <w:b w:val="0"/>
                    </w:rPr>
                  </w:pPr>
                  <w:r>
                    <w:rPr>
                      <w:rFonts w:hint="eastAsia" w:ascii="Times New Roman" w:hAnsi="Times New Roman"/>
                      <w:b w:val="0"/>
                      <w:sz w:val="21"/>
                      <w:szCs w:val="21"/>
                    </w:rPr>
                    <w:t>项目建成后厂区地面进行硬化，厂区设有完善的雨水、污水收集系统和排放系统；项目不涉及含重金属废水</w:t>
                  </w:r>
                </w:p>
              </w:tc>
              <w:tc>
                <w:tcPr>
                  <w:tcW w:w="471" w:type="dxa"/>
                  <w:tcBorders>
                    <w:tl2br w:val="nil"/>
                    <w:tr2bl w:val="nil"/>
                  </w:tcBorders>
                  <w:shd w:val="clear" w:color="auto" w:fill="auto"/>
                  <w:vAlign w:val="center"/>
                </w:tcPr>
                <w:p w14:paraId="03298C2C">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56B3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51" w:type="dxa"/>
                  <w:vMerge w:val="continue"/>
                  <w:tcBorders>
                    <w:tl2br w:val="nil"/>
                    <w:tr2bl w:val="nil"/>
                  </w:tcBorders>
                  <w:shd w:val="clear" w:color="auto" w:fill="auto"/>
                  <w:vAlign w:val="center"/>
                </w:tcPr>
                <w:p w14:paraId="7EE34E26">
                  <w:pPr>
                    <w:rPr>
                      <w:sz w:val="20"/>
                      <w:szCs w:val="20"/>
                    </w:rPr>
                  </w:pPr>
                </w:p>
              </w:tc>
              <w:tc>
                <w:tcPr>
                  <w:tcW w:w="671" w:type="dxa"/>
                  <w:vMerge w:val="continue"/>
                  <w:tcBorders>
                    <w:tl2br w:val="nil"/>
                    <w:tr2bl w:val="nil"/>
                  </w:tcBorders>
                  <w:shd w:val="clear" w:color="auto" w:fill="auto"/>
                  <w:vAlign w:val="center"/>
                </w:tcPr>
                <w:p w14:paraId="3F7634D2">
                  <w:pPr>
                    <w:rPr>
                      <w:sz w:val="20"/>
                      <w:szCs w:val="20"/>
                    </w:rPr>
                  </w:pPr>
                </w:p>
              </w:tc>
              <w:tc>
                <w:tcPr>
                  <w:tcW w:w="405" w:type="dxa"/>
                  <w:vMerge w:val="continue"/>
                  <w:tcBorders>
                    <w:tl2br w:val="nil"/>
                    <w:tr2bl w:val="nil"/>
                  </w:tcBorders>
                  <w:shd w:val="clear" w:color="auto" w:fill="auto"/>
                  <w:vAlign w:val="center"/>
                </w:tcPr>
                <w:p w14:paraId="24BAC55B">
                  <w:pPr>
                    <w:rPr>
                      <w:sz w:val="20"/>
                      <w:szCs w:val="20"/>
                    </w:rPr>
                  </w:pPr>
                </w:p>
              </w:tc>
              <w:tc>
                <w:tcPr>
                  <w:tcW w:w="364" w:type="dxa"/>
                  <w:vMerge w:val="continue"/>
                  <w:tcBorders>
                    <w:tl2br w:val="nil"/>
                    <w:tr2bl w:val="nil"/>
                  </w:tcBorders>
                  <w:shd w:val="clear" w:color="auto" w:fill="auto"/>
                  <w:vAlign w:val="center"/>
                </w:tcPr>
                <w:p w14:paraId="1F873277">
                  <w:pPr>
                    <w:rPr>
                      <w:sz w:val="20"/>
                      <w:szCs w:val="20"/>
                    </w:rPr>
                  </w:pPr>
                </w:p>
              </w:tc>
              <w:tc>
                <w:tcPr>
                  <w:tcW w:w="392" w:type="dxa"/>
                  <w:vMerge w:val="continue"/>
                  <w:tcBorders>
                    <w:tl2br w:val="nil"/>
                    <w:tr2bl w:val="nil"/>
                  </w:tcBorders>
                  <w:shd w:val="clear" w:color="auto" w:fill="auto"/>
                  <w:vAlign w:val="center"/>
                </w:tcPr>
                <w:p w14:paraId="41E382D7">
                  <w:pPr>
                    <w:rPr>
                      <w:sz w:val="20"/>
                      <w:szCs w:val="20"/>
                    </w:rPr>
                  </w:pPr>
                </w:p>
              </w:tc>
              <w:tc>
                <w:tcPr>
                  <w:tcW w:w="774" w:type="dxa"/>
                  <w:tcBorders>
                    <w:tl2br w:val="nil"/>
                    <w:tr2bl w:val="nil"/>
                  </w:tcBorders>
                  <w:shd w:val="clear" w:color="auto" w:fill="auto"/>
                  <w:vAlign w:val="center"/>
                </w:tcPr>
                <w:p w14:paraId="6173F0D7">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环境风险防控</w:t>
                  </w:r>
                </w:p>
              </w:tc>
              <w:tc>
                <w:tcPr>
                  <w:tcW w:w="1984" w:type="dxa"/>
                  <w:tcBorders>
                    <w:tl2br w:val="nil"/>
                    <w:tr2bl w:val="nil"/>
                  </w:tcBorders>
                  <w:shd w:val="clear" w:color="auto" w:fill="auto"/>
                  <w:vAlign w:val="center"/>
                </w:tcPr>
                <w:p w14:paraId="510E7BB2">
                  <w:pPr>
                    <w:pStyle w:val="33"/>
                    <w:widowControl w:val="0"/>
                    <w:spacing w:line="240" w:lineRule="auto"/>
                    <w:rPr>
                      <w:rFonts w:ascii="Times New Roman" w:hAnsi="Times New Roman"/>
                      <w:b w:val="0"/>
                      <w:sz w:val="21"/>
                      <w:szCs w:val="21"/>
                    </w:rPr>
                  </w:pPr>
                  <w:r>
                    <w:rPr>
                      <w:rFonts w:hint="eastAsia" w:ascii="Times New Roman" w:hAnsi="Times New Roman"/>
                      <w:b w:val="0"/>
                      <w:sz w:val="21"/>
                      <w:szCs w:val="21"/>
                    </w:rPr>
                    <w:t>/</w:t>
                  </w:r>
                </w:p>
              </w:tc>
              <w:tc>
                <w:tcPr>
                  <w:tcW w:w="1443" w:type="dxa"/>
                  <w:tcBorders>
                    <w:tl2br w:val="nil"/>
                    <w:tr2bl w:val="nil"/>
                  </w:tcBorders>
                  <w:shd w:val="clear" w:color="auto" w:fill="auto"/>
                  <w:vAlign w:val="center"/>
                </w:tcPr>
                <w:p w14:paraId="0C69D626">
                  <w:pPr>
                    <w:pStyle w:val="33"/>
                    <w:widowControl w:val="0"/>
                    <w:spacing w:line="240" w:lineRule="auto"/>
                    <w:rPr>
                      <w:rFonts w:ascii="Times New Roman" w:hAnsi="Times New Roman"/>
                      <w:b w:val="0"/>
                      <w:sz w:val="21"/>
                      <w:szCs w:val="21"/>
                    </w:rPr>
                  </w:pPr>
                  <w:r>
                    <w:rPr>
                      <w:rFonts w:hint="eastAsia" w:ascii="Times New Roman" w:hAnsi="Times New Roman"/>
                      <w:b w:val="0"/>
                      <w:sz w:val="21"/>
                      <w:szCs w:val="21"/>
                    </w:rPr>
                    <w:t>/</w:t>
                  </w:r>
                </w:p>
              </w:tc>
              <w:tc>
                <w:tcPr>
                  <w:tcW w:w="471" w:type="dxa"/>
                  <w:tcBorders>
                    <w:tl2br w:val="nil"/>
                    <w:tr2bl w:val="nil"/>
                  </w:tcBorders>
                  <w:shd w:val="clear" w:color="auto" w:fill="auto"/>
                  <w:vAlign w:val="center"/>
                </w:tcPr>
                <w:p w14:paraId="5445E171">
                  <w:pPr>
                    <w:pStyle w:val="33"/>
                    <w:widowControl w:val="0"/>
                    <w:spacing w:line="240" w:lineRule="auto"/>
                    <w:rPr>
                      <w:rFonts w:ascii="Times New Roman" w:hAnsi="Times New Roman"/>
                      <w:b w:val="0"/>
                      <w:sz w:val="21"/>
                      <w:szCs w:val="21"/>
                    </w:rPr>
                  </w:pPr>
                  <w:r>
                    <w:rPr>
                      <w:rFonts w:hint="eastAsia" w:ascii="Times New Roman" w:hAnsi="Times New Roman"/>
                      <w:b w:val="0"/>
                      <w:sz w:val="21"/>
                      <w:szCs w:val="21"/>
                    </w:rPr>
                    <w:t>/</w:t>
                  </w:r>
                </w:p>
              </w:tc>
            </w:tr>
            <w:tr w14:paraId="3970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51" w:type="dxa"/>
                  <w:vMerge w:val="continue"/>
                  <w:tcBorders>
                    <w:tl2br w:val="nil"/>
                    <w:tr2bl w:val="nil"/>
                  </w:tcBorders>
                  <w:shd w:val="clear" w:color="auto" w:fill="auto"/>
                  <w:vAlign w:val="center"/>
                </w:tcPr>
                <w:p w14:paraId="10C1ADE3">
                  <w:pPr>
                    <w:rPr>
                      <w:sz w:val="20"/>
                      <w:szCs w:val="20"/>
                    </w:rPr>
                  </w:pPr>
                </w:p>
              </w:tc>
              <w:tc>
                <w:tcPr>
                  <w:tcW w:w="671" w:type="dxa"/>
                  <w:vMerge w:val="continue"/>
                  <w:tcBorders>
                    <w:tl2br w:val="nil"/>
                    <w:tr2bl w:val="nil"/>
                  </w:tcBorders>
                  <w:shd w:val="clear" w:color="auto" w:fill="auto"/>
                  <w:vAlign w:val="center"/>
                </w:tcPr>
                <w:p w14:paraId="22BE0797">
                  <w:pPr>
                    <w:rPr>
                      <w:sz w:val="20"/>
                      <w:szCs w:val="20"/>
                    </w:rPr>
                  </w:pPr>
                </w:p>
              </w:tc>
              <w:tc>
                <w:tcPr>
                  <w:tcW w:w="405" w:type="dxa"/>
                  <w:vMerge w:val="continue"/>
                  <w:tcBorders>
                    <w:tl2br w:val="nil"/>
                    <w:tr2bl w:val="nil"/>
                  </w:tcBorders>
                  <w:shd w:val="clear" w:color="auto" w:fill="auto"/>
                  <w:vAlign w:val="center"/>
                </w:tcPr>
                <w:p w14:paraId="79372924">
                  <w:pPr>
                    <w:rPr>
                      <w:sz w:val="20"/>
                      <w:szCs w:val="20"/>
                    </w:rPr>
                  </w:pPr>
                </w:p>
              </w:tc>
              <w:tc>
                <w:tcPr>
                  <w:tcW w:w="364" w:type="dxa"/>
                  <w:vMerge w:val="continue"/>
                  <w:tcBorders>
                    <w:tl2br w:val="nil"/>
                    <w:tr2bl w:val="nil"/>
                  </w:tcBorders>
                  <w:shd w:val="clear" w:color="auto" w:fill="auto"/>
                  <w:vAlign w:val="center"/>
                </w:tcPr>
                <w:p w14:paraId="540BFD6D">
                  <w:pPr>
                    <w:rPr>
                      <w:sz w:val="20"/>
                      <w:szCs w:val="20"/>
                    </w:rPr>
                  </w:pPr>
                </w:p>
              </w:tc>
              <w:tc>
                <w:tcPr>
                  <w:tcW w:w="392" w:type="dxa"/>
                  <w:vMerge w:val="continue"/>
                  <w:tcBorders>
                    <w:tl2br w:val="nil"/>
                    <w:tr2bl w:val="nil"/>
                  </w:tcBorders>
                  <w:shd w:val="clear" w:color="auto" w:fill="auto"/>
                  <w:vAlign w:val="center"/>
                </w:tcPr>
                <w:p w14:paraId="25CDBCA2">
                  <w:pPr>
                    <w:rPr>
                      <w:sz w:val="20"/>
                      <w:szCs w:val="20"/>
                    </w:rPr>
                  </w:pPr>
                </w:p>
              </w:tc>
              <w:tc>
                <w:tcPr>
                  <w:tcW w:w="774" w:type="dxa"/>
                  <w:tcBorders>
                    <w:tl2br w:val="nil"/>
                    <w:tr2bl w:val="nil"/>
                  </w:tcBorders>
                  <w:shd w:val="clear" w:color="auto" w:fill="auto"/>
                  <w:vAlign w:val="center"/>
                </w:tcPr>
                <w:p w14:paraId="12B23031">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资源开发效率要求</w:t>
                  </w:r>
                </w:p>
              </w:tc>
              <w:tc>
                <w:tcPr>
                  <w:tcW w:w="1984" w:type="dxa"/>
                  <w:tcBorders>
                    <w:tl2br w:val="nil"/>
                    <w:tr2bl w:val="nil"/>
                  </w:tcBorders>
                  <w:shd w:val="clear" w:color="auto" w:fill="auto"/>
                  <w:vAlign w:val="center"/>
                </w:tcPr>
                <w:p w14:paraId="7920D941">
                  <w:pPr>
                    <w:pStyle w:val="33"/>
                    <w:widowControl w:val="0"/>
                    <w:spacing w:line="240" w:lineRule="auto"/>
                    <w:rPr>
                      <w:rFonts w:ascii="Times New Roman" w:hAnsi="Times New Roman"/>
                      <w:b w:val="0"/>
                      <w:sz w:val="21"/>
                      <w:szCs w:val="21"/>
                    </w:rPr>
                  </w:pPr>
                  <w:r>
                    <w:rPr>
                      <w:rFonts w:hint="eastAsia" w:ascii="Times New Roman" w:hAnsi="Times New Roman"/>
                      <w:b w:val="0"/>
                      <w:sz w:val="21"/>
                      <w:szCs w:val="21"/>
                    </w:rPr>
                    <w:t>/</w:t>
                  </w:r>
                </w:p>
              </w:tc>
              <w:tc>
                <w:tcPr>
                  <w:tcW w:w="1443" w:type="dxa"/>
                  <w:tcBorders>
                    <w:tl2br w:val="nil"/>
                    <w:tr2bl w:val="nil"/>
                  </w:tcBorders>
                  <w:shd w:val="clear" w:color="auto" w:fill="auto"/>
                  <w:vAlign w:val="center"/>
                </w:tcPr>
                <w:p w14:paraId="19135B02">
                  <w:pPr>
                    <w:pStyle w:val="33"/>
                    <w:widowControl w:val="0"/>
                    <w:spacing w:line="240" w:lineRule="auto"/>
                    <w:rPr>
                      <w:rFonts w:ascii="Times New Roman" w:hAnsi="Times New Roman"/>
                      <w:b w:val="0"/>
                      <w:sz w:val="21"/>
                      <w:szCs w:val="21"/>
                    </w:rPr>
                  </w:pPr>
                  <w:r>
                    <w:rPr>
                      <w:rFonts w:hint="eastAsia" w:ascii="Times New Roman" w:hAnsi="Times New Roman"/>
                      <w:b w:val="0"/>
                      <w:sz w:val="21"/>
                      <w:szCs w:val="21"/>
                    </w:rPr>
                    <w:t>/</w:t>
                  </w:r>
                </w:p>
              </w:tc>
              <w:tc>
                <w:tcPr>
                  <w:tcW w:w="471" w:type="dxa"/>
                  <w:tcBorders>
                    <w:tl2br w:val="nil"/>
                    <w:tr2bl w:val="nil"/>
                  </w:tcBorders>
                  <w:shd w:val="clear" w:color="auto" w:fill="auto"/>
                  <w:vAlign w:val="center"/>
                </w:tcPr>
                <w:p w14:paraId="3DFD0FBB">
                  <w:pPr>
                    <w:pStyle w:val="33"/>
                    <w:widowControl w:val="0"/>
                    <w:spacing w:line="240" w:lineRule="auto"/>
                    <w:rPr>
                      <w:rFonts w:ascii="Times New Roman" w:hAnsi="Times New Roman"/>
                      <w:b w:val="0"/>
                      <w:sz w:val="21"/>
                      <w:szCs w:val="21"/>
                    </w:rPr>
                  </w:pPr>
                  <w:r>
                    <w:rPr>
                      <w:rFonts w:hint="eastAsia" w:ascii="Times New Roman" w:hAnsi="Times New Roman"/>
                      <w:b w:val="0"/>
                      <w:sz w:val="21"/>
                      <w:szCs w:val="21"/>
                    </w:rPr>
                    <w:t>/</w:t>
                  </w:r>
                </w:p>
              </w:tc>
            </w:tr>
          </w:tbl>
          <w:p w14:paraId="68EB04B3">
            <w:pPr>
              <w:spacing w:line="360" w:lineRule="auto"/>
              <w:ind w:firstLine="480" w:firstLineChars="200"/>
              <w:rPr>
                <w:sz w:val="24"/>
              </w:rPr>
            </w:pPr>
            <w:r>
              <w:rPr>
                <w:rFonts w:hint="eastAsia"/>
                <w:sz w:val="24"/>
              </w:rPr>
              <w:t>五、大气环境管控分区分析</w:t>
            </w:r>
          </w:p>
          <w:p w14:paraId="6F73D5FF">
            <w:pPr>
              <w:spacing w:line="360" w:lineRule="auto"/>
              <w:ind w:firstLine="480" w:firstLineChars="200"/>
              <w:rPr>
                <w:sz w:val="24"/>
              </w:rPr>
            </w:pPr>
            <w:r>
              <w:rPr>
                <w:rFonts w:hint="eastAsia"/>
                <w:sz w:val="24"/>
              </w:rPr>
              <w:t>经比对，项目涉及2个河南省大气环境管控分区，其中大气环境优先保护区0个，高排放重点管控区1个，布局敏感重点管控区0个，弱扩散重点管控区0个，受体敏感重点管控区1个，大气环境一般管控区0个，详见下表：</w:t>
            </w:r>
          </w:p>
          <w:p w14:paraId="077F1547">
            <w:pPr>
              <w:pStyle w:val="137"/>
              <w:numPr>
                <w:ilvl w:val="0"/>
                <w:numId w:val="3"/>
              </w:numPr>
              <w:autoSpaceDE w:val="0"/>
              <w:autoSpaceDN w:val="0"/>
              <w:adjustRightInd w:val="0"/>
              <w:snapToGrid w:val="0"/>
              <w:spacing w:line="360" w:lineRule="auto"/>
              <w:ind w:firstLineChars="0"/>
              <w:jc w:val="center"/>
              <w:rPr>
                <w:b/>
                <w:kern w:val="0"/>
              </w:rPr>
            </w:pPr>
            <w:r>
              <w:rPr>
                <w:rFonts w:hint="eastAsia"/>
                <w:b/>
                <w:kern w:val="0"/>
              </w:rPr>
              <w:t>项目涉及河南省大气环境管控一览表</w:t>
            </w:r>
          </w:p>
          <w:tbl>
            <w:tblPr>
              <w:tblStyle w:val="39"/>
              <w:tblW w:w="7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683"/>
              <w:gridCol w:w="348"/>
              <w:gridCol w:w="393"/>
              <w:gridCol w:w="314"/>
              <w:gridCol w:w="759"/>
              <w:gridCol w:w="2268"/>
              <w:gridCol w:w="1325"/>
              <w:gridCol w:w="469"/>
            </w:tblGrid>
            <w:tr w14:paraId="2E80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dxa"/>
                  <w:tcBorders>
                    <w:tl2br w:val="nil"/>
                    <w:tr2bl w:val="nil"/>
                  </w:tcBorders>
                  <w:shd w:val="clear" w:color="auto" w:fill="auto"/>
                  <w:vAlign w:val="center"/>
                </w:tcPr>
                <w:p w14:paraId="326D9981">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环境管控单元编码</w:t>
                  </w:r>
                </w:p>
              </w:tc>
              <w:tc>
                <w:tcPr>
                  <w:tcW w:w="683" w:type="dxa"/>
                  <w:tcBorders>
                    <w:tl2br w:val="nil"/>
                    <w:tr2bl w:val="nil"/>
                  </w:tcBorders>
                  <w:shd w:val="clear" w:color="auto" w:fill="auto"/>
                  <w:vAlign w:val="center"/>
                </w:tcPr>
                <w:p w14:paraId="3A0E0F4E">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环境管控单元名称</w:t>
                  </w:r>
                </w:p>
              </w:tc>
              <w:tc>
                <w:tcPr>
                  <w:tcW w:w="348" w:type="dxa"/>
                  <w:tcBorders>
                    <w:tl2br w:val="nil"/>
                    <w:tr2bl w:val="nil"/>
                  </w:tcBorders>
                  <w:shd w:val="clear" w:color="auto" w:fill="auto"/>
                  <w:vAlign w:val="center"/>
                </w:tcPr>
                <w:p w14:paraId="0AD352CB">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管控分类</w:t>
                  </w:r>
                </w:p>
              </w:tc>
              <w:tc>
                <w:tcPr>
                  <w:tcW w:w="393" w:type="dxa"/>
                  <w:tcBorders>
                    <w:tl2br w:val="nil"/>
                    <w:tr2bl w:val="nil"/>
                  </w:tcBorders>
                  <w:shd w:val="clear" w:color="auto" w:fill="auto"/>
                  <w:vAlign w:val="center"/>
                </w:tcPr>
                <w:p w14:paraId="1F7AA1B9">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市</w:t>
                  </w:r>
                </w:p>
              </w:tc>
              <w:tc>
                <w:tcPr>
                  <w:tcW w:w="314" w:type="dxa"/>
                  <w:tcBorders>
                    <w:tl2br w:val="nil"/>
                    <w:tr2bl w:val="nil"/>
                  </w:tcBorders>
                  <w:shd w:val="clear" w:color="auto" w:fill="auto"/>
                  <w:vAlign w:val="center"/>
                </w:tcPr>
                <w:p w14:paraId="23FE2024">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区县</w:t>
                  </w:r>
                </w:p>
              </w:tc>
              <w:tc>
                <w:tcPr>
                  <w:tcW w:w="3027" w:type="dxa"/>
                  <w:gridSpan w:val="2"/>
                  <w:tcBorders>
                    <w:tl2br w:val="nil"/>
                    <w:tr2bl w:val="nil"/>
                  </w:tcBorders>
                  <w:shd w:val="clear" w:color="auto" w:fill="auto"/>
                  <w:vAlign w:val="center"/>
                </w:tcPr>
                <w:p w14:paraId="5E3360AD">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主要要求</w:t>
                  </w:r>
                </w:p>
              </w:tc>
              <w:tc>
                <w:tcPr>
                  <w:tcW w:w="1325" w:type="dxa"/>
                  <w:tcBorders>
                    <w:tl2br w:val="nil"/>
                    <w:tr2bl w:val="nil"/>
                  </w:tcBorders>
                  <w:shd w:val="clear" w:color="auto" w:fill="auto"/>
                  <w:vAlign w:val="center"/>
                </w:tcPr>
                <w:p w14:paraId="3D2EC1B7">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本项目情况</w:t>
                  </w:r>
                </w:p>
              </w:tc>
              <w:tc>
                <w:tcPr>
                  <w:tcW w:w="469" w:type="dxa"/>
                  <w:tcBorders>
                    <w:tl2br w:val="nil"/>
                    <w:tr2bl w:val="nil"/>
                  </w:tcBorders>
                  <w:shd w:val="clear" w:color="auto" w:fill="auto"/>
                  <w:vAlign w:val="center"/>
                </w:tcPr>
                <w:p w14:paraId="4ACB8398">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符合性</w:t>
                  </w:r>
                </w:p>
              </w:tc>
            </w:tr>
            <w:tr w14:paraId="74F7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1" w:hRule="atLeast"/>
                <w:jc w:val="center"/>
              </w:trPr>
              <w:tc>
                <w:tcPr>
                  <w:tcW w:w="640" w:type="dxa"/>
                  <w:vMerge w:val="restart"/>
                  <w:tcBorders>
                    <w:tl2br w:val="nil"/>
                    <w:tr2bl w:val="nil"/>
                  </w:tcBorders>
                  <w:shd w:val="clear" w:color="auto" w:fill="auto"/>
                  <w:vAlign w:val="center"/>
                </w:tcPr>
                <w:p w14:paraId="524DBC24">
                  <w:pPr>
                    <w:pStyle w:val="33"/>
                    <w:spacing w:line="240" w:lineRule="auto"/>
                    <w:rPr>
                      <w:rFonts w:ascii="Times New Roman" w:hAnsi="Times New Roman"/>
                      <w:b w:val="0"/>
                      <w:sz w:val="21"/>
                      <w:szCs w:val="21"/>
                    </w:rPr>
                  </w:pPr>
                  <w:r>
                    <w:rPr>
                      <w:rFonts w:ascii="Times New Roman" w:hAnsi="Times New Roman" w:eastAsia="宋体"/>
                      <w:b w:val="0"/>
                      <w:kern w:val="2"/>
                      <w:sz w:val="21"/>
                      <w:szCs w:val="21"/>
                      <w:lang w:bidi="ar"/>
                    </w:rPr>
                    <w:t>YS4109222310001</w:t>
                  </w:r>
                </w:p>
              </w:tc>
              <w:tc>
                <w:tcPr>
                  <w:tcW w:w="683" w:type="dxa"/>
                  <w:vMerge w:val="restart"/>
                  <w:tcBorders>
                    <w:tl2br w:val="nil"/>
                    <w:tr2bl w:val="nil"/>
                  </w:tcBorders>
                  <w:shd w:val="clear" w:color="auto" w:fill="auto"/>
                  <w:vAlign w:val="center"/>
                </w:tcPr>
                <w:p w14:paraId="54A4F1CD">
                  <w:pPr>
                    <w:pStyle w:val="33"/>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清丰县先进制造业开发区</w:t>
                  </w:r>
                </w:p>
              </w:tc>
              <w:tc>
                <w:tcPr>
                  <w:tcW w:w="348" w:type="dxa"/>
                  <w:vMerge w:val="restart"/>
                  <w:tcBorders>
                    <w:tl2br w:val="nil"/>
                    <w:tr2bl w:val="nil"/>
                  </w:tcBorders>
                  <w:shd w:val="clear" w:color="auto" w:fill="auto"/>
                  <w:vAlign w:val="center"/>
                </w:tcPr>
                <w:p w14:paraId="3AF857EC">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重点</w:t>
                  </w:r>
                </w:p>
              </w:tc>
              <w:tc>
                <w:tcPr>
                  <w:tcW w:w="393" w:type="dxa"/>
                  <w:vMerge w:val="restart"/>
                  <w:tcBorders>
                    <w:tl2br w:val="nil"/>
                    <w:tr2bl w:val="nil"/>
                  </w:tcBorders>
                  <w:shd w:val="clear" w:color="auto" w:fill="auto"/>
                  <w:vAlign w:val="center"/>
                </w:tcPr>
                <w:p w14:paraId="14DA01FA">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濮阳市</w:t>
                  </w:r>
                </w:p>
              </w:tc>
              <w:tc>
                <w:tcPr>
                  <w:tcW w:w="314" w:type="dxa"/>
                  <w:vMerge w:val="restart"/>
                  <w:tcBorders>
                    <w:tl2br w:val="nil"/>
                    <w:tr2bl w:val="nil"/>
                  </w:tcBorders>
                  <w:shd w:val="clear" w:color="auto" w:fill="auto"/>
                  <w:vAlign w:val="center"/>
                </w:tcPr>
                <w:p w14:paraId="2759B1F6">
                  <w:pPr>
                    <w:pStyle w:val="33"/>
                    <w:widowControl w:val="0"/>
                    <w:spacing w:line="240" w:lineRule="auto"/>
                    <w:rPr>
                      <w:rFonts w:ascii="Times New Roman" w:hAnsi="Times New Roman"/>
                      <w:b w:val="0"/>
                      <w:sz w:val="21"/>
                      <w:szCs w:val="21"/>
                    </w:rPr>
                  </w:pPr>
                  <w:r>
                    <w:rPr>
                      <w:rFonts w:ascii="Times New Roman" w:hAnsi="Times New Roman"/>
                      <w:b w:val="0"/>
                      <w:sz w:val="21"/>
                      <w:szCs w:val="21"/>
                    </w:rPr>
                    <w:t>清丰县</w:t>
                  </w:r>
                </w:p>
              </w:tc>
              <w:tc>
                <w:tcPr>
                  <w:tcW w:w="759" w:type="dxa"/>
                  <w:tcBorders>
                    <w:tl2br w:val="nil"/>
                    <w:tr2bl w:val="nil"/>
                  </w:tcBorders>
                  <w:shd w:val="clear" w:color="auto" w:fill="auto"/>
                  <w:vAlign w:val="center"/>
                </w:tcPr>
                <w:p w14:paraId="7652F876">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空间布局约束</w:t>
                  </w:r>
                </w:p>
              </w:tc>
              <w:tc>
                <w:tcPr>
                  <w:tcW w:w="2268" w:type="dxa"/>
                  <w:tcBorders>
                    <w:tl2br w:val="nil"/>
                    <w:tr2bl w:val="nil"/>
                  </w:tcBorders>
                  <w:shd w:val="clear" w:color="auto" w:fill="auto"/>
                  <w:vAlign w:val="center"/>
                </w:tcPr>
                <w:p w14:paraId="018A27F4">
                  <w:pPr>
                    <w:pStyle w:val="33"/>
                    <w:spacing w:line="240" w:lineRule="auto"/>
                    <w:jc w:val="both"/>
                    <w:rPr>
                      <w:rFonts w:ascii="Times New Roman" w:hAnsi="Times New Roman"/>
                      <w:b w:val="0"/>
                    </w:rPr>
                  </w:pPr>
                  <w:r>
                    <w:rPr>
                      <w:rFonts w:hint="eastAsia" w:ascii="Times New Roman" w:hAnsi="Times New Roman" w:eastAsia="宋体" w:cs="宋体"/>
                      <w:b w:val="0"/>
                      <w:sz w:val="21"/>
                      <w:szCs w:val="21"/>
                      <w:lang w:bidi="ar"/>
                    </w:rPr>
                    <w:t>入驻项目应符合园区规划或规划环评的要求。禁止发展用排水量较大或污染严重风险较大的化学原料、医药中间体等化工项目，按照用排水量控制屠宰项目。按照当地主导风向，从南至北依次布设家具制造、食品加工、机械加工，同时考虑到区内现有居民民点的整合，布设综合服务带贯通三个产业片区。马庄桥商贸物流园区发展家具贸易和商贸物流业，六塔工业园发展节能环保产业。</w:t>
                  </w:r>
                </w:p>
              </w:tc>
              <w:tc>
                <w:tcPr>
                  <w:tcW w:w="1325" w:type="dxa"/>
                  <w:tcBorders>
                    <w:tl2br w:val="nil"/>
                    <w:tr2bl w:val="nil"/>
                  </w:tcBorders>
                  <w:shd w:val="clear" w:color="auto" w:fill="auto"/>
                  <w:vAlign w:val="center"/>
                </w:tcPr>
                <w:p w14:paraId="3B35E964">
                  <w:pPr>
                    <w:pStyle w:val="33"/>
                    <w:widowControl w:val="0"/>
                    <w:spacing w:line="240" w:lineRule="auto"/>
                    <w:rPr>
                      <w:rFonts w:ascii="Times New Roman" w:hAnsi="Times New Roman"/>
                      <w:b w:val="0"/>
                    </w:rPr>
                  </w:pPr>
                  <w:r>
                    <w:rPr>
                      <w:rFonts w:hint="eastAsia" w:ascii="Times New Roman" w:hAnsi="Times New Roman"/>
                      <w:b w:val="0"/>
                      <w:sz w:val="21"/>
                      <w:szCs w:val="21"/>
                    </w:rPr>
                    <w:t>本项目为C3042特种玻璃制造，位于城区综合制造产业园中的家具制造及贸易产业园，符合园区规划；项目不属于排水量较大或污染严重风险较大的项目，不属于所列化工及屠宰项目；根据清丰县先进制造业开发区管委会出具的证明可知本项目允许入驻</w:t>
                  </w:r>
                </w:p>
              </w:tc>
              <w:tc>
                <w:tcPr>
                  <w:tcW w:w="469" w:type="dxa"/>
                  <w:tcBorders>
                    <w:tl2br w:val="nil"/>
                    <w:tr2bl w:val="nil"/>
                  </w:tcBorders>
                  <w:shd w:val="clear" w:color="auto" w:fill="auto"/>
                  <w:vAlign w:val="center"/>
                </w:tcPr>
                <w:p w14:paraId="039DC707">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7841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40" w:type="dxa"/>
                  <w:vMerge w:val="continue"/>
                  <w:tcBorders>
                    <w:tl2br w:val="nil"/>
                    <w:tr2bl w:val="nil"/>
                  </w:tcBorders>
                  <w:shd w:val="clear" w:color="auto" w:fill="auto"/>
                  <w:vAlign w:val="center"/>
                </w:tcPr>
                <w:p w14:paraId="3925F4E1">
                  <w:pPr>
                    <w:rPr>
                      <w:sz w:val="20"/>
                      <w:szCs w:val="20"/>
                    </w:rPr>
                  </w:pPr>
                </w:p>
              </w:tc>
              <w:tc>
                <w:tcPr>
                  <w:tcW w:w="683" w:type="dxa"/>
                  <w:vMerge w:val="continue"/>
                  <w:tcBorders>
                    <w:tl2br w:val="nil"/>
                    <w:tr2bl w:val="nil"/>
                  </w:tcBorders>
                  <w:shd w:val="clear" w:color="auto" w:fill="auto"/>
                  <w:vAlign w:val="center"/>
                </w:tcPr>
                <w:p w14:paraId="35509060">
                  <w:pPr>
                    <w:rPr>
                      <w:sz w:val="20"/>
                      <w:szCs w:val="20"/>
                    </w:rPr>
                  </w:pPr>
                </w:p>
              </w:tc>
              <w:tc>
                <w:tcPr>
                  <w:tcW w:w="348" w:type="dxa"/>
                  <w:vMerge w:val="continue"/>
                  <w:tcBorders>
                    <w:tl2br w:val="nil"/>
                    <w:tr2bl w:val="nil"/>
                  </w:tcBorders>
                  <w:shd w:val="clear" w:color="auto" w:fill="auto"/>
                  <w:vAlign w:val="center"/>
                </w:tcPr>
                <w:p w14:paraId="1B991B55">
                  <w:pPr>
                    <w:rPr>
                      <w:sz w:val="20"/>
                      <w:szCs w:val="20"/>
                    </w:rPr>
                  </w:pPr>
                </w:p>
              </w:tc>
              <w:tc>
                <w:tcPr>
                  <w:tcW w:w="393" w:type="dxa"/>
                  <w:vMerge w:val="continue"/>
                  <w:tcBorders>
                    <w:tl2br w:val="nil"/>
                    <w:tr2bl w:val="nil"/>
                  </w:tcBorders>
                  <w:shd w:val="clear" w:color="auto" w:fill="auto"/>
                  <w:vAlign w:val="center"/>
                </w:tcPr>
                <w:p w14:paraId="0A57AA9C">
                  <w:pPr>
                    <w:rPr>
                      <w:sz w:val="20"/>
                      <w:szCs w:val="20"/>
                    </w:rPr>
                  </w:pPr>
                </w:p>
              </w:tc>
              <w:tc>
                <w:tcPr>
                  <w:tcW w:w="314" w:type="dxa"/>
                  <w:vMerge w:val="continue"/>
                  <w:tcBorders>
                    <w:tl2br w:val="nil"/>
                    <w:tr2bl w:val="nil"/>
                  </w:tcBorders>
                  <w:shd w:val="clear" w:color="auto" w:fill="auto"/>
                  <w:vAlign w:val="center"/>
                </w:tcPr>
                <w:p w14:paraId="1E825A9F">
                  <w:pPr>
                    <w:rPr>
                      <w:sz w:val="20"/>
                      <w:szCs w:val="20"/>
                    </w:rPr>
                  </w:pPr>
                </w:p>
              </w:tc>
              <w:tc>
                <w:tcPr>
                  <w:tcW w:w="759" w:type="dxa"/>
                  <w:tcBorders>
                    <w:tl2br w:val="nil"/>
                    <w:tr2bl w:val="nil"/>
                  </w:tcBorders>
                  <w:shd w:val="clear" w:color="auto" w:fill="auto"/>
                  <w:vAlign w:val="center"/>
                </w:tcPr>
                <w:p w14:paraId="6122570A">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污染物排放管控</w:t>
                  </w:r>
                </w:p>
              </w:tc>
              <w:tc>
                <w:tcPr>
                  <w:tcW w:w="2268" w:type="dxa"/>
                  <w:tcBorders>
                    <w:tl2br w:val="nil"/>
                    <w:tr2bl w:val="nil"/>
                  </w:tcBorders>
                  <w:shd w:val="clear" w:color="auto" w:fill="auto"/>
                  <w:vAlign w:val="center"/>
                </w:tcPr>
                <w:p w14:paraId="455F73BB">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w:t>
                  </w:r>
                </w:p>
              </w:tc>
              <w:tc>
                <w:tcPr>
                  <w:tcW w:w="1325" w:type="dxa"/>
                  <w:tcBorders>
                    <w:tl2br w:val="nil"/>
                    <w:tr2bl w:val="nil"/>
                  </w:tcBorders>
                  <w:shd w:val="clear" w:color="auto" w:fill="auto"/>
                  <w:vAlign w:val="center"/>
                </w:tcPr>
                <w:p w14:paraId="55640BAB">
                  <w:pPr>
                    <w:pStyle w:val="33"/>
                    <w:widowControl w:val="0"/>
                    <w:spacing w:line="240" w:lineRule="auto"/>
                    <w:rPr>
                      <w:rFonts w:ascii="Times New Roman" w:hAnsi="Times New Roman"/>
                      <w:b w:val="0"/>
                    </w:rPr>
                  </w:pPr>
                  <w:r>
                    <w:rPr>
                      <w:rFonts w:hint="eastAsia" w:ascii="Times New Roman" w:hAnsi="Times New Roman"/>
                      <w:b w:val="0"/>
                    </w:rPr>
                    <w:t>/</w:t>
                  </w:r>
                </w:p>
              </w:tc>
              <w:tc>
                <w:tcPr>
                  <w:tcW w:w="469" w:type="dxa"/>
                  <w:tcBorders>
                    <w:tl2br w:val="nil"/>
                    <w:tr2bl w:val="nil"/>
                  </w:tcBorders>
                  <w:shd w:val="clear" w:color="auto" w:fill="auto"/>
                  <w:vAlign w:val="center"/>
                </w:tcPr>
                <w:p w14:paraId="07DC353B">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w:t>
                  </w:r>
                </w:p>
              </w:tc>
            </w:tr>
            <w:tr w14:paraId="700F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jc w:val="center"/>
              </w:trPr>
              <w:tc>
                <w:tcPr>
                  <w:tcW w:w="640" w:type="dxa"/>
                  <w:vMerge w:val="continue"/>
                  <w:tcBorders>
                    <w:tl2br w:val="nil"/>
                    <w:tr2bl w:val="nil"/>
                  </w:tcBorders>
                  <w:shd w:val="clear" w:color="auto" w:fill="auto"/>
                  <w:vAlign w:val="center"/>
                </w:tcPr>
                <w:p w14:paraId="46C7BE41">
                  <w:pPr>
                    <w:rPr>
                      <w:sz w:val="20"/>
                      <w:szCs w:val="20"/>
                    </w:rPr>
                  </w:pPr>
                </w:p>
              </w:tc>
              <w:tc>
                <w:tcPr>
                  <w:tcW w:w="683" w:type="dxa"/>
                  <w:vMerge w:val="continue"/>
                  <w:tcBorders>
                    <w:tl2br w:val="nil"/>
                    <w:tr2bl w:val="nil"/>
                  </w:tcBorders>
                  <w:shd w:val="clear" w:color="auto" w:fill="auto"/>
                  <w:vAlign w:val="center"/>
                </w:tcPr>
                <w:p w14:paraId="2BBD94BE">
                  <w:pPr>
                    <w:rPr>
                      <w:sz w:val="20"/>
                      <w:szCs w:val="20"/>
                    </w:rPr>
                  </w:pPr>
                </w:p>
              </w:tc>
              <w:tc>
                <w:tcPr>
                  <w:tcW w:w="348" w:type="dxa"/>
                  <w:vMerge w:val="continue"/>
                  <w:tcBorders>
                    <w:tl2br w:val="nil"/>
                    <w:tr2bl w:val="nil"/>
                  </w:tcBorders>
                  <w:shd w:val="clear" w:color="auto" w:fill="auto"/>
                  <w:vAlign w:val="center"/>
                </w:tcPr>
                <w:p w14:paraId="010CA506">
                  <w:pPr>
                    <w:rPr>
                      <w:sz w:val="20"/>
                      <w:szCs w:val="20"/>
                    </w:rPr>
                  </w:pPr>
                </w:p>
              </w:tc>
              <w:tc>
                <w:tcPr>
                  <w:tcW w:w="393" w:type="dxa"/>
                  <w:vMerge w:val="continue"/>
                  <w:tcBorders>
                    <w:tl2br w:val="nil"/>
                    <w:tr2bl w:val="nil"/>
                  </w:tcBorders>
                  <w:shd w:val="clear" w:color="auto" w:fill="auto"/>
                  <w:vAlign w:val="center"/>
                </w:tcPr>
                <w:p w14:paraId="02010B5D">
                  <w:pPr>
                    <w:rPr>
                      <w:sz w:val="20"/>
                      <w:szCs w:val="20"/>
                    </w:rPr>
                  </w:pPr>
                </w:p>
              </w:tc>
              <w:tc>
                <w:tcPr>
                  <w:tcW w:w="314" w:type="dxa"/>
                  <w:vMerge w:val="continue"/>
                  <w:tcBorders>
                    <w:tl2br w:val="nil"/>
                    <w:tr2bl w:val="nil"/>
                  </w:tcBorders>
                  <w:shd w:val="clear" w:color="auto" w:fill="auto"/>
                  <w:vAlign w:val="center"/>
                </w:tcPr>
                <w:p w14:paraId="23B5A4B5">
                  <w:pPr>
                    <w:rPr>
                      <w:sz w:val="20"/>
                      <w:szCs w:val="20"/>
                    </w:rPr>
                  </w:pPr>
                </w:p>
              </w:tc>
              <w:tc>
                <w:tcPr>
                  <w:tcW w:w="759" w:type="dxa"/>
                  <w:tcBorders>
                    <w:tl2br w:val="nil"/>
                    <w:tr2bl w:val="nil"/>
                  </w:tcBorders>
                  <w:shd w:val="clear" w:color="auto" w:fill="auto"/>
                  <w:vAlign w:val="center"/>
                </w:tcPr>
                <w:p w14:paraId="2E8A45BD">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环境风险防控</w:t>
                  </w:r>
                </w:p>
              </w:tc>
              <w:tc>
                <w:tcPr>
                  <w:tcW w:w="2268" w:type="dxa"/>
                  <w:tcBorders>
                    <w:tl2br w:val="nil"/>
                    <w:tr2bl w:val="nil"/>
                  </w:tcBorders>
                  <w:shd w:val="clear" w:color="auto" w:fill="auto"/>
                  <w:vAlign w:val="center"/>
                </w:tcPr>
                <w:p w14:paraId="65F242E3">
                  <w:pPr>
                    <w:pStyle w:val="33"/>
                    <w:spacing w:line="240" w:lineRule="auto"/>
                    <w:jc w:val="both"/>
                    <w:rPr>
                      <w:rFonts w:ascii="Times New Roman" w:hAnsi="Times New Roman"/>
                      <w:b w:val="0"/>
                    </w:rPr>
                  </w:pPr>
                  <w:r>
                    <w:rPr>
                      <w:rFonts w:hint="eastAsia" w:ascii="Times New Roman" w:hAnsi="Times New Roman" w:eastAsia="宋体" w:cs="宋体"/>
                      <w:b w:val="0"/>
                      <w:sz w:val="21"/>
                      <w:szCs w:val="21"/>
                      <w:lang w:bidi="ar"/>
                    </w:rPr>
                    <w:t>严格落实规划环评及其批复文件制定的环境风险防范措施。园区应制定环境风险应急预案，成立应急组织机构，定期开展应急演练，提高区域环境风险防范能力。</w:t>
                  </w:r>
                </w:p>
              </w:tc>
              <w:tc>
                <w:tcPr>
                  <w:tcW w:w="1325" w:type="dxa"/>
                  <w:tcBorders>
                    <w:tl2br w:val="nil"/>
                    <w:tr2bl w:val="nil"/>
                  </w:tcBorders>
                  <w:shd w:val="clear" w:color="auto" w:fill="auto"/>
                  <w:vAlign w:val="center"/>
                </w:tcPr>
                <w:p w14:paraId="6CBB6C6E">
                  <w:pPr>
                    <w:pStyle w:val="33"/>
                    <w:spacing w:line="240" w:lineRule="auto"/>
                    <w:jc w:val="both"/>
                    <w:rPr>
                      <w:rFonts w:ascii="Times New Roman" w:hAnsi="Times New Roman"/>
                      <w:b w:val="0"/>
                    </w:rPr>
                  </w:pPr>
                  <w:r>
                    <w:rPr>
                      <w:rFonts w:hint="eastAsia" w:ascii="Times New Roman" w:hAnsi="Times New Roman" w:eastAsia="宋体" w:cs="宋体"/>
                      <w:b w:val="0"/>
                      <w:sz w:val="21"/>
                      <w:szCs w:val="21"/>
                      <w:lang w:bidi="ar"/>
                    </w:rPr>
                    <w:t>项目建设完成后将按照相关要求制定环境应急预案，落实环境风险防范措施</w:t>
                  </w:r>
                </w:p>
              </w:tc>
              <w:tc>
                <w:tcPr>
                  <w:tcW w:w="469" w:type="dxa"/>
                  <w:tcBorders>
                    <w:tl2br w:val="nil"/>
                    <w:tr2bl w:val="nil"/>
                  </w:tcBorders>
                  <w:shd w:val="clear" w:color="auto" w:fill="auto"/>
                  <w:vAlign w:val="center"/>
                </w:tcPr>
                <w:p w14:paraId="712E1C10">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5C6D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640" w:type="dxa"/>
                  <w:vMerge w:val="continue"/>
                  <w:tcBorders>
                    <w:tl2br w:val="nil"/>
                    <w:tr2bl w:val="nil"/>
                  </w:tcBorders>
                  <w:shd w:val="clear" w:color="auto" w:fill="auto"/>
                  <w:vAlign w:val="center"/>
                </w:tcPr>
                <w:p w14:paraId="26BD2380">
                  <w:pPr>
                    <w:rPr>
                      <w:sz w:val="20"/>
                      <w:szCs w:val="20"/>
                    </w:rPr>
                  </w:pPr>
                </w:p>
              </w:tc>
              <w:tc>
                <w:tcPr>
                  <w:tcW w:w="683" w:type="dxa"/>
                  <w:vMerge w:val="continue"/>
                  <w:tcBorders>
                    <w:tl2br w:val="nil"/>
                    <w:tr2bl w:val="nil"/>
                  </w:tcBorders>
                  <w:shd w:val="clear" w:color="auto" w:fill="auto"/>
                  <w:vAlign w:val="center"/>
                </w:tcPr>
                <w:p w14:paraId="510281DF">
                  <w:pPr>
                    <w:rPr>
                      <w:sz w:val="20"/>
                      <w:szCs w:val="20"/>
                    </w:rPr>
                  </w:pPr>
                </w:p>
              </w:tc>
              <w:tc>
                <w:tcPr>
                  <w:tcW w:w="348" w:type="dxa"/>
                  <w:vMerge w:val="continue"/>
                  <w:tcBorders>
                    <w:tl2br w:val="nil"/>
                    <w:tr2bl w:val="nil"/>
                  </w:tcBorders>
                  <w:shd w:val="clear" w:color="auto" w:fill="auto"/>
                  <w:vAlign w:val="center"/>
                </w:tcPr>
                <w:p w14:paraId="6753E1E5">
                  <w:pPr>
                    <w:rPr>
                      <w:sz w:val="20"/>
                      <w:szCs w:val="20"/>
                    </w:rPr>
                  </w:pPr>
                </w:p>
              </w:tc>
              <w:tc>
                <w:tcPr>
                  <w:tcW w:w="393" w:type="dxa"/>
                  <w:vMerge w:val="continue"/>
                  <w:tcBorders>
                    <w:tl2br w:val="nil"/>
                    <w:tr2bl w:val="nil"/>
                  </w:tcBorders>
                  <w:shd w:val="clear" w:color="auto" w:fill="auto"/>
                  <w:vAlign w:val="center"/>
                </w:tcPr>
                <w:p w14:paraId="181F6504">
                  <w:pPr>
                    <w:rPr>
                      <w:sz w:val="20"/>
                      <w:szCs w:val="20"/>
                    </w:rPr>
                  </w:pPr>
                </w:p>
              </w:tc>
              <w:tc>
                <w:tcPr>
                  <w:tcW w:w="314" w:type="dxa"/>
                  <w:vMerge w:val="continue"/>
                  <w:tcBorders>
                    <w:tl2br w:val="nil"/>
                    <w:tr2bl w:val="nil"/>
                  </w:tcBorders>
                  <w:shd w:val="clear" w:color="auto" w:fill="auto"/>
                  <w:vAlign w:val="center"/>
                </w:tcPr>
                <w:p w14:paraId="157D51C0">
                  <w:pPr>
                    <w:rPr>
                      <w:sz w:val="20"/>
                      <w:szCs w:val="20"/>
                    </w:rPr>
                  </w:pPr>
                </w:p>
              </w:tc>
              <w:tc>
                <w:tcPr>
                  <w:tcW w:w="759" w:type="dxa"/>
                  <w:tcBorders>
                    <w:tl2br w:val="nil"/>
                    <w:tr2bl w:val="nil"/>
                  </w:tcBorders>
                  <w:shd w:val="clear" w:color="auto" w:fill="auto"/>
                  <w:vAlign w:val="center"/>
                </w:tcPr>
                <w:p w14:paraId="17B8FE4F">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资源开发效率要求</w:t>
                  </w:r>
                </w:p>
              </w:tc>
              <w:tc>
                <w:tcPr>
                  <w:tcW w:w="2268" w:type="dxa"/>
                  <w:tcBorders>
                    <w:tl2br w:val="nil"/>
                    <w:tr2bl w:val="nil"/>
                  </w:tcBorders>
                  <w:shd w:val="clear" w:color="auto" w:fill="auto"/>
                  <w:vAlign w:val="center"/>
                </w:tcPr>
                <w:p w14:paraId="12258EC2">
                  <w:pPr>
                    <w:pStyle w:val="33"/>
                    <w:spacing w:line="240" w:lineRule="auto"/>
                    <w:rPr>
                      <w:rFonts w:ascii="Times New Roman" w:hAnsi="Times New Roman"/>
                      <w:b w:val="0"/>
                    </w:rPr>
                  </w:pPr>
                  <w:r>
                    <w:rPr>
                      <w:rFonts w:hint="eastAsia" w:ascii="Times New Roman" w:hAnsi="Times New Roman" w:eastAsia="宋体" w:cs="宋体"/>
                      <w:b w:val="0"/>
                      <w:sz w:val="21"/>
                      <w:szCs w:val="21"/>
                      <w:lang w:bidi="ar"/>
                    </w:rPr>
                    <w:t>在禁燃区内，禁止销售、燃用高污染燃料；禁止新建、扩建燃用高污染燃料的设施，已建成的，应当在各省辖市、县（市）人民政府规定的期限内改用天然气、页岩气、液化石油气、电或者其他清洁能源；大力改善煤电机组供电煤耗水平。</w:t>
                  </w:r>
                </w:p>
              </w:tc>
              <w:tc>
                <w:tcPr>
                  <w:tcW w:w="1325" w:type="dxa"/>
                  <w:tcBorders>
                    <w:tl2br w:val="nil"/>
                    <w:tr2bl w:val="nil"/>
                  </w:tcBorders>
                  <w:shd w:val="clear" w:color="auto" w:fill="auto"/>
                  <w:vAlign w:val="center"/>
                </w:tcPr>
                <w:p w14:paraId="4E5CBEA2">
                  <w:pPr>
                    <w:pStyle w:val="33"/>
                    <w:spacing w:line="240" w:lineRule="auto"/>
                    <w:jc w:val="both"/>
                    <w:rPr>
                      <w:rFonts w:ascii="Times New Roman" w:hAnsi="Times New Roman"/>
                      <w:b w:val="0"/>
                    </w:rPr>
                  </w:pPr>
                  <w:r>
                    <w:rPr>
                      <w:rFonts w:ascii="Times New Roman" w:hAnsi="Times New Roman" w:eastAsia="宋体" w:cs="宋体"/>
                      <w:b w:val="0"/>
                      <w:sz w:val="21"/>
                      <w:szCs w:val="21"/>
                      <w:lang w:bidi="ar"/>
                    </w:rPr>
                    <w:t>本项目生产均使用电能</w:t>
                  </w:r>
                </w:p>
              </w:tc>
              <w:tc>
                <w:tcPr>
                  <w:tcW w:w="469" w:type="dxa"/>
                  <w:tcBorders>
                    <w:tl2br w:val="nil"/>
                    <w:tr2bl w:val="nil"/>
                  </w:tcBorders>
                  <w:shd w:val="clear" w:color="auto" w:fill="auto"/>
                  <w:vAlign w:val="center"/>
                </w:tcPr>
                <w:p w14:paraId="403AA8F2">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4DD5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dxa"/>
                  <w:vMerge w:val="restart"/>
                  <w:tcBorders>
                    <w:tl2br w:val="nil"/>
                    <w:tr2bl w:val="nil"/>
                  </w:tcBorders>
                  <w:shd w:val="clear" w:color="auto" w:fill="auto"/>
                  <w:vAlign w:val="center"/>
                </w:tcPr>
                <w:p w14:paraId="13EF804B">
                  <w:pPr>
                    <w:pStyle w:val="33"/>
                    <w:spacing w:line="240" w:lineRule="auto"/>
                    <w:rPr>
                      <w:rFonts w:ascii="Times New Roman" w:hAnsi="Times New Roman"/>
                      <w:b w:val="0"/>
                      <w:sz w:val="21"/>
                      <w:szCs w:val="21"/>
                    </w:rPr>
                  </w:pPr>
                  <w:r>
                    <w:rPr>
                      <w:rFonts w:ascii="Times New Roman" w:hAnsi="Times New Roman" w:eastAsia="宋体"/>
                      <w:b w:val="0"/>
                      <w:kern w:val="2"/>
                      <w:sz w:val="21"/>
                      <w:szCs w:val="21"/>
                      <w:lang w:bidi="ar"/>
                    </w:rPr>
                    <w:t>YS4109222340001</w:t>
                  </w:r>
                </w:p>
              </w:tc>
              <w:tc>
                <w:tcPr>
                  <w:tcW w:w="683" w:type="dxa"/>
                  <w:vMerge w:val="restart"/>
                  <w:tcBorders>
                    <w:tl2br w:val="nil"/>
                    <w:tr2bl w:val="nil"/>
                  </w:tcBorders>
                  <w:shd w:val="clear" w:color="auto" w:fill="auto"/>
                  <w:vAlign w:val="center"/>
                </w:tcPr>
                <w:p w14:paraId="528F64F5">
                  <w:pPr>
                    <w:pStyle w:val="33"/>
                    <w:widowControl w:val="0"/>
                    <w:spacing w:line="240" w:lineRule="auto"/>
                    <w:rPr>
                      <w:rFonts w:ascii="Times New Roman" w:hAnsi="Times New Roman"/>
                      <w:b w:val="0"/>
                      <w:sz w:val="21"/>
                      <w:szCs w:val="21"/>
                    </w:rPr>
                  </w:pPr>
                  <w:r>
                    <w:rPr>
                      <w:rFonts w:ascii="Times New Roman" w:hAnsi="Times New Roman" w:eastAsia="宋体"/>
                      <w:b w:val="0"/>
                      <w:kern w:val="2"/>
                      <w:sz w:val="21"/>
                      <w:szCs w:val="21"/>
                      <w:lang w:bidi="ar"/>
                    </w:rPr>
                    <w:t>/</w:t>
                  </w:r>
                </w:p>
              </w:tc>
              <w:tc>
                <w:tcPr>
                  <w:tcW w:w="348" w:type="dxa"/>
                  <w:vMerge w:val="restart"/>
                  <w:tcBorders>
                    <w:tl2br w:val="nil"/>
                    <w:tr2bl w:val="nil"/>
                  </w:tcBorders>
                  <w:shd w:val="clear" w:color="auto" w:fill="auto"/>
                  <w:vAlign w:val="center"/>
                </w:tcPr>
                <w:p w14:paraId="5539CDF3">
                  <w:pPr>
                    <w:pStyle w:val="33"/>
                    <w:widowControl w:val="0"/>
                    <w:spacing w:line="240" w:lineRule="auto"/>
                    <w:jc w:val="both"/>
                    <w:rPr>
                      <w:rFonts w:ascii="Times New Roman" w:hAnsi="Times New Roman"/>
                      <w:b w:val="0"/>
                      <w:sz w:val="21"/>
                      <w:szCs w:val="21"/>
                    </w:rPr>
                  </w:pPr>
                  <w:r>
                    <w:rPr>
                      <w:rFonts w:hint="eastAsia" w:ascii="Times New Roman" w:hAnsi="Times New Roman" w:eastAsia="宋体"/>
                      <w:b w:val="0"/>
                      <w:kern w:val="2"/>
                      <w:sz w:val="21"/>
                      <w:szCs w:val="21"/>
                      <w:lang w:bidi="ar"/>
                    </w:rPr>
                    <w:t>重点</w:t>
                  </w:r>
                </w:p>
              </w:tc>
              <w:tc>
                <w:tcPr>
                  <w:tcW w:w="393" w:type="dxa"/>
                  <w:vMerge w:val="restart"/>
                  <w:tcBorders>
                    <w:tl2br w:val="nil"/>
                    <w:tr2bl w:val="nil"/>
                  </w:tcBorders>
                  <w:shd w:val="clear" w:color="auto" w:fill="auto"/>
                  <w:vAlign w:val="center"/>
                </w:tcPr>
                <w:p w14:paraId="4EF2FF6C">
                  <w:pPr>
                    <w:pStyle w:val="33"/>
                    <w:widowControl w:val="0"/>
                    <w:spacing w:line="240" w:lineRule="auto"/>
                    <w:jc w:val="both"/>
                    <w:rPr>
                      <w:rFonts w:ascii="Times New Roman" w:hAnsi="Times New Roman"/>
                      <w:b w:val="0"/>
                      <w:sz w:val="21"/>
                      <w:szCs w:val="21"/>
                    </w:rPr>
                  </w:pPr>
                  <w:r>
                    <w:rPr>
                      <w:rFonts w:hint="eastAsia" w:ascii="Times New Roman" w:hAnsi="Times New Roman" w:eastAsia="宋体"/>
                      <w:b w:val="0"/>
                      <w:kern w:val="2"/>
                      <w:sz w:val="21"/>
                      <w:szCs w:val="21"/>
                      <w:lang w:bidi="ar"/>
                    </w:rPr>
                    <w:t>濮阳市</w:t>
                  </w:r>
                </w:p>
              </w:tc>
              <w:tc>
                <w:tcPr>
                  <w:tcW w:w="314" w:type="dxa"/>
                  <w:vMerge w:val="restart"/>
                  <w:tcBorders>
                    <w:tl2br w:val="nil"/>
                    <w:tr2bl w:val="nil"/>
                  </w:tcBorders>
                  <w:shd w:val="clear" w:color="auto" w:fill="auto"/>
                  <w:vAlign w:val="center"/>
                </w:tcPr>
                <w:p w14:paraId="2F656FB8">
                  <w:pPr>
                    <w:pStyle w:val="33"/>
                    <w:widowControl w:val="0"/>
                    <w:spacing w:line="240" w:lineRule="auto"/>
                    <w:jc w:val="both"/>
                    <w:rPr>
                      <w:rFonts w:ascii="Times New Roman" w:hAnsi="Times New Roman"/>
                      <w:b w:val="0"/>
                      <w:sz w:val="21"/>
                      <w:szCs w:val="21"/>
                    </w:rPr>
                  </w:pPr>
                  <w:r>
                    <w:rPr>
                      <w:rFonts w:hint="eastAsia" w:ascii="Times New Roman" w:hAnsi="Times New Roman" w:eastAsia="宋体"/>
                      <w:b w:val="0"/>
                      <w:kern w:val="2"/>
                      <w:sz w:val="21"/>
                      <w:szCs w:val="21"/>
                      <w:lang w:bidi="ar"/>
                    </w:rPr>
                    <w:t>清丰县</w:t>
                  </w:r>
                </w:p>
              </w:tc>
              <w:tc>
                <w:tcPr>
                  <w:tcW w:w="759" w:type="dxa"/>
                  <w:tcBorders>
                    <w:tl2br w:val="nil"/>
                    <w:tr2bl w:val="nil"/>
                  </w:tcBorders>
                  <w:shd w:val="clear" w:color="auto" w:fill="auto"/>
                  <w:vAlign w:val="center"/>
                </w:tcPr>
                <w:p w14:paraId="60DC7661">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空间布局约束</w:t>
                  </w:r>
                </w:p>
              </w:tc>
              <w:tc>
                <w:tcPr>
                  <w:tcW w:w="2268" w:type="dxa"/>
                  <w:tcBorders>
                    <w:tl2br w:val="nil"/>
                    <w:tr2bl w:val="nil"/>
                  </w:tcBorders>
                  <w:shd w:val="clear" w:color="auto" w:fill="auto"/>
                  <w:vAlign w:val="center"/>
                </w:tcPr>
                <w:p w14:paraId="26861255">
                  <w:pPr>
                    <w:pStyle w:val="33"/>
                    <w:widowControl w:val="0"/>
                    <w:spacing w:line="240" w:lineRule="auto"/>
                    <w:jc w:val="left"/>
                    <w:rPr>
                      <w:rFonts w:ascii="Times New Roman" w:hAnsi="Times New Roman"/>
                      <w:b w:val="0"/>
                    </w:rPr>
                  </w:pPr>
                  <w:r>
                    <w:rPr>
                      <w:rFonts w:ascii="Times New Roman" w:hAnsi="Times New Roman" w:eastAsia="宋体" w:cs="宋体"/>
                      <w:b w:val="0"/>
                      <w:sz w:val="21"/>
                      <w:szCs w:val="21"/>
                      <w:lang w:bidi="ar"/>
                    </w:rPr>
                    <w:t>1、</w:t>
                  </w:r>
                  <w:r>
                    <w:rPr>
                      <w:rFonts w:hint="eastAsia" w:ascii="Times New Roman" w:hAnsi="Times New Roman" w:eastAsia="宋体" w:cs="宋体"/>
                      <w:b w:val="0"/>
                      <w:sz w:val="21"/>
                      <w:szCs w:val="21"/>
                      <w:lang w:bidi="ar"/>
                    </w:rPr>
                    <w:t>在各省辖市城市建成区内，禁止新建每小时二十蒸吨以下的燃烧煤炭、重油、渣油蹦及直接燃用生物质的锅炉，其他地区禁止新建每小时十蒸吨以下的燃烧煤炭、重油、渣油以及直接燃用生物质的锅炉。</w:t>
                  </w:r>
                </w:p>
                <w:p w14:paraId="4C66AD7A">
                  <w:pPr>
                    <w:pStyle w:val="33"/>
                    <w:widowControl w:val="0"/>
                    <w:spacing w:line="240" w:lineRule="auto"/>
                    <w:jc w:val="left"/>
                    <w:rPr>
                      <w:rFonts w:ascii="Times New Roman" w:hAnsi="Times New Roman"/>
                      <w:b w:val="0"/>
                    </w:rPr>
                  </w:pPr>
                  <w:r>
                    <w:rPr>
                      <w:rFonts w:ascii="Times New Roman" w:hAnsi="Times New Roman" w:eastAsia="宋体" w:cs="宋体"/>
                      <w:b w:val="0"/>
                      <w:sz w:val="21"/>
                      <w:szCs w:val="21"/>
                      <w:lang w:bidi="ar"/>
                    </w:rPr>
                    <w:t>2、</w:t>
                  </w:r>
                  <w:r>
                    <w:rPr>
                      <w:rFonts w:hint="eastAsia" w:ascii="Times New Roman" w:hAnsi="Times New Roman" w:eastAsia="宋体" w:cs="宋体"/>
                      <w:b w:val="0"/>
                      <w:sz w:val="21"/>
                      <w:szCs w:val="21"/>
                      <w:lang w:bidi="ar"/>
                    </w:rPr>
                    <w:t>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p w14:paraId="7B1E3BCA">
                  <w:pPr>
                    <w:pStyle w:val="33"/>
                    <w:widowControl w:val="0"/>
                    <w:spacing w:line="240" w:lineRule="auto"/>
                    <w:jc w:val="left"/>
                    <w:rPr>
                      <w:rFonts w:ascii="Times New Roman" w:hAnsi="Times New Roman"/>
                      <w:b w:val="0"/>
                    </w:rPr>
                  </w:pPr>
                  <w:r>
                    <w:rPr>
                      <w:rFonts w:ascii="Times New Roman" w:hAnsi="Times New Roman" w:eastAsia="宋体"/>
                      <w:b w:val="0"/>
                      <w:sz w:val="21"/>
                      <w:szCs w:val="21"/>
                      <w:lang w:bidi="ar"/>
                    </w:rPr>
                    <w:t>3</w:t>
                  </w:r>
                  <w:r>
                    <w:rPr>
                      <w:rFonts w:hint="eastAsia" w:ascii="Times New Roman" w:hAnsi="Times New Roman" w:eastAsia="宋体" w:cs="宋体"/>
                      <w:b w:val="0"/>
                      <w:sz w:val="21"/>
                      <w:szCs w:val="21"/>
                      <w:lang w:bidi="ar"/>
                    </w:rPr>
                    <w:t>、到</w:t>
                  </w:r>
                  <w:r>
                    <w:rPr>
                      <w:rFonts w:ascii="Times New Roman" w:hAnsi="Times New Roman" w:eastAsia="宋体"/>
                      <w:b w:val="0"/>
                      <w:sz w:val="21"/>
                      <w:szCs w:val="21"/>
                      <w:lang w:bidi="ar"/>
                    </w:rPr>
                    <w:t>2025</w:t>
                  </w:r>
                  <w:r>
                    <w:rPr>
                      <w:rFonts w:hint="eastAsia" w:ascii="Times New Roman" w:hAnsi="Times New Roman" w:eastAsia="宋体" w:cs="宋体"/>
                      <w:b w:val="0"/>
                      <w:sz w:val="21"/>
                      <w:szCs w:val="21"/>
                      <w:lang w:bidi="ar"/>
                    </w:rPr>
                    <w:t>年，城市建成区内重污染企业分类完成就地改造、退城入园、转型转产或关闭退出任务。</w:t>
                  </w:r>
                </w:p>
              </w:tc>
              <w:tc>
                <w:tcPr>
                  <w:tcW w:w="1325" w:type="dxa"/>
                  <w:tcBorders>
                    <w:tl2br w:val="nil"/>
                    <w:tr2bl w:val="nil"/>
                  </w:tcBorders>
                  <w:shd w:val="clear" w:color="auto" w:fill="auto"/>
                  <w:vAlign w:val="center"/>
                </w:tcPr>
                <w:p w14:paraId="786744BD">
                  <w:pPr>
                    <w:pStyle w:val="33"/>
                    <w:widowControl w:val="0"/>
                    <w:spacing w:line="240" w:lineRule="auto"/>
                    <w:jc w:val="both"/>
                    <w:rPr>
                      <w:rFonts w:ascii="Times New Roman" w:hAnsi="Times New Roman"/>
                      <w:b w:val="0"/>
                    </w:rPr>
                  </w:pPr>
                  <w:r>
                    <w:rPr>
                      <w:rFonts w:ascii="Times New Roman" w:hAnsi="Times New Roman" w:eastAsia="宋体"/>
                      <w:b w:val="0"/>
                      <w:sz w:val="21"/>
                      <w:szCs w:val="21"/>
                      <w:lang w:bidi="ar"/>
                    </w:rPr>
                    <w:t>1</w:t>
                  </w:r>
                  <w:r>
                    <w:rPr>
                      <w:rFonts w:hint="eastAsia" w:ascii="Times New Roman" w:hAnsi="Times New Roman" w:eastAsia="宋体" w:cs="宋体"/>
                      <w:b w:val="0"/>
                      <w:sz w:val="21"/>
                      <w:szCs w:val="21"/>
                      <w:lang w:bidi="ar"/>
                    </w:rPr>
                    <w:t>、本项目不涉及锅炉；</w:t>
                  </w:r>
                </w:p>
                <w:p w14:paraId="62B808E7">
                  <w:pPr>
                    <w:pStyle w:val="33"/>
                    <w:widowControl w:val="0"/>
                    <w:spacing w:line="240" w:lineRule="auto"/>
                    <w:jc w:val="both"/>
                    <w:rPr>
                      <w:rFonts w:ascii="Times New Roman" w:hAnsi="Times New Roman"/>
                      <w:b w:val="0"/>
                    </w:rPr>
                  </w:pPr>
                  <w:r>
                    <w:rPr>
                      <w:rFonts w:ascii="Times New Roman" w:hAnsi="Times New Roman" w:eastAsia="宋体"/>
                      <w:b w:val="0"/>
                      <w:sz w:val="21"/>
                      <w:szCs w:val="21"/>
                      <w:lang w:bidi="ar"/>
                    </w:rPr>
                    <w:t>2</w:t>
                  </w:r>
                  <w:r>
                    <w:rPr>
                      <w:rFonts w:hint="eastAsia" w:ascii="Times New Roman" w:hAnsi="Times New Roman" w:eastAsia="宋体" w:cs="宋体"/>
                      <w:b w:val="0"/>
                      <w:sz w:val="21"/>
                      <w:szCs w:val="21"/>
                      <w:lang w:bidi="ar"/>
                    </w:rPr>
                    <w:t>、</w:t>
                  </w:r>
                  <w:r>
                    <w:rPr>
                      <w:rFonts w:hint="eastAsia" w:ascii="Calibri" w:hAnsi="Calibri" w:eastAsia="宋体" w:cs="宋体"/>
                      <w:b w:val="0"/>
                      <w:sz w:val="21"/>
                      <w:szCs w:val="21"/>
                      <w:lang w:bidi="ar"/>
                    </w:rPr>
                    <w:t>本</w:t>
                  </w:r>
                  <w:r>
                    <w:rPr>
                      <w:rFonts w:hint="eastAsia" w:ascii="Times New Roman" w:hAnsi="Times New Roman" w:eastAsia="宋体"/>
                      <w:b w:val="0"/>
                      <w:bCs/>
                      <w:kern w:val="2"/>
                      <w:sz w:val="21"/>
                      <w:szCs w:val="21"/>
                      <w:lang w:bidi="ar"/>
                    </w:rPr>
                    <w:t>项目选址位于清丰县先进制造业开发区，符合园区规划及规划环评要求；</w:t>
                  </w:r>
                </w:p>
                <w:p w14:paraId="4D1E62CC">
                  <w:pPr>
                    <w:pStyle w:val="33"/>
                    <w:widowControl w:val="0"/>
                    <w:spacing w:line="240" w:lineRule="auto"/>
                    <w:jc w:val="both"/>
                    <w:rPr>
                      <w:rFonts w:ascii="Times New Roman" w:hAnsi="Times New Roman"/>
                      <w:b w:val="0"/>
                    </w:rPr>
                  </w:pPr>
                  <w:r>
                    <w:rPr>
                      <w:rFonts w:ascii="Times New Roman" w:hAnsi="Times New Roman" w:eastAsia="宋体"/>
                      <w:b w:val="0"/>
                      <w:sz w:val="21"/>
                      <w:szCs w:val="21"/>
                      <w:lang w:bidi="ar"/>
                    </w:rPr>
                    <w:t>3</w:t>
                  </w:r>
                  <w:r>
                    <w:rPr>
                      <w:rFonts w:hint="eastAsia" w:ascii="Times New Roman" w:hAnsi="Times New Roman" w:eastAsia="宋体" w:cs="宋体"/>
                      <w:b w:val="0"/>
                      <w:sz w:val="21"/>
                      <w:szCs w:val="21"/>
                      <w:lang w:bidi="ar"/>
                    </w:rPr>
                    <w:t>、本项目不涉及；</w:t>
                  </w:r>
                </w:p>
              </w:tc>
              <w:tc>
                <w:tcPr>
                  <w:tcW w:w="469" w:type="dxa"/>
                  <w:tcBorders>
                    <w:tl2br w:val="nil"/>
                    <w:tr2bl w:val="nil"/>
                  </w:tcBorders>
                  <w:shd w:val="clear" w:color="auto" w:fill="auto"/>
                  <w:vAlign w:val="center"/>
                </w:tcPr>
                <w:p w14:paraId="3E996DEB">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7AA4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640" w:type="dxa"/>
                  <w:vMerge w:val="continue"/>
                  <w:tcBorders>
                    <w:tl2br w:val="nil"/>
                    <w:tr2bl w:val="nil"/>
                  </w:tcBorders>
                  <w:shd w:val="clear" w:color="auto" w:fill="auto"/>
                  <w:vAlign w:val="center"/>
                </w:tcPr>
                <w:p w14:paraId="50812B90">
                  <w:pPr>
                    <w:rPr>
                      <w:sz w:val="20"/>
                      <w:szCs w:val="20"/>
                    </w:rPr>
                  </w:pPr>
                </w:p>
              </w:tc>
              <w:tc>
                <w:tcPr>
                  <w:tcW w:w="683" w:type="dxa"/>
                  <w:vMerge w:val="continue"/>
                  <w:tcBorders>
                    <w:tl2br w:val="nil"/>
                    <w:tr2bl w:val="nil"/>
                  </w:tcBorders>
                  <w:shd w:val="clear" w:color="auto" w:fill="auto"/>
                  <w:vAlign w:val="center"/>
                </w:tcPr>
                <w:p w14:paraId="3B91FD68">
                  <w:pPr>
                    <w:rPr>
                      <w:sz w:val="20"/>
                      <w:szCs w:val="20"/>
                    </w:rPr>
                  </w:pPr>
                </w:p>
              </w:tc>
              <w:tc>
                <w:tcPr>
                  <w:tcW w:w="348" w:type="dxa"/>
                  <w:vMerge w:val="continue"/>
                  <w:tcBorders>
                    <w:tl2br w:val="nil"/>
                    <w:tr2bl w:val="nil"/>
                  </w:tcBorders>
                  <w:shd w:val="clear" w:color="auto" w:fill="auto"/>
                  <w:vAlign w:val="center"/>
                </w:tcPr>
                <w:p w14:paraId="26738266">
                  <w:pPr>
                    <w:rPr>
                      <w:sz w:val="20"/>
                      <w:szCs w:val="20"/>
                    </w:rPr>
                  </w:pPr>
                </w:p>
              </w:tc>
              <w:tc>
                <w:tcPr>
                  <w:tcW w:w="393" w:type="dxa"/>
                  <w:vMerge w:val="continue"/>
                  <w:tcBorders>
                    <w:tl2br w:val="nil"/>
                    <w:tr2bl w:val="nil"/>
                  </w:tcBorders>
                  <w:shd w:val="clear" w:color="auto" w:fill="auto"/>
                  <w:vAlign w:val="center"/>
                </w:tcPr>
                <w:p w14:paraId="32C9D1BC">
                  <w:pPr>
                    <w:rPr>
                      <w:sz w:val="20"/>
                      <w:szCs w:val="20"/>
                    </w:rPr>
                  </w:pPr>
                </w:p>
              </w:tc>
              <w:tc>
                <w:tcPr>
                  <w:tcW w:w="314" w:type="dxa"/>
                  <w:vMerge w:val="continue"/>
                  <w:tcBorders>
                    <w:tl2br w:val="nil"/>
                    <w:tr2bl w:val="nil"/>
                  </w:tcBorders>
                  <w:shd w:val="clear" w:color="auto" w:fill="auto"/>
                  <w:vAlign w:val="center"/>
                </w:tcPr>
                <w:p w14:paraId="4740FFC2">
                  <w:pPr>
                    <w:rPr>
                      <w:sz w:val="20"/>
                      <w:szCs w:val="20"/>
                    </w:rPr>
                  </w:pPr>
                </w:p>
              </w:tc>
              <w:tc>
                <w:tcPr>
                  <w:tcW w:w="759" w:type="dxa"/>
                  <w:tcBorders>
                    <w:tl2br w:val="nil"/>
                    <w:tr2bl w:val="nil"/>
                  </w:tcBorders>
                  <w:shd w:val="clear" w:color="auto" w:fill="auto"/>
                  <w:vAlign w:val="center"/>
                </w:tcPr>
                <w:p w14:paraId="1CF47E70">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污染物排放管控</w:t>
                  </w:r>
                </w:p>
              </w:tc>
              <w:tc>
                <w:tcPr>
                  <w:tcW w:w="2268" w:type="dxa"/>
                  <w:tcBorders>
                    <w:tl2br w:val="nil"/>
                    <w:tr2bl w:val="nil"/>
                  </w:tcBorders>
                  <w:shd w:val="clear" w:color="auto" w:fill="auto"/>
                  <w:vAlign w:val="center"/>
                </w:tcPr>
                <w:p w14:paraId="26F885B8">
                  <w:pPr>
                    <w:pStyle w:val="33"/>
                    <w:widowControl w:val="0"/>
                    <w:spacing w:line="240" w:lineRule="auto"/>
                    <w:jc w:val="left"/>
                    <w:rPr>
                      <w:rFonts w:ascii="Times New Roman" w:hAnsi="Times New Roman"/>
                      <w:b w:val="0"/>
                    </w:rPr>
                  </w:pPr>
                  <w:r>
                    <w:rPr>
                      <w:rFonts w:ascii="Times New Roman" w:hAnsi="Times New Roman" w:eastAsia="宋体" w:cs="宋体"/>
                      <w:b w:val="0"/>
                      <w:sz w:val="21"/>
                      <w:szCs w:val="21"/>
                      <w:lang w:bidi="ar"/>
                    </w:rPr>
                    <w:t>1、</w:t>
                  </w:r>
                  <w:r>
                    <w:rPr>
                      <w:rFonts w:hint="eastAsia" w:ascii="Times New Roman" w:hAnsi="Times New Roman" w:eastAsia="宋体" w:cs="宋体"/>
                      <w:b w:val="0"/>
                      <w:sz w:val="21"/>
                      <w:szCs w:val="21"/>
                      <w:lang w:bidi="ar"/>
                    </w:rPr>
                    <w:t>大力推进钢铁、焦化等重点行业产业结构调整和转型升级，加快钢铁、水泥、焦化行业及锅炉超低排放改造。深化有色金属冶炼、铸造、碳素、耐材、烧结类砖瓦等行业工业炉窑综合整治及垃圾焚烧发电、生物质发电烟气深度治理。</w:t>
                  </w:r>
                </w:p>
                <w:p w14:paraId="0E3671E2">
                  <w:pPr>
                    <w:pStyle w:val="33"/>
                    <w:widowControl w:val="0"/>
                    <w:spacing w:line="240" w:lineRule="auto"/>
                    <w:jc w:val="left"/>
                    <w:rPr>
                      <w:rFonts w:ascii="Times New Roman" w:hAnsi="Times New Roman"/>
                      <w:b w:val="0"/>
                    </w:rPr>
                  </w:pPr>
                  <w:r>
                    <w:rPr>
                      <w:rFonts w:ascii="Times New Roman" w:hAnsi="Times New Roman" w:eastAsia="宋体" w:cs="宋体"/>
                      <w:b w:val="0"/>
                      <w:sz w:val="21"/>
                      <w:szCs w:val="21"/>
                      <w:lang w:bidi="ar"/>
                    </w:rPr>
                    <w:t>2、</w:t>
                  </w:r>
                  <w:r>
                    <w:rPr>
                      <w:rFonts w:hint="eastAsia" w:ascii="Times New Roman" w:hAnsi="Times New Roman" w:eastAsia="宋体" w:cs="宋体"/>
                      <w:b w:val="0"/>
                      <w:sz w:val="21"/>
                      <w:szCs w:val="21"/>
                      <w:lang w:bidi="ar"/>
                    </w:rPr>
                    <w:t>推动氢燃料电池汽车示范应用，推广新能源汽车和非道路移动机械。推进公共领域车辆新能源化。实施清洁柴油车（机）行动，基本淘汰国三及以下排放标准汽车，基本消除未登记或冒黑烟工程机械。</w:t>
                  </w:r>
                </w:p>
                <w:p w14:paraId="28F620F7">
                  <w:pPr>
                    <w:pStyle w:val="33"/>
                    <w:widowControl w:val="0"/>
                    <w:spacing w:line="240" w:lineRule="auto"/>
                    <w:jc w:val="left"/>
                    <w:rPr>
                      <w:rFonts w:ascii="Times New Roman" w:hAnsi="Times New Roman"/>
                      <w:b w:val="0"/>
                    </w:rPr>
                  </w:pPr>
                  <w:r>
                    <w:rPr>
                      <w:rFonts w:ascii="Times New Roman" w:hAnsi="Times New Roman" w:eastAsia="宋体"/>
                      <w:b w:val="0"/>
                      <w:sz w:val="21"/>
                      <w:szCs w:val="21"/>
                      <w:lang w:bidi="ar"/>
                    </w:rPr>
                    <w:t>3</w:t>
                  </w:r>
                  <w:r>
                    <w:rPr>
                      <w:rFonts w:hint="eastAsia" w:ascii="Times New Roman" w:hAnsi="Times New Roman" w:eastAsia="宋体" w:cs="宋体"/>
                      <w:b w:val="0"/>
                      <w:sz w:val="21"/>
                      <w:szCs w:val="21"/>
                      <w:lang w:bidi="ar"/>
                    </w:rPr>
                    <w:t>、加强道路扬尘综合整治，大力推进道路机械化清扫保洁作业，到</w:t>
                  </w:r>
                  <w:r>
                    <w:rPr>
                      <w:rFonts w:ascii="Times New Roman" w:hAnsi="Times New Roman" w:eastAsia="宋体"/>
                      <w:b w:val="0"/>
                      <w:sz w:val="21"/>
                      <w:szCs w:val="21"/>
                      <w:lang w:bidi="ar"/>
                    </w:rPr>
                    <w:t>2025</w:t>
                  </w:r>
                  <w:r>
                    <w:rPr>
                      <w:rFonts w:hint="eastAsia" w:ascii="Times New Roman" w:hAnsi="Times New Roman" w:eastAsia="宋体" w:cs="宋体"/>
                      <w:b w:val="0"/>
                      <w:sz w:val="21"/>
                      <w:szCs w:val="21"/>
                      <w:lang w:bidi="ar"/>
                    </w:rPr>
                    <w:t>年，各设区市建成区道路机械化清扫率达到</w:t>
                  </w:r>
                  <w:r>
                    <w:rPr>
                      <w:rFonts w:ascii="Times New Roman" w:hAnsi="Times New Roman" w:eastAsia="宋体"/>
                      <w:b w:val="0"/>
                      <w:sz w:val="21"/>
                      <w:szCs w:val="21"/>
                      <w:lang w:bidi="ar"/>
                    </w:rPr>
                    <w:t>95%</w:t>
                  </w:r>
                  <w:r>
                    <w:rPr>
                      <w:rFonts w:hint="eastAsia" w:ascii="Times New Roman" w:hAnsi="Times New Roman" w:eastAsia="宋体" w:cs="宋体"/>
                      <w:b w:val="0"/>
                      <w:sz w:val="21"/>
                      <w:szCs w:val="21"/>
                      <w:lang w:bidi="ar"/>
                    </w:rPr>
                    <w:t>以上，县城达到</w:t>
                  </w:r>
                  <w:r>
                    <w:rPr>
                      <w:rFonts w:ascii="Times New Roman" w:hAnsi="Times New Roman" w:eastAsia="宋体"/>
                      <w:b w:val="0"/>
                      <w:sz w:val="21"/>
                      <w:szCs w:val="21"/>
                      <w:lang w:bidi="ar"/>
                    </w:rPr>
                    <w:t>90%</w:t>
                  </w:r>
                  <w:r>
                    <w:rPr>
                      <w:rFonts w:hint="eastAsia" w:ascii="Times New Roman" w:hAnsi="Times New Roman" w:eastAsia="宋体" w:cs="宋体"/>
                      <w:b w:val="0"/>
                      <w:sz w:val="21"/>
                      <w:szCs w:val="21"/>
                      <w:lang w:bidi="ar"/>
                    </w:rPr>
                    <w:t>以上。各市平均降尘量到</w:t>
                  </w:r>
                  <w:r>
                    <w:rPr>
                      <w:rFonts w:ascii="Times New Roman" w:hAnsi="Times New Roman" w:eastAsia="宋体"/>
                      <w:b w:val="0"/>
                      <w:sz w:val="21"/>
                      <w:szCs w:val="21"/>
                      <w:lang w:bidi="ar"/>
                    </w:rPr>
                    <w:t>2025</w:t>
                  </w:r>
                  <w:r>
                    <w:rPr>
                      <w:rFonts w:hint="eastAsia" w:ascii="Times New Roman" w:hAnsi="Times New Roman" w:eastAsia="宋体" w:cs="宋体"/>
                      <w:b w:val="0"/>
                      <w:sz w:val="21"/>
                      <w:szCs w:val="21"/>
                      <w:lang w:bidi="ar"/>
                    </w:rPr>
                    <w:t>年不得高于</w:t>
                  </w:r>
                  <w:r>
                    <w:rPr>
                      <w:rFonts w:ascii="Times New Roman" w:hAnsi="Times New Roman" w:eastAsia="宋体"/>
                      <w:b w:val="0"/>
                      <w:sz w:val="21"/>
                      <w:szCs w:val="21"/>
                      <w:lang w:bidi="ar"/>
                    </w:rPr>
                    <w:t>7</w:t>
                  </w:r>
                  <w:r>
                    <w:rPr>
                      <w:rFonts w:hint="eastAsia" w:ascii="Times New Roman" w:hAnsi="Times New Roman" w:eastAsia="宋体" w:cs="宋体"/>
                      <w:b w:val="0"/>
                      <w:sz w:val="21"/>
                      <w:szCs w:val="21"/>
                      <w:lang w:bidi="ar"/>
                    </w:rPr>
                    <w:t>吨</w:t>
                  </w:r>
                  <w:r>
                    <w:rPr>
                      <w:rFonts w:ascii="Times New Roman" w:hAnsi="Times New Roman" w:eastAsia="宋体"/>
                      <w:b w:val="0"/>
                      <w:sz w:val="21"/>
                      <w:szCs w:val="21"/>
                      <w:lang w:bidi="ar"/>
                    </w:rPr>
                    <w:t>/</w:t>
                  </w:r>
                  <w:r>
                    <w:rPr>
                      <w:rFonts w:hint="eastAsia" w:ascii="Times New Roman" w:hAnsi="Times New Roman" w:eastAsia="宋体" w:cs="宋体"/>
                      <w:b w:val="0"/>
                      <w:sz w:val="21"/>
                      <w:szCs w:val="21"/>
                      <w:lang w:bidi="ar"/>
                    </w:rPr>
                    <w:t>月</w:t>
                  </w:r>
                  <w:r>
                    <w:rPr>
                      <w:rFonts w:ascii="Times New Roman" w:hAnsi="Times New Roman" w:eastAsia="宋体"/>
                      <w:b w:val="0"/>
                      <w:sz w:val="21"/>
                      <w:szCs w:val="21"/>
                      <w:lang w:bidi="ar"/>
                    </w:rPr>
                    <w:t>·</w:t>
                  </w:r>
                  <w:r>
                    <w:rPr>
                      <w:rFonts w:hint="eastAsia" w:ascii="Times New Roman" w:hAnsi="Times New Roman" w:eastAsia="宋体" w:cs="宋体"/>
                      <w:b w:val="0"/>
                      <w:sz w:val="21"/>
                      <w:szCs w:val="21"/>
                      <w:lang w:bidi="ar"/>
                    </w:rPr>
                    <w:t>平方公里。</w:t>
                  </w:r>
                </w:p>
              </w:tc>
              <w:tc>
                <w:tcPr>
                  <w:tcW w:w="1325" w:type="dxa"/>
                  <w:tcBorders>
                    <w:tl2br w:val="nil"/>
                    <w:tr2bl w:val="nil"/>
                  </w:tcBorders>
                  <w:shd w:val="clear" w:color="auto" w:fill="auto"/>
                  <w:vAlign w:val="center"/>
                </w:tcPr>
                <w:p w14:paraId="6FE17B16">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本项目不涉及</w:t>
                  </w:r>
                </w:p>
              </w:tc>
              <w:tc>
                <w:tcPr>
                  <w:tcW w:w="469" w:type="dxa"/>
                  <w:tcBorders>
                    <w:tl2br w:val="nil"/>
                    <w:tr2bl w:val="nil"/>
                  </w:tcBorders>
                  <w:shd w:val="clear" w:color="auto" w:fill="auto"/>
                  <w:vAlign w:val="center"/>
                </w:tcPr>
                <w:p w14:paraId="38F3585B">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4A6F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5" w:hRule="atLeast"/>
                <w:jc w:val="center"/>
              </w:trPr>
              <w:tc>
                <w:tcPr>
                  <w:tcW w:w="640" w:type="dxa"/>
                  <w:vMerge w:val="continue"/>
                  <w:tcBorders>
                    <w:tl2br w:val="nil"/>
                    <w:tr2bl w:val="nil"/>
                  </w:tcBorders>
                  <w:shd w:val="clear" w:color="auto" w:fill="auto"/>
                  <w:vAlign w:val="center"/>
                </w:tcPr>
                <w:p w14:paraId="5AFD8B32">
                  <w:pPr>
                    <w:rPr>
                      <w:sz w:val="20"/>
                      <w:szCs w:val="20"/>
                    </w:rPr>
                  </w:pPr>
                </w:p>
              </w:tc>
              <w:tc>
                <w:tcPr>
                  <w:tcW w:w="683" w:type="dxa"/>
                  <w:vMerge w:val="continue"/>
                  <w:tcBorders>
                    <w:tl2br w:val="nil"/>
                    <w:tr2bl w:val="nil"/>
                  </w:tcBorders>
                  <w:shd w:val="clear" w:color="auto" w:fill="auto"/>
                  <w:vAlign w:val="center"/>
                </w:tcPr>
                <w:p w14:paraId="7CF59E4E">
                  <w:pPr>
                    <w:rPr>
                      <w:sz w:val="20"/>
                      <w:szCs w:val="20"/>
                    </w:rPr>
                  </w:pPr>
                </w:p>
              </w:tc>
              <w:tc>
                <w:tcPr>
                  <w:tcW w:w="348" w:type="dxa"/>
                  <w:vMerge w:val="continue"/>
                  <w:tcBorders>
                    <w:tl2br w:val="nil"/>
                    <w:tr2bl w:val="nil"/>
                  </w:tcBorders>
                  <w:shd w:val="clear" w:color="auto" w:fill="auto"/>
                  <w:vAlign w:val="center"/>
                </w:tcPr>
                <w:p w14:paraId="5D818C81">
                  <w:pPr>
                    <w:rPr>
                      <w:sz w:val="20"/>
                      <w:szCs w:val="20"/>
                    </w:rPr>
                  </w:pPr>
                </w:p>
              </w:tc>
              <w:tc>
                <w:tcPr>
                  <w:tcW w:w="393" w:type="dxa"/>
                  <w:vMerge w:val="continue"/>
                  <w:tcBorders>
                    <w:tl2br w:val="nil"/>
                    <w:tr2bl w:val="nil"/>
                  </w:tcBorders>
                  <w:shd w:val="clear" w:color="auto" w:fill="auto"/>
                  <w:vAlign w:val="center"/>
                </w:tcPr>
                <w:p w14:paraId="4E06BD9E">
                  <w:pPr>
                    <w:rPr>
                      <w:sz w:val="20"/>
                      <w:szCs w:val="20"/>
                    </w:rPr>
                  </w:pPr>
                </w:p>
              </w:tc>
              <w:tc>
                <w:tcPr>
                  <w:tcW w:w="314" w:type="dxa"/>
                  <w:vMerge w:val="continue"/>
                  <w:tcBorders>
                    <w:tl2br w:val="nil"/>
                    <w:tr2bl w:val="nil"/>
                  </w:tcBorders>
                  <w:shd w:val="clear" w:color="auto" w:fill="auto"/>
                  <w:vAlign w:val="center"/>
                </w:tcPr>
                <w:p w14:paraId="4BA135B4">
                  <w:pPr>
                    <w:rPr>
                      <w:sz w:val="20"/>
                      <w:szCs w:val="20"/>
                    </w:rPr>
                  </w:pPr>
                </w:p>
              </w:tc>
              <w:tc>
                <w:tcPr>
                  <w:tcW w:w="759" w:type="dxa"/>
                  <w:tcBorders>
                    <w:tl2br w:val="nil"/>
                    <w:tr2bl w:val="nil"/>
                  </w:tcBorders>
                  <w:shd w:val="clear" w:color="auto" w:fill="auto"/>
                  <w:vAlign w:val="center"/>
                </w:tcPr>
                <w:p w14:paraId="123415D9">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环境风险防控</w:t>
                  </w:r>
                </w:p>
              </w:tc>
              <w:tc>
                <w:tcPr>
                  <w:tcW w:w="2268" w:type="dxa"/>
                  <w:tcBorders>
                    <w:tl2br w:val="nil"/>
                    <w:tr2bl w:val="nil"/>
                  </w:tcBorders>
                  <w:shd w:val="clear" w:color="auto" w:fill="auto"/>
                  <w:vAlign w:val="center"/>
                </w:tcPr>
                <w:p w14:paraId="631EC93A">
                  <w:pPr>
                    <w:pStyle w:val="33"/>
                    <w:widowControl w:val="0"/>
                    <w:spacing w:line="240" w:lineRule="auto"/>
                    <w:jc w:val="left"/>
                    <w:rPr>
                      <w:rFonts w:ascii="Times New Roman" w:hAnsi="Times New Roman"/>
                      <w:b w:val="0"/>
                    </w:rPr>
                  </w:pPr>
                  <w:r>
                    <w:rPr>
                      <w:rFonts w:ascii="Times New Roman" w:hAnsi="Times New Roman" w:eastAsia="宋体" w:cs="宋体"/>
                      <w:b w:val="0"/>
                      <w:sz w:val="21"/>
                      <w:szCs w:val="21"/>
                      <w:lang w:bidi="ar"/>
                    </w:rPr>
                    <w:t>1、</w:t>
                  </w:r>
                  <w:r>
                    <w:rPr>
                      <w:rFonts w:hint="eastAsia" w:ascii="Times New Roman" w:hAnsi="Times New Roman" w:eastAsia="宋体" w:cs="宋体"/>
                      <w:b w:val="0"/>
                      <w:sz w:val="21"/>
                      <w:szCs w:val="21"/>
                      <w:lang w:bidi="ar"/>
                    </w:rPr>
                    <w:t>实施重污染企业退城搬迁，加快城市建成区、人群密集区、重点流域的重污染企业和危险化学品等环境风险大的企业搬迁改造、关停退出，推动实施一批水泥、玻璃、焦化、化工等重污染企业退城工程。</w:t>
                  </w:r>
                </w:p>
                <w:p w14:paraId="7061F197">
                  <w:pPr>
                    <w:pStyle w:val="33"/>
                    <w:widowControl w:val="0"/>
                    <w:spacing w:line="240" w:lineRule="auto"/>
                    <w:jc w:val="left"/>
                    <w:rPr>
                      <w:rFonts w:ascii="Times New Roman" w:hAnsi="Times New Roman"/>
                      <w:b w:val="0"/>
                    </w:rPr>
                  </w:pPr>
                  <w:r>
                    <w:rPr>
                      <w:rFonts w:ascii="Times New Roman" w:hAnsi="Times New Roman" w:eastAsia="宋体"/>
                      <w:b w:val="0"/>
                      <w:sz w:val="21"/>
                      <w:szCs w:val="21"/>
                      <w:lang w:bidi="ar"/>
                    </w:rPr>
                    <w:t>2</w:t>
                  </w:r>
                  <w:r>
                    <w:rPr>
                      <w:rFonts w:hint="eastAsia" w:ascii="Times New Roman" w:hAnsi="Times New Roman" w:eastAsia="宋体" w:cs="宋体"/>
                      <w:b w:val="0"/>
                      <w:sz w:val="21"/>
                      <w:szCs w:val="21"/>
                      <w:lang w:bidi="ar"/>
                    </w:rPr>
                    <w:t>、提升城乡极端气候事件监测预警、防灾减灾综合评估和风险管控能力，保障城乡建设和基础设施安全。适时开展气候变化影响风险评估，实施适应气候变化行动。</w:t>
                  </w:r>
                </w:p>
              </w:tc>
              <w:tc>
                <w:tcPr>
                  <w:tcW w:w="1325" w:type="dxa"/>
                  <w:tcBorders>
                    <w:tl2br w:val="nil"/>
                    <w:tr2bl w:val="nil"/>
                  </w:tcBorders>
                  <w:shd w:val="clear" w:color="auto" w:fill="auto"/>
                  <w:vAlign w:val="center"/>
                </w:tcPr>
                <w:p w14:paraId="26955B47">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本项目不涉及</w:t>
                  </w:r>
                </w:p>
              </w:tc>
              <w:tc>
                <w:tcPr>
                  <w:tcW w:w="469" w:type="dxa"/>
                  <w:tcBorders>
                    <w:tl2br w:val="nil"/>
                    <w:tr2bl w:val="nil"/>
                  </w:tcBorders>
                  <w:shd w:val="clear" w:color="auto" w:fill="auto"/>
                  <w:vAlign w:val="center"/>
                </w:tcPr>
                <w:p w14:paraId="57BFA0A7">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6621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640" w:type="dxa"/>
                  <w:vMerge w:val="continue"/>
                  <w:tcBorders>
                    <w:tl2br w:val="nil"/>
                    <w:tr2bl w:val="nil"/>
                  </w:tcBorders>
                  <w:shd w:val="clear" w:color="auto" w:fill="auto"/>
                  <w:vAlign w:val="center"/>
                </w:tcPr>
                <w:p w14:paraId="6B757B86">
                  <w:pPr>
                    <w:rPr>
                      <w:sz w:val="20"/>
                      <w:szCs w:val="20"/>
                    </w:rPr>
                  </w:pPr>
                </w:p>
              </w:tc>
              <w:tc>
                <w:tcPr>
                  <w:tcW w:w="683" w:type="dxa"/>
                  <w:vMerge w:val="continue"/>
                  <w:tcBorders>
                    <w:tl2br w:val="nil"/>
                    <w:tr2bl w:val="nil"/>
                  </w:tcBorders>
                  <w:shd w:val="clear" w:color="auto" w:fill="auto"/>
                  <w:vAlign w:val="center"/>
                </w:tcPr>
                <w:p w14:paraId="1325AA4A">
                  <w:pPr>
                    <w:rPr>
                      <w:sz w:val="20"/>
                      <w:szCs w:val="20"/>
                    </w:rPr>
                  </w:pPr>
                </w:p>
              </w:tc>
              <w:tc>
                <w:tcPr>
                  <w:tcW w:w="348" w:type="dxa"/>
                  <w:vMerge w:val="continue"/>
                  <w:tcBorders>
                    <w:tl2br w:val="nil"/>
                    <w:tr2bl w:val="nil"/>
                  </w:tcBorders>
                  <w:shd w:val="clear" w:color="auto" w:fill="auto"/>
                  <w:vAlign w:val="center"/>
                </w:tcPr>
                <w:p w14:paraId="36DC91AF">
                  <w:pPr>
                    <w:rPr>
                      <w:sz w:val="20"/>
                      <w:szCs w:val="20"/>
                    </w:rPr>
                  </w:pPr>
                </w:p>
              </w:tc>
              <w:tc>
                <w:tcPr>
                  <w:tcW w:w="393" w:type="dxa"/>
                  <w:vMerge w:val="continue"/>
                  <w:tcBorders>
                    <w:tl2br w:val="nil"/>
                    <w:tr2bl w:val="nil"/>
                  </w:tcBorders>
                  <w:shd w:val="clear" w:color="auto" w:fill="auto"/>
                  <w:vAlign w:val="center"/>
                </w:tcPr>
                <w:p w14:paraId="10EF211F">
                  <w:pPr>
                    <w:rPr>
                      <w:sz w:val="20"/>
                      <w:szCs w:val="20"/>
                    </w:rPr>
                  </w:pPr>
                </w:p>
              </w:tc>
              <w:tc>
                <w:tcPr>
                  <w:tcW w:w="314" w:type="dxa"/>
                  <w:vMerge w:val="continue"/>
                  <w:tcBorders>
                    <w:tl2br w:val="nil"/>
                    <w:tr2bl w:val="nil"/>
                  </w:tcBorders>
                  <w:shd w:val="clear" w:color="auto" w:fill="auto"/>
                  <w:vAlign w:val="center"/>
                </w:tcPr>
                <w:p w14:paraId="336D73D2">
                  <w:pPr>
                    <w:rPr>
                      <w:sz w:val="20"/>
                      <w:szCs w:val="20"/>
                    </w:rPr>
                  </w:pPr>
                </w:p>
              </w:tc>
              <w:tc>
                <w:tcPr>
                  <w:tcW w:w="759" w:type="dxa"/>
                  <w:tcBorders>
                    <w:tl2br w:val="nil"/>
                    <w:tr2bl w:val="nil"/>
                  </w:tcBorders>
                  <w:shd w:val="clear" w:color="auto" w:fill="auto"/>
                  <w:vAlign w:val="center"/>
                </w:tcPr>
                <w:p w14:paraId="68F912E2">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资源开发效率要求</w:t>
                  </w:r>
                </w:p>
              </w:tc>
              <w:tc>
                <w:tcPr>
                  <w:tcW w:w="2268" w:type="dxa"/>
                  <w:tcBorders>
                    <w:tl2br w:val="nil"/>
                    <w:tr2bl w:val="nil"/>
                  </w:tcBorders>
                  <w:shd w:val="clear" w:color="auto" w:fill="auto"/>
                  <w:vAlign w:val="center"/>
                </w:tcPr>
                <w:p w14:paraId="35F7A9D0">
                  <w:pPr>
                    <w:pStyle w:val="33"/>
                    <w:widowControl w:val="0"/>
                    <w:spacing w:line="240" w:lineRule="auto"/>
                    <w:jc w:val="left"/>
                    <w:rPr>
                      <w:rFonts w:ascii="Times New Roman" w:hAnsi="Times New Roman"/>
                      <w:b w:val="0"/>
                    </w:rPr>
                  </w:pPr>
                  <w:r>
                    <w:rPr>
                      <w:rFonts w:ascii="Times New Roman" w:hAnsi="Times New Roman" w:eastAsia="宋体" w:cs="宋体"/>
                      <w:b w:val="0"/>
                      <w:sz w:val="21"/>
                      <w:szCs w:val="21"/>
                      <w:lang w:bidi="ar"/>
                    </w:rPr>
                    <w:t>1、</w:t>
                  </w:r>
                  <w:r>
                    <w:rPr>
                      <w:rFonts w:hint="eastAsia" w:ascii="Times New Roman" w:hAnsi="Times New Roman" w:eastAsia="宋体" w:cs="宋体"/>
                      <w:b w:val="0"/>
                      <w:sz w:val="21"/>
                      <w:szCs w:val="21"/>
                      <w:lang w:bidi="ar"/>
                    </w:rPr>
                    <w:t>在禁燃区内，禁止销售、燃用高污染燃料；禁止新建、扩建燃用高污染燃料的设施，已建成的，应当在各省辖市、县（市）人民政府规定的期限内改用天然气、页岩气、液化石油气、电或者其他清洁能源。</w:t>
                  </w:r>
                </w:p>
                <w:p w14:paraId="4497C94A">
                  <w:pPr>
                    <w:pStyle w:val="33"/>
                    <w:widowControl w:val="0"/>
                    <w:spacing w:line="240" w:lineRule="auto"/>
                    <w:jc w:val="left"/>
                    <w:rPr>
                      <w:rFonts w:ascii="Times New Roman" w:hAnsi="Times New Roman"/>
                      <w:b w:val="0"/>
                    </w:rPr>
                  </w:pPr>
                  <w:r>
                    <w:rPr>
                      <w:rFonts w:ascii="Times New Roman" w:hAnsi="Times New Roman" w:eastAsia="宋体"/>
                      <w:b w:val="0"/>
                      <w:sz w:val="21"/>
                      <w:szCs w:val="21"/>
                      <w:lang w:bidi="ar"/>
                    </w:rPr>
                    <w:t>2</w:t>
                  </w:r>
                  <w:r>
                    <w:rPr>
                      <w:rFonts w:hint="eastAsia" w:ascii="Times New Roman" w:hAnsi="Times New Roman" w:eastAsia="宋体" w:cs="宋体"/>
                      <w:b w:val="0"/>
                      <w:sz w:val="21"/>
                      <w:szCs w:val="21"/>
                      <w:lang w:bidi="ar"/>
                    </w:rPr>
                    <w:t>、基本实现城区集中供暖全覆盖。</w:t>
                  </w:r>
                </w:p>
              </w:tc>
              <w:tc>
                <w:tcPr>
                  <w:tcW w:w="1325" w:type="dxa"/>
                  <w:tcBorders>
                    <w:tl2br w:val="nil"/>
                    <w:tr2bl w:val="nil"/>
                  </w:tcBorders>
                  <w:shd w:val="clear" w:color="auto" w:fill="auto"/>
                  <w:vAlign w:val="center"/>
                </w:tcPr>
                <w:p w14:paraId="43A251A2">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本项目生产均使用电能</w:t>
                  </w:r>
                </w:p>
              </w:tc>
              <w:tc>
                <w:tcPr>
                  <w:tcW w:w="469" w:type="dxa"/>
                  <w:tcBorders>
                    <w:tl2br w:val="nil"/>
                    <w:tr2bl w:val="nil"/>
                  </w:tcBorders>
                  <w:shd w:val="clear" w:color="auto" w:fill="auto"/>
                  <w:vAlign w:val="center"/>
                </w:tcPr>
                <w:p w14:paraId="335AC3FA">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bl>
          <w:p w14:paraId="492C5B02">
            <w:pPr>
              <w:spacing w:line="360" w:lineRule="auto"/>
              <w:ind w:firstLine="480" w:firstLineChars="200"/>
              <w:rPr>
                <w:sz w:val="24"/>
              </w:rPr>
            </w:pPr>
            <w:r>
              <w:rPr>
                <w:rFonts w:hint="eastAsia"/>
                <w:sz w:val="24"/>
              </w:rPr>
              <w:t>六、自然资源管控分区分析</w:t>
            </w:r>
          </w:p>
          <w:p w14:paraId="06B0BE96">
            <w:pPr>
              <w:spacing w:line="360" w:lineRule="auto"/>
              <w:ind w:firstLine="480" w:firstLineChars="200"/>
              <w:rPr>
                <w:sz w:val="24"/>
              </w:rPr>
            </w:pPr>
            <w:r>
              <w:rPr>
                <w:rFonts w:hint="eastAsia"/>
                <w:sz w:val="24"/>
              </w:rPr>
              <w:t>经比对，项目涉及2个河南省自然资源管控分区，其中生态用水补给区0个，地下水开采重点管控区1个，高污染燃料禁燃区1个，详见下表：</w:t>
            </w:r>
          </w:p>
          <w:p w14:paraId="59AC9792">
            <w:pPr>
              <w:pStyle w:val="137"/>
              <w:numPr>
                <w:ilvl w:val="0"/>
                <w:numId w:val="3"/>
              </w:numPr>
              <w:autoSpaceDE w:val="0"/>
              <w:autoSpaceDN w:val="0"/>
              <w:adjustRightInd w:val="0"/>
              <w:snapToGrid w:val="0"/>
              <w:spacing w:line="360" w:lineRule="auto"/>
              <w:ind w:firstLineChars="0"/>
              <w:jc w:val="center"/>
              <w:rPr>
                <w:b/>
                <w:kern w:val="0"/>
              </w:rPr>
            </w:pPr>
            <w:r>
              <w:rPr>
                <w:rFonts w:hint="eastAsia"/>
                <w:b/>
                <w:kern w:val="0"/>
              </w:rPr>
              <w:t>项目涉及河南省自然资源管控一览表</w:t>
            </w:r>
          </w:p>
          <w:tbl>
            <w:tblPr>
              <w:tblStyle w:val="39"/>
              <w:tblW w:w="7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872"/>
              <w:gridCol w:w="446"/>
              <w:gridCol w:w="361"/>
              <w:gridCol w:w="433"/>
              <w:gridCol w:w="878"/>
              <w:gridCol w:w="2044"/>
              <w:gridCol w:w="919"/>
              <w:gridCol w:w="607"/>
            </w:tblGrid>
            <w:tr w14:paraId="3DF6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2C41ACE">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环境管控单元编码</w:t>
                  </w:r>
                </w:p>
              </w:tc>
              <w:tc>
                <w:tcPr>
                  <w:tcW w:w="872" w:type="dxa"/>
                  <w:tcBorders>
                    <w:top w:val="single" w:color="auto" w:sz="4" w:space="0"/>
                    <w:left w:val="single" w:color="auto" w:sz="4" w:space="0"/>
                    <w:bottom w:val="single" w:color="auto" w:sz="4" w:space="0"/>
                    <w:right w:val="single" w:color="auto" w:sz="4" w:space="0"/>
                  </w:tcBorders>
                  <w:shd w:val="clear" w:color="auto" w:fill="auto"/>
                  <w:vAlign w:val="center"/>
                </w:tcPr>
                <w:p w14:paraId="0B7100A4">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环境管控单元名称</w:t>
                  </w:r>
                </w:p>
              </w:tc>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31022A72">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管控分类</w:t>
                  </w:r>
                </w:p>
              </w:tc>
              <w:tc>
                <w:tcPr>
                  <w:tcW w:w="361" w:type="dxa"/>
                  <w:tcBorders>
                    <w:top w:val="single" w:color="auto" w:sz="4" w:space="0"/>
                    <w:left w:val="single" w:color="auto" w:sz="4" w:space="0"/>
                    <w:bottom w:val="single" w:color="auto" w:sz="4" w:space="0"/>
                    <w:right w:val="single" w:color="auto" w:sz="4" w:space="0"/>
                  </w:tcBorders>
                  <w:shd w:val="clear" w:color="auto" w:fill="auto"/>
                  <w:vAlign w:val="center"/>
                </w:tcPr>
                <w:p w14:paraId="6A0C809A">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市</w:t>
                  </w:r>
                </w:p>
              </w:tc>
              <w:tc>
                <w:tcPr>
                  <w:tcW w:w="433" w:type="dxa"/>
                  <w:tcBorders>
                    <w:top w:val="single" w:color="auto" w:sz="4" w:space="0"/>
                    <w:left w:val="single" w:color="auto" w:sz="4" w:space="0"/>
                    <w:bottom w:val="single" w:color="auto" w:sz="4" w:space="0"/>
                    <w:right w:val="single" w:color="auto" w:sz="4" w:space="0"/>
                  </w:tcBorders>
                  <w:shd w:val="clear" w:color="auto" w:fill="auto"/>
                  <w:vAlign w:val="center"/>
                </w:tcPr>
                <w:p w14:paraId="24FB9323">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区县</w:t>
                  </w:r>
                </w:p>
              </w:tc>
              <w:tc>
                <w:tcPr>
                  <w:tcW w:w="29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63E11B">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主要要求</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2087916D">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本项目情况</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14:paraId="497F372B">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符合性</w:t>
                  </w:r>
                </w:p>
              </w:tc>
            </w:tr>
            <w:tr w14:paraId="000A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89" w:type="dxa"/>
                  <w:vMerge w:val="restart"/>
                  <w:tcBorders>
                    <w:top w:val="single" w:color="auto" w:sz="4" w:space="0"/>
                    <w:left w:val="single" w:color="auto" w:sz="4" w:space="0"/>
                    <w:right w:val="single" w:color="auto" w:sz="4" w:space="0"/>
                  </w:tcBorders>
                  <w:shd w:val="clear" w:color="auto" w:fill="auto"/>
                  <w:vAlign w:val="center"/>
                </w:tcPr>
                <w:p w14:paraId="323046F4">
                  <w:pPr>
                    <w:pStyle w:val="33"/>
                    <w:spacing w:line="240" w:lineRule="auto"/>
                    <w:rPr>
                      <w:rFonts w:ascii="Times New Roman" w:hAnsi="Times New Roman" w:eastAsia="宋体"/>
                      <w:b w:val="0"/>
                      <w:kern w:val="2"/>
                      <w:sz w:val="21"/>
                      <w:szCs w:val="21"/>
                      <w:lang w:bidi="ar"/>
                    </w:rPr>
                  </w:pPr>
                  <w:r>
                    <w:rPr>
                      <w:rFonts w:ascii="Times New Roman" w:hAnsi="Times New Roman" w:eastAsia="宋体"/>
                      <w:b w:val="0"/>
                      <w:kern w:val="2"/>
                      <w:sz w:val="21"/>
                      <w:szCs w:val="21"/>
                      <w:lang w:bidi="ar"/>
                    </w:rPr>
                    <w:t>YS4109222520039</w:t>
                  </w:r>
                </w:p>
              </w:tc>
              <w:tc>
                <w:tcPr>
                  <w:tcW w:w="872" w:type="dxa"/>
                  <w:vMerge w:val="restart"/>
                  <w:tcBorders>
                    <w:top w:val="single" w:color="auto" w:sz="4" w:space="0"/>
                    <w:left w:val="single" w:color="auto" w:sz="4" w:space="0"/>
                    <w:right w:val="single" w:color="auto" w:sz="4" w:space="0"/>
                  </w:tcBorders>
                  <w:shd w:val="clear" w:color="auto" w:fill="auto"/>
                  <w:vAlign w:val="center"/>
                </w:tcPr>
                <w:p w14:paraId="2075AB2F">
                  <w:pPr>
                    <w:pStyle w:val="33"/>
                    <w:spacing w:line="240" w:lineRule="auto"/>
                    <w:rPr>
                      <w:rFonts w:ascii="Times New Roman" w:hAnsi="Times New Roman" w:eastAsia="宋体"/>
                      <w:b w:val="0"/>
                      <w:kern w:val="2"/>
                      <w:sz w:val="21"/>
                      <w:szCs w:val="21"/>
                      <w:lang w:bidi="ar"/>
                    </w:rPr>
                  </w:pPr>
                  <w:r>
                    <w:rPr>
                      <w:rFonts w:hint="eastAsia" w:ascii="Times New Roman" w:hAnsi="Times New Roman" w:eastAsia="宋体"/>
                      <w:b w:val="0"/>
                      <w:kern w:val="2"/>
                      <w:sz w:val="21"/>
                      <w:szCs w:val="21"/>
                      <w:lang w:bidi="ar"/>
                    </w:rPr>
                    <w:t>河南省濮阳市清丰县地下水开采重点管控区39</w:t>
                  </w:r>
                </w:p>
              </w:tc>
              <w:tc>
                <w:tcPr>
                  <w:tcW w:w="446" w:type="dxa"/>
                  <w:vMerge w:val="restart"/>
                  <w:tcBorders>
                    <w:top w:val="single" w:color="auto" w:sz="4" w:space="0"/>
                    <w:left w:val="single" w:color="auto" w:sz="4" w:space="0"/>
                    <w:right w:val="single" w:color="auto" w:sz="4" w:space="0"/>
                  </w:tcBorders>
                  <w:shd w:val="clear" w:color="auto" w:fill="auto"/>
                  <w:vAlign w:val="center"/>
                </w:tcPr>
                <w:p w14:paraId="056F737F">
                  <w:pPr>
                    <w:pStyle w:val="33"/>
                    <w:widowControl w:val="0"/>
                    <w:spacing w:line="240" w:lineRule="auto"/>
                    <w:rPr>
                      <w:rFonts w:ascii="Times New Roman" w:hAnsi="Times New Roman" w:eastAsia="宋体"/>
                      <w:b w:val="0"/>
                      <w:kern w:val="2"/>
                      <w:sz w:val="21"/>
                      <w:szCs w:val="21"/>
                      <w:lang w:bidi="ar"/>
                    </w:rPr>
                  </w:pPr>
                  <w:r>
                    <w:rPr>
                      <w:rFonts w:hint="eastAsia" w:ascii="Times New Roman" w:hAnsi="Times New Roman" w:eastAsia="宋体"/>
                      <w:b w:val="0"/>
                      <w:kern w:val="2"/>
                      <w:sz w:val="21"/>
                      <w:szCs w:val="21"/>
                      <w:lang w:bidi="ar"/>
                    </w:rPr>
                    <w:t>重点</w:t>
                  </w:r>
                </w:p>
              </w:tc>
              <w:tc>
                <w:tcPr>
                  <w:tcW w:w="361" w:type="dxa"/>
                  <w:vMerge w:val="restart"/>
                  <w:tcBorders>
                    <w:top w:val="single" w:color="auto" w:sz="4" w:space="0"/>
                    <w:left w:val="single" w:color="auto" w:sz="4" w:space="0"/>
                    <w:right w:val="single" w:color="auto" w:sz="4" w:space="0"/>
                  </w:tcBorders>
                  <w:shd w:val="clear" w:color="auto" w:fill="auto"/>
                  <w:vAlign w:val="center"/>
                </w:tcPr>
                <w:p w14:paraId="37CD15F8">
                  <w:pPr>
                    <w:pStyle w:val="33"/>
                    <w:widowControl w:val="0"/>
                    <w:spacing w:line="240" w:lineRule="auto"/>
                    <w:rPr>
                      <w:rFonts w:ascii="Times New Roman" w:hAnsi="Times New Roman" w:eastAsia="宋体"/>
                      <w:b w:val="0"/>
                      <w:kern w:val="2"/>
                      <w:sz w:val="21"/>
                      <w:szCs w:val="21"/>
                      <w:lang w:bidi="ar"/>
                    </w:rPr>
                  </w:pPr>
                  <w:r>
                    <w:rPr>
                      <w:rFonts w:hint="eastAsia" w:ascii="Times New Roman" w:hAnsi="Times New Roman" w:eastAsia="宋体"/>
                      <w:b w:val="0"/>
                      <w:kern w:val="2"/>
                      <w:sz w:val="21"/>
                      <w:szCs w:val="21"/>
                      <w:lang w:bidi="ar"/>
                    </w:rPr>
                    <w:t>濮阳市</w:t>
                  </w:r>
                </w:p>
              </w:tc>
              <w:tc>
                <w:tcPr>
                  <w:tcW w:w="433" w:type="dxa"/>
                  <w:vMerge w:val="restart"/>
                  <w:tcBorders>
                    <w:top w:val="single" w:color="auto" w:sz="4" w:space="0"/>
                    <w:left w:val="single" w:color="auto" w:sz="4" w:space="0"/>
                    <w:right w:val="single" w:color="auto" w:sz="4" w:space="0"/>
                  </w:tcBorders>
                  <w:shd w:val="clear" w:color="auto" w:fill="auto"/>
                  <w:vAlign w:val="center"/>
                </w:tcPr>
                <w:p w14:paraId="48AFF3D8">
                  <w:pPr>
                    <w:pStyle w:val="33"/>
                    <w:widowControl w:val="0"/>
                    <w:spacing w:line="240" w:lineRule="auto"/>
                    <w:rPr>
                      <w:rFonts w:ascii="Times New Roman" w:hAnsi="Times New Roman" w:eastAsia="宋体"/>
                      <w:b w:val="0"/>
                      <w:kern w:val="2"/>
                      <w:sz w:val="21"/>
                      <w:szCs w:val="21"/>
                      <w:lang w:bidi="ar"/>
                    </w:rPr>
                  </w:pPr>
                  <w:r>
                    <w:rPr>
                      <w:rFonts w:hint="eastAsia" w:ascii="Times New Roman" w:hAnsi="Times New Roman" w:eastAsia="宋体"/>
                      <w:b w:val="0"/>
                      <w:kern w:val="2"/>
                      <w:sz w:val="21"/>
                      <w:szCs w:val="21"/>
                      <w:lang w:bidi="ar"/>
                    </w:rPr>
                    <w:t>清丰县</w:t>
                  </w:r>
                </w:p>
              </w:tc>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14:paraId="5CD04F2A">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空间布局约束</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0B5B2E62">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4581D1F">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14:paraId="2E370F41">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r>
            <w:tr w14:paraId="19D5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89" w:type="dxa"/>
                  <w:vMerge w:val="continue"/>
                  <w:tcBorders>
                    <w:left w:val="single" w:color="auto" w:sz="4" w:space="0"/>
                    <w:right w:val="single" w:color="auto" w:sz="4" w:space="0"/>
                  </w:tcBorders>
                  <w:shd w:val="clear" w:color="auto" w:fill="auto"/>
                  <w:vAlign w:val="center"/>
                </w:tcPr>
                <w:p w14:paraId="783714CF">
                  <w:pPr>
                    <w:pStyle w:val="33"/>
                    <w:widowControl w:val="0"/>
                    <w:spacing w:line="240" w:lineRule="auto"/>
                    <w:rPr>
                      <w:rFonts w:ascii="Times New Roman" w:hAnsi="Times New Roman" w:eastAsia="宋体"/>
                      <w:b w:val="0"/>
                      <w:kern w:val="2"/>
                      <w:sz w:val="21"/>
                      <w:szCs w:val="21"/>
                      <w:lang w:bidi="ar"/>
                    </w:rPr>
                  </w:pPr>
                </w:p>
              </w:tc>
              <w:tc>
                <w:tcPr>
                  <w:tcW w:w="872" w:type="dxa"/>
                  <w:vMerge w:val="continue"/>
                  <w:tcBorders>
                    <w:left w:val="single" w:color="auto" w:sz="4" w:space="0"/>
                    <w:right w:val="single" w:color="auto" w:sz="4" w:space="0"/>
                  </w:tcBorders>
                  <w:shd w:val="clear" w:color="auto" w:fill="auto"/>
                  <w:vAlign w:val="center"/>
                </w:tcPr>
                <w:p w14:paraId="56F52103">
                  <w:pPr>
                    <w:pStyle w:val="33"/>
                    <w:widowControl w:val="0"/>
                    <w:spacing w:line="240" w:lineRule="auto"/>
                    <w:rPr>
                      <w:rFonts w:ascii="Times New Roman" w:hAnsi="Times New Roman" w:eastAsia="宋体"/>
                      <w:b w:val="0"/>
                      <w:kern w:val="2"/>
                      <w:sz w:val="21"/>
                      <w:szCs w:val="21"/>
                      <w:lang w:bidi="ar"/>
                    </w:rPr>
                  </w:pPr>
                </w:p>
              </w:tc>
              <w:tc>
                <w:tcPr>
                  <w:tcW w:w="446" w:type="dxa"/>
                  <w:vMerge w:val="continue"/>
                  <w:tcBorders>
                    <w:left w:val="single" w:color="auto" w:sz="4" w:space="0"/>
                    <w:right w:val="single" w:color="auto" w:sz="4" w:space="0"/>
                  </w:tcBorders>
                  <w:shd w:val="clear" w:color="auto" w:fill="auto"/>
                  <w:vAlign w:val="center"/>
                </w:tcPr>
                <w:p w14:paraId="7DADEBF1">
                  <w:pPr>
                    <w:pStyle w:val="33"/>
                    <w:widowControl w:val="0"/>
                    <w:spacing w:line="240" w:lineRule="auto"/>
                    <w:rPr>
                      <w:rFonts w:ascii="Times New Roman" w:hAnsi="Times New Roman" w:eastAsia="宋体"/>
                      <w:b w:val="0"/>
                      <w:kern w:val="2"/>
                      <w:sz w:val="21"/>
                      <w:szCs w:val="21"/>
                      <w:lang w:bidi="ar"/>
                    </w:rPr>
                  </w:pPr>
                </w:p>
              </w:tc>
              <w:tc>
                <w:tcPr>
                  <w:tcW w:w="361" w:type="dxa"/>
                  <w:vMerge w:val="continue"/>
                  <w:tcBorders>
                    <w:left w:val="single" w:color="auto" w:sz="4" w:space="0"/>
                    <w:right w:val="single" w:color="auto" w:sz="4" w:space="0"/>
                  </w:tcBorders>
                  <w:shd w:val="clear" w:color="auto" w:fill="auto"/>
                  <w:vAlign w:val="center"/>
                </w:tcPr>
                <w:p w14:paraId="26AF8EC6">
                  <w:pPr>
                    <w:pStyle w:val="33"/>
                    <w:widowControl w:val="0"/>
                    <w:spacing w:line="240" w:lineRule="auto"/>
                    <w:rPr>
                      <w:rFonts w:ascii="Times New Roman" w:hAnsi="Times New Roman" w:eastAsia="宋体"/>
                      <w:b w:val="0"/>
                      <w:kern w:val="2"/>
                      <w:sz w:val="21"/>
                      <w:szCs w:val="21"/>
                      <w:lang w:bidi="ar"/>
                    </w:rPr>
                  </w:pPr>
                </w:p>
              </w:tc>
              <w:tc>
                <w:tcPr>
                  <w:tcW w:w="433" w:type="dxa"/>
                  <w:vMerge w:val="continue"/>
                  <w:tcBorders>
                    <w:left w:val="single" w:color="auto" w:sz="4" w:space="0"/>
                    <w:right w:val="single" w:color="auto" w:sz="4" w:space="0"/>
                  </w:tcBorders>
                  <w:shd w:val="clear" w:color="auto" w:fill="auto"/>
                  <w:vAlign w:val="center"/>
                </w:tcPr>
                <w:p w14:paraId="17237C5B">
                  <w:pPr>
                    <w:pStyle w:val="33"/>
                    <w:widowControl w:val="0"/>
                    <w:spacing w:line="240" w:lineRule="auto"/>
                    <w:rPr>
                      <w:rFonts w:ascii="Times New Roman" w:hAnsi="Times New Roman" w:eastAsia="宋体"/>
                      <w:b w:val="0"/>
                      <w:kern w:val="2"/>
                      <w:sz w:val="21"/>
                      <w:szCs w:val="21"/>
                      <w:lang w:bidi="ar"/>
                    </w:rPr>
                  </w:pPr>
                </w:p>
              </w:tc>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14:paraId="30CC247A">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污染物排放管控</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25FC6517">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B017756">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14:paraId="48289CD7">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r>
            <w:tr w14:paraId="6D1E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89" w:type="dxa"/>
                  <w:vMerge w:val="continue"/>
                  <w:tcBorders>
                    <w:left w:val="single" w:color="auto" w:sz="4" w:space="0"/>
                    <w:right w:val="single" w:color="auto" w:sz="4" w:space="0"/>
                  </w:tcBorders>
                  <w:shd w:val="clear" w:color="auto" w:fill="auto"/>
                  <w:vAlign w:val="center"/>
                </w:tcPr>
                <w:p w14:paraId="226FEE6B">
                  <w:pPr>
                    <w:pStyle w:val="33"/>
                    <w:widowControl w:val="0"/>
                    <w:spacing w:line="240" w:lineRule="auto"/>
                    <w:rPr>
                      <w:rFonts w:ascii="Times New Roman" w:hAnsi="Times New Roman" w:eastAsia="宋体"/>
                      <w:b w:val="0"/>
                      <w:kern w:val="2"/>
                      <w:sz w:val="21"/>
                      <w:szCs w:val="21"/>
                      <w:lang w:bidi="ar"/>
                    </w:rPr>
                  </w:pPr>
                </w:p>
              </w:tc>
              <w:tc>
                <w:tcPr>
                  <w:tcW w:w="872" w:type="dxa"/>
                  <w:vMerge w:val="continue"/>
                  <w:tcBorders>
                    <w:left w:val="single" w:color="auto" w:sz="4" w:space="0"/>
                    <w:right w:val="single" w:color="auto" w:sz="4" w:space="0"/>
                  </w:tcBorders>
                  <w:shd w:val="clear" w:color="auto" w:fill="auto"/>
                  <w:vAlign w:val="center"/>
                </w:tcPr>
                <w:p w14:paraId="6143715C">
                  <w:pPr>
                    <w:pStyle w:val="33"/>
                    <w:widowControl w:val="0"/>
                    <w:spacing w:line="240" w:lineRule="auto"/>
                    <w:rPr>
                      <w:rFonts w:ascii="Times New Roman" w:hAnsi="Times New Roman" w:eastAsia="宋体"/>
                      <w:b w:val="0"/>
                      <w:kern w:val="2"/>
                      <w:sz w:val="21"/>
                      <w:szCs w:val="21"/>
                      <w:lang w:bidi="ar"/>
                    </w:rPr>
                  </w:pPr>
                </w:p>
              </w:tc>
              <w:tc>
                <w:tcPr>
                  <w:tcW w:w="446" w:type="dxa"/>
                  <w:vMerge w:val="continue"/>
                  <w:tcBorders>
                    <w:left w:val="single" w:color="auto" w:sz="4" w:space="0"/>
                    <w:right w:val="single" w:color="auto" w:sz="4" w:space="0"/>
                  </w:tcBorders>
                  <w:shd w:val="clear" w:color="auto" w:fill="auto"/>
                  <w:vAlign w:val="center"/>
                </w:tcPr>
                <w:p w14:paraId="3494AB1B">
                  <w:pPr>
                    <w:pStyle w:val="33"/>
                    <w:widowControl w:val="0"/>
                    <w:spacing w:line="240" w:lineRule="auto"/>
                    <w:rPr>
                      <w:rFonts w:ascii="Times New Roman" w:hAnsi="Times New Roman" w:eastAsia="宋体"/>
                      <w:b w:val="0"/>
                      <w:kern w:val="2"/>
                      <w:sz w:val="21"/>
                      <w:szCs w:val="21"/>
                      <w:lang w:bidi="ar"/>
                    </w:rPr>
                  </w:pPr>
                </w:p>
              </w:tc>
              <w:tc>
                <w:tcPr>
                  <w:tcW w:w="361" w:type="dxa"/>
                  <w:vMerge w:val="continue"/>
                  <w:tcBorders>
                    <w:left w:val="single" w:color="auto" w:sz="4" w:space="0"/>
                    <w:right w:val="single" w:color="auto" w:sz="4" w:space="0"/>
                  </w:tcBorders>
                  <w:shd w:val="clear" w:color="auto" w:fill="auto"/>
                  <w:vAlign w:val="center"/>
                </w:tcPr>
                <w:p w14:paraId="177141DF">
                  <w:pPr>
                    <w:pStyle w:val="33"/>
                    <w:widowControl w:val="0"/>
                    <w:spacing w:line="240" w:lineRule="auto"/>
                    <w:rPr>
                      <w:rFonts w:ascii="Times New Roman" w:hAnsi="Times New Roman" w:eastAsia="宋体"/>
                      <w:b w:val="0"/>
                      <w:kern w:val="2"/>
                      <w:sz w:val="21"/>
                      <w:szCs w:val="21"/>
                      <w:lang w:bidi="ar"/>
                    </w:rPr>
                  </w:pPr>
                </w:p>
              </w:tc>
              <w:tc>
                <w:tcPr>
                  <w:tcW w:w="433" w:type="dxa"/>
                  <w:vMerge w:val="continue"/>
                  <w:tcBorders>
                    <w:left w:val="single" w:color="auto" w:sz="4" w:space="0"/>
                    <w:right w:val="single" w:color="auto" w:sz="4" w:space="0"/>
                  </w:tcBorders>
                  <w:shd w:val="clear" w:color="auto" w:fill="auto"/>
                  <w:vAlign w:val="center"/>
                </w:tcPr>
                <w:p w14:paraId="165DAA8E">
                  <w:pPr>
                    <w:pStyle w:val="33"/>
                    <w:widowControl w:val="0"/>
                    <w:spacing w:line="240" w:lineRule="auto"/>
                    <w:rPr>
                      <w:rFonts w:ascii="Times New Roman" w:hAnsi="Times New Roman" w:eastAsia="宋体"/>
                      <w:b w:val="0"/>
                      <w:kern w:val="2"/>
                      <w:sz w:val="21"/>
                      <w:szCs w:val="21"/>
                      <w:lang w:bidi="ar"/>
                    </w:rPr>
                  </w:pPr>
                </w:p>
              </w:tc>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14:paraId="35BBB7F6">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环境风险防控</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1BE1EB2A">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FA5152E">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14:paraId="3AFA2A5D">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r>
            <w:tr w14:paraId="54BD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89" w:type="dxa"/>
                  <w:vMerge w:val="continue"/>
                  <w:tcBorders>
                    <w:left w:val="single" w:color="auto" w:sz="4" w:space="0"/>
                    <w:bottom w:val="single" w:color="auto" w:sz="4" w:space="0"/>
                    <w:right w:val="single" w:color="auto" w:sz="4" w:space="0"/>
                  </w:tcBorders>
                  <w:shd w:val="clear" w:color="auto" w:fill="auto"/>
                  <w:vAlign w:val="center"/>
                </w:tcPr>
                <w:p w14:paraId="6B4D65CB">
                  <w:pPr>
                    <w:pStyle w:val="33"/>
                    <w:widowControl w:val="0"/>
                    <w:spacing w:line="240" w:lineRule="auto"/>
                    <w:rPr>
                      <w:rFonts w:ascii="Times New Roman" w:hAnsi="Times New Roman" w:eastAsia="宋体"/>
                      <w:b w:val="0"/>
                      <w:kern w:val="2"/>
                      <w:sz w:val="21"/>
                      <w:szCs w:val="21"/>
                      <w:lang w:bidi="ar"/>
                    </w:rPr>
                  </w:pPr>
                </w:p>
              </w:tc>
              <w:tc>
                <w:tcPr>
                  <w:tcW w:w="872" w:type="dxa"/>
                  <w:vMerge w:val="continue"/>
                  <w:tcBorders>
                    <w:left w:val="single" w:color="auto" w:sz="4" w:space="0"/>
                    <w:bottom w:val="single" w:color="auto" w:sz="4" w:space="0"/>
                    <w:right w:val="single" w:color="auto" w:sz="4" w:space="0"/>
                  </w:tcBorders>
                  <w:shd w:val="clear" w:color="auto" w:fill="auto"/>
                  <w:vAlign w:val="center"/>
                </w:tcPr>
                <w:p w14:paraId="76AB44C9">
                  <w:pPr>
                    <w:pStyle w:val="33"/>
                    <w:widowControl w:val="0"/>
                    <w:spacing w:line="240" w:lineRule="auto"/>
                    <w:rPr>
                      <w:rFonts w:ascii="Times New Roman" w:hAnsi="Times New Roman" w:eastAsia="宋体"/>
                      <w:b w:val="0"/>
                      <w:kern w:val="2"/>
                      <w:sz w:val="21"/>
                      <w:szCs w:val="21"/>
                      <w:lang w:bidi="ar"/>
                    </w:rPr>
                  </w:pPr>
                </w:p>
              </w:tc>
              <w:tc>
                <w:tcPr>
                  <w:tcW w:w="446" w:type="dxa"/>
                  <w:vMerge w:val="continue"/>
                  <w:tcBorders>
                    <w:left w:val="single" w:color="auto" w:sz="4" w:space="0"/>
                    <w:bottom w:val="single" w:color="auto" w:sz="4" w:space="0"/>
                    <w:right w:val="single" w:color="auto" w:sz="4" w:space="0"/>
                  </w:tcBorders>
                  <w:shd w:val="clear" w:color="auto" w:fill="auto"/>
                  <w:vAlign w:val="center"/>
                </w:tcPr>
                <w:p w14:paraId="4E63B2DE">
                  <w:pPr>
                    <w:pStyle w:val="33"/>
                    <w:widowControl w:val="0"/>
                    <w:spacing w:line="240" w:lineRule="auto"/>
                    <w:rPr>
                      <w:rFonts w:ascii="Times New Roman" w:hAnsi="Times New Roman" w:eastAsia="宋体"/>
                      <w:b w:val="0"/>
                      <w:kern w:val="2"/>
                      <w:sz w:val="21"/>
                      <w:szCs w:val="21"/>
                      <w:lang w:bidi="ar"/>
                    </w:rPr>
                  </w:pPr>
                </w:p>
              </w:tc>
              <w:tc>
                <w:tcPr>
                  <w:tcW w:w="361" w:type="dxa"/>
                  <w:vMerge w:val="continue"/>
                  <w:tcBorders>
                    <w:left w:val="single" w:color="auto" w:sz="4" w:space="0"/>
                    <w:bottom w:val="single" w:color="auto" w:sz="4" w:space="0"/>
                    <w:right w:val="single" w:color="auto" w:sz="4" w:space="0"/>
                  </w:tcBorders>
                  <w:shd w:val="clear" w:color="auto" w:fill="auto"/>
                  <w:vAlign w:val="center"/>
                </w:tcPr>
                <w:p w14:paraId="569AC705">
                  <w:pPr>
                    <w:pStyle w:val="33"/>
                    <w:widowControl w:val="0"/>
                    <w:spacing w:line="240" w:lineRule="auto"/>
                    <w:rPr>
                      <w:rFonts w:ascii="Times New Roman" w:hAnsi="Times New Roman" w:eastAsia="宋体"/>
                      <w:b w:val="0"/>
                      <w:kern w:val="2"/>
                      <w:sz w:val="21"/>
                      <w:szCs w:val="21"/>
                      <w:lang w:bidi="ar"/>
                    </w:rPr>
                  </w:pPr>
                </w:p>
              </w:tc>
              <w:tc>
                <w:tcPr>
                  <w:tcW w:w="433" w:type="dxa"/>
                  <w:vMerge w:val="continue"/>
                  <w:tcBorders>
                    <w:left w:val="single" w:color="auto" w:sz="4" w:space="0"/>
                    <w:bottom w:val="single" w:color="auto" w:sz="4" w:space="0"/>
                    <w:right w:val="single" w:color="auto" w:sz="4" w:space="0"/>
                  </w:tcBorders>
                  <w:shd w:val="clear" w:color="auto" w:fill="auto"/>
                  <w:vAlign w:val="center"/>
                </w:tcPr>
                <w:p w14:paraId="22261FFF">
                  <w:pPr>
                    <w:pStyle w:val="33"/>
                    <w:widowControl w:val="0"/>
                    <w:spacing w:line="240" w:lineRule="auto"/>
                    <w:rPr>
                      <w:rFonts w:ascii="Times New Roman" w:hAnsi="Times New Roman" w:eastAsia="宋体"/>
                      <w:b w:val="0"/>
                      <w:kern w:val="2"/>
                      <w:sz w:val="21"/>
                      <w:szCs w:val="21"/>
                      <w:lang w:bidi="ar"/>
                    </w:rPr>
                  </w:pPr>
                </w:p>
              </w:tc>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14:paraId="55B6EA44">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资源开发效率要求</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766C3C7A">
                  <w:pPr>
                    <w:pStyle w:val="33"/>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1、到2025年，用水总量控制在14370万立方米以内，万元GDP 用水量、万元工业增加值用水量分别在69.8 立方米、23.0立方米以内，灌溉水有效利用系数提高到0.594以上；2、加快公共供水管网建设，促进供水管网覆盖范围以外的自备井封闭工作；3、开展高耗水工业行业节水技术改造，大力推广工业水循环利用，推进节水型企业、节水型工业园区建设；4、大力推进雨水、再生水、矿井水等非常规水源利用，将非常规水源纳入区域水资源统一配置</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79BA8A67">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本项目使用园区供水</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14:paraId="55CE1307">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相符</w:t>
                  </w:r>
                </w:p>
              </w:tc>
            </w:tr>
            <w:tr w14:paraId="1CA4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819626">
                  <w:pPr>
                    <w:pStyle w:val="33"/>
                    <w:spacing w:line="240" w:lineRule="auto"/>
                    <w:rPr>
                      <w:rFonts w:ascii="Times New Roman" w:hAnsi="Times New Roman"/>
                      <w:b w:val="0"/>
                      <w:sz w:val="21"/>
                      <w:szCs w:val="21"/>
                    </w:rPr>
                  </w:pPr>
                  <w:r>
                    <w:rPr>
                      <w:rFonts w:ascii="Times New Roman" w:hAnsi="Times New Roman" w:eastAsia="宋体"/>
                      <w:b w:val="0"/>
                      <w:kern w:val="2"/>
                      <w:sz w:val="21"/>
                      <w:szCs w:val="21"/>
                      <w:lang w:bidi="ar"/>
                    </w:rPr>
                    <w:t>YS4109222540001</w:t>
                  </w:r>
                </w:p>
              </w:tc>
              <w:tc>
                <w:tcPr>
                  <w:tcW w:w="8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B0E153">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河南省濮阳市清丰县高污染燃料禁燃区</w:t>
                  </w:r>
                </w:p>
              </w:tc>
              <w:tc>
                <w:tcPr>
                  <w:tcW w:w="4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508CD8">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重点</w:t>
                  </w:r>
                </w:p>
              </w:tc>
              <w:tc>
                <w:tcPr>
                  <w:tcW w:w="3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BCFCF4">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濮阳市</w:t>
                  </w:r>
                </w:p>
              </w:tc>
              <w:tc>
                <w:tcPr>
                  <w:tcW w:w="4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E46C7A">
                  <w:pPr>
                    <w:pStyle w:val="33"/>
                    <w:widowControl w:val="0"/>
                    <w:spacing w:line="240" w:lineRule="auto"/>
                    <w:rPr>
                      <w:rFonts w:ascii="Times New Roman" w:hAnsi="Times New Roman"/>
                      <w:b w:val="0"/>
                      <w:sz w:val="21"/>
                      <w:szCs w:val="21"/>
                    </w:rPr>
                  </w:pPr>
                  <w:r>
                    <w:rPr>
                      <w:rFonts w:hint="eastAsia" w:ascii="Times New Roman" w:hAnsi="Times New Roman" w:eastAsia="宋体"/>
                      <w:b w:val="0"/>
                      <w:kern w:val="2"/>
                      <w:sz w:val="21"/>
                      <w:szCs w:val="21"/>
                      <w:lang w:bidi="ar"/>
                    </w:rPr>
                    <w:t>清丰县</w:t>
                  </w:r>
                </w:p>
              </w:tc>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14:paraId="55754776">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空间布局约束</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276CFED3">
                  <w:pPr>
                    <w:pStyle w:val="33"/>
                    <w:widowControl w:val="0"/>
                    <w:spacing w:line="240" w:lineRule="auto"/>
                    <w:jc w:val="left"/>
                    <w:rPr>
                      <w:rFonts w:ascii="Times New Roman" w:hAnsi="Times New Roman"/>
                      <w:b w:val="0"/>
                    </w:rPr>
                  </w:pPr>
                  <w:r>
                    <w:rPr>
                      <w:rFonts w:hint="eastAsia" w:ascii="Times New Roman" w:hAnsi="Times New Roman" w:eastAsia="宋体" w:cs="宋体"/>
                      <w:b w:val="0"/>
                      <w:sz w:val="21"/>
                      <w:szCs w:val="21"/>
                      <w:lang w:bidi="ar"/>
                    </w:rPr>
                    <w:t>高污染燃料禁燃区覆盖全市行政区域</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0603754">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本项目不涉及</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14:paraId="0E1E8026">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r w14:paraId="0BAB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211E35">
                  <w:pPr>
                    <w:pStyle w:val="33"/>
                    <w:rPr>
                      <w:rFonts w:ascii="Times New Roman" w:hAnsi="Times New Roman" w:eastAsia="宋体"/>
                      <w:b w:val="0"/>
                      <w:kern w:val="2"/>
                      <w:sz w:val="21"/>
                      <w:szCs w:val="21"/>
                      <w:lang w:bidi="ar"/>
                    </w:rPr>
                  </w:pPr>
                </w:p>
              </w:tc>
              <w:tc>
                <w:tcPr>
                  <w:tcW w:w="8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A2268A">
                  <w:pPr>
                    <w:pStyle w:val="33"/>
                    <w:widowControl w:val="0"/>
                    <w:spacing w:line="240" w:lineRule="auto"/>
                    <w:rPr>
                      <w:rFonts w:ascii="Times New Roman" w:hAnsi="Times New Roman" w:eastAsia="宋体"/>
                      <w:b w:val="0"/>
                      <w:kern w:val="2"/>
                      <w:sz w:val="21"/>
                      <w:szCs w:val="21"/>
                      <w:lang w:bidi="ar"/>
                    </w:rPr>
                  </w:pPr>
                </w:p>
              </w:tc>
              <w:tc>
                <w:tcPr>
                  <w:tcW w:w="4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3CDDDF">
                  <w:pPr>
                    <w:pStyle w:val="33"/>
                    <w:widowControl w:val="0"/>
                    <w:spacing w:line="240" w:lineRule="auto"/>
                    <w:rPr>
                      <w:rFonts w:ascii="Times New Roman" w:hAnsi="Times New Roman" w:eastAsia="宋体"/>
                      <w:b w:val="0"/>
                      <w:kern w:val="2"/>
                      <w:sz w:val="21"/>
                      <w:szCs w:val="21"/>
                      <w:lang w:bidi="ar"/>
                    </w:rPr>
                  </w:pPr>
                </w:p>
              </w:tc>
              <w:tc>
                <w:tcPr>
                  <w:tcW w:w="3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F25F3C">
                  <w:pPr>
                    <w:pStyle w:val="33"/>
                    <w:widowControl w:val="0"/>
                    <w:spacing w:line="240" w:lineRule="auto"/>
                    <w:rPr>
                      <w:rFonts w:ascii="Times New Roman" w:hAnsi="Times New Roman" w:eastAsia="宋体"/>
                      <w:b w:val="0"/>
                      <w:kern w:val="2"/>
                      <w:sz w:val="21"/>
                      <w:szCs w:val="21"/>
                      <w:lang w:bidi="ar"/>
                    </w:rPr>
                  </w:pPr>
                </w:p>
              </w:tc>
              <w:tc>
                <w:tcPr>
                  <w:tcW w:w="4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DE35AD">
                  <w:pPr>
                    <w:pStyle w:val="33"/>
                    <w:widowControl w:val="0"/>
                    <w:spacing w:line="240" w:lineRule="auto"/>
                    <w:rPr>
                      <w:rFonts w:ascii="Times New Roman" w:hAnsi="Times New Roman" w:eastAsia="宋体"/>
                      <w:b w:val="0"/>
                      <w:kern w:val="2"/>
                      <w:sz w:val="21"/>
                      <w:szCs w:val="21"/>
                      <w:lang w:bidi="ar"/>
                    </w:rPr>
                  </w:pPr>
                </w:p>
              </w:tc>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14:paraId="6DB3F80D">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污染物排放管控</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56AB674B">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5815C8D0">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14:paraId="78DB4085">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r>
            <w:tr w14:paraId="6BCC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45A7E9">
                  <w:pPr>
                    <w:pStyle w:val="33"/>
                    <w:rPr>
                      <w:rFonts w:ascii="Times New Roman" w:hAnsi="Times New Roman" w:eastAsia="宋体"/>
                      <w:b w:val="0"/>
                      <w:kern w:val="2"/>
                      <w:sz w:val="21"/>
                      <w:szCs w:val="21"/>
                      <w:lang w:bidi="ar"/>
                    </w:rPr>
                  </w:pPr>
                </w:p>
              </w:tc>
              <w:tc>
                <w:tcPr>
                  <w:tcW w:w="8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AB8C28">
                  <w:pPr>
                    <w:pStyle w:val="33"/>
                    <w:widowControl w:val="0"/>
                    <w:spacing w:line="240" w:lineRule="auto"/>
                    <w:rPr>
                      <w:rFonts w:ascii="Times New Roman" w:hAnsi="Times New Roman" w:eastAsia="宋体"/>
                      <w:b w:val="0"/>
                      <w:kern w:val="2"/>
                      <w:sz w:val="21"/>
                      <w:szCs w:val="21"/>
                      <w:lang w:bidi="ar"/>
                    </w:rPr>
                  </w:pPr>
                </w:p>
              </w:tc>
              <w:tc>
                <w:tcPr>
                  <w:tcW w:w="4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544D47">
                  <w:pPr>
                    <w:pStyle w:val="33"/>
                    <w:widowControl w:val="0"/>
                    <w:spacing w:line="240" w:lineRule="auto"/>
                    <w:rPr>
                      <w:rFonts w:ascii="Times New Roman" w:hAnsi="Times New Roman" w:eastAsia="宋体"/>
                      <w:b w:val="0"/>
                      <w:kern w:val="2"/>
                      <w:sz w:val="21"/>
                      <w:szCs w:val="21"/>
                      <w:lang w:bidi="ar"/>
                    </w:rPr>
                  </w:pPr>
                </w:p>
              </w:tc>
              <w:tc>
                <w:tcPr>
                  <w:tcW w:w="3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2AB23A">
                  <w:pPr>
                    <w:pStyle w:val="33"/>
                    <w:widowControl w:val="0"/>
                    <w:spacing w:line="240" w:lineRule="auto"/>
                    <w:rPr>
                      <w:rFonts w:ascii="Times New Roman" w:hAnsi="Times New Roman" w:eastAsia="宋体"/>
                      <w:b w:val="0"/>
                      <w:kern w:val="2"/>
                      <w:sz w:val="21"/>
                      <w:szCs w:val="21"/>
                      <w:lang w:bidi="ar"/>
                    </w:rPr>
                  </w:pPr>
                </w:p>
              </w:tc>
              <w:tc>
                <w:tcPr>
                  <w:tcW w:w="4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B18201">
                  <w:pPr>
                    <w:pStyle w:val="33"/>
                    <w:widowControl w:val="0"/>
                    <w:spacing w:line="240" w:lineRule="auto"/>
                    <w:rPr>
                      <w:rFonts w:ascii="Times New Roman" w:hAnsi="Times New Roman" w:eastAsia="宋体"/>
                      <w:b w:val="0"/>
                      <w:kern w:val="2"/>
                      <w:sz w:val="21"/>
                      <w:szCs w:val="21"/>
                      <w:lang w:bidi="ar"/>
                    </w:rPr>
                  </w:pPr>
                </w:p>
              </w:tc>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14:paraId="003C8676">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环境风险防控</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28E8B84A">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1F098D7D">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14:paraId="2225A0B9">
                  <w:pPr>
                    <w:pStyle w:val="33"/>
                    <w:widowControl w:val="0"/>
                    <w:spacing w:line="240" w:lineRule="auto"/>
                    <w:rPr>
                      <w:rFonts w:ascii="Times New Roman" w:hAnsi="Times New Roman" w:eastAsia="宋体" w:cs="宋体"/>
                      <w:b w:val="0"/>
                      <w:sz w:val="21"/>
                      <w:szCs w:val="21"/>
                      <w:lang w:bidi="ar"/>
                    </w:rPr>
                  </w:pPr>
                  <w:r>
                    <w:rPr>
                      <w:rFonts w:hint="eastAsia" w:ascii="Times New Roman" w:hAnsi="Times New Roman" w:eastAsia="宋体" w:cs="宋体"/>
                      <w:b w:val="0"/>
                      <w:sz w:val="21"/>
                      <w:szCs w:val="21"/>
                      <w:lang w:bidi="ar"/>
                    </w:rPr>
                    <w:t>/</w:t>
                  </w:r>
                </w:p>
              </w:tc>
            </w:tr>
            <w:tr w14:paraId="4306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D16960">
                  <w:pPr>
                    <w:rPr>
                      <w:sz w:val="20"/>
                      <w:szCs w:val="20"/>
                    </w:rPr>
                  </w:pPr>
                </w:p>
              </w:tc>
              <w:tc>
                <w:tcPr>
                  <w:tcW w:w="8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C4818C">
                  <w:pPr>
                    <w:rPr>
                      <w:sz w:val="20"/>
                      <w:szCs w:val="20"/>
                    </w:rPr>
                  </w:pPr>
                </w:p>
              </w:tc>
              <w:tc>
                <w:tcPr>
                  <w:tcW w:w="4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D033CF">
                  <w:pPr>
                    <w:rPr>
                      <w:sz w:val="20"/>
                      <w:szCs w:val="20"/>
                    </w:rPr>
                  </w:pPr>
                </w:p>
              </w:tc>
              <w:tc>
                <w:tcPr>
                  <w:tcW w:w="3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DC9790">
                  <w:pPr>
                    <w:rPr>
                      <w:sz w:val="20"/>
                      <w:szCs w:val="20"/>
                    </w:rPr>
                  </w:pPr>
                </w:p>
              </w:tc>
              <w:tc>
                <w:tcPr>
                  <w:tcW w:w="4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9CFB99">
                  <w:pPr>
                    <w:rPr>
                      <w:sz w:val="20"/>
                      <w:szCs w:val="20"/>
                    </w:rPr>
                  </w:pPr>
                </w:p>
              </w:tc>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14:paraId="331ED089">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资源开发效率要求</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50D0E9FD">
                  <w:pPr>
                    <w:pStyle w:val="33"/>
                    <w:widowControl w:val="0"/>
                    <w:spacing w:line="240" w:lineRule="auto"/>
                    <w:jc w:val="left"/>
                    <w:rPr>
                      <w:rFonts w:ascii="Times New Roman" w:hAnsi="Times New Roman"/>
                      <w:b w:val="0"/>
                    </w:rPr>
                  </w:pPr>
                  <w:r>
                    <w:rPr>
                      <w:rFonts w:hint="eastAsia" w:ascii="Times New Roman" w:hAnsi="Times New Roman" w:eastAsia="宋体" w:cs="宋体"/>
                      <w:b w:val="0"/>
                      <w:sz w:val="21"/>
                      <w:szCs w:val="21"/>
                      <w:lang w:bidi="ar"/>
                    </w:rPr>
                    <w:t>全市行政区域内禁止销售、燃用高污染燃料，禁止新建、扩建燃用高污染燃料的设施（不含集中供热、电厂锅炉燃煤以及工业企业原料煤）</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14:paraId="38FF51E5">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本项目不涉及</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14:paraId="56CEA05A">
                  <w:pPr>
                    <w:pStyle w:val="33"/>
                    <w:widowControl w:val="0"/>
                    <w:spacing w:line="240" w:lineRule="auto"/>
                    <w:rPr>
                      <w:rFonts w:ascii="Times New Roman" w:hAnsi="Times New Roman"/>
                      <w:b w:val="0"/>
                    </w:rPr>
                  </w:pPr>
                  <w:r>
                    <w:rPr>
                      <w:rFonts w:hint="eastAsia" w:ascii="Times New Roman" w:hAnsi="Times New Roman" w:eastAsia="宋体" w:cs="宋体"/>
                      <w:b w:val="0"/>
                      <w:sz w:val="21"/>
                      <w:szCs w:val="21"/>
                      <w:lang w:bidi="ar"/>
                    </w:rPr>
                    <w:t>相符</w:t>
                  </w:r>
                </w:p>
              </w:tc>
            </w:tr>
          </w:tbl>
          <w:p w14:paraId="3FF2FEBB">
            <w:pPr>
              <w:spacing w:line="360" w:lineRule="auto"/>
              <w:ind w:firstLine="482" w:firstLineChars="200"/>
              <w:rPr>
                <w:b/>
                <w:sz w:val="24"/>
                <w:u w:val="single"/>
              </w:rPr>
            </w:pPr>
            <w:r>
              <w:rPr>
                <w:rFonts w:hint="eastAsia"/>
                <w:b/>
                <w:sz w:val="24"/>
                <w:u w:val="single"/>
              </w:rPr>
              <w:t>4、与濮阳市生态环境保护委员会办公室关于印发《濮阳市2025年蓝天保卫战实施方案》《濮阳市2025年碧水保卫战实施方案》《濮阳市2025年净土保卫战实施方案》《濮阳市2025年柴油货车污染治理攻坚战实施方案》的通知（濮环委办〔2025〕1号）相符性分析</w:t>
            </w:r>
          </w:p>
          <w:p w14:paraId="6A42379B">
            <w:pPr>
              <w:pStyle w:val="137"/>
              <w:numPr>
                <w:ilvl w:val="0"/>
                <w:numId w:val="3"/>
              </w:numPr>
              <w:autoSpaceDE w:val="0"/>
              <w:autoSpaceDN w:val="0"/>
              <w:adjustRightInd w:val="0"/>
              <w:snapToGrid w:val="0"/>
              <w:spacing w:line="360" w:lineRule="auto"/>
              <w:ind w:firstLineChars="0"/>
              <w:jc w:val="center"/>
              <w:rPr>
                <w:b/>
                <w:bCs/>
                <w:szCs w:val="21"/>
                <w:u w:val="single"/>
              </w:rPr>
            </w:pPr>
            <w:r>
              <w:rPr>
                <w:b/>
                <w:bCs/>
                <w:szCs w:val="21"/>
                <w:u w:val="single"/>
              </w:rPr>
              <w:t>与</w:t>
            </w:r>
            <w:r>
              <w:rPr>
                <w:rFonts w:hint="eastAsia"/>
                <w:b/>
                <w:bCs/>
                <w:szCs w:val="21"/>
                <w:u w:val="single"/>
              </w:rPr>
              <w:t>濮环委办〔2025〕1号文件</w:t>
            </w:r>
            <w:r>
              <w:rPr>
                <w:b/>
                <w:bCs/>
                <w:szCs w:val="21"/>
                <w:u w:val="single"/>
              </w:rPr>
              <w:t>相符性分析</w:t>
            </w:r>
          </w:p>
          <w:tbl>
            <w:tblPr>
              <w:tblStyle w:val="39"/>
              <w:tblW w:w="716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0"/>
              <w:gridCol w:w="3686"/>
              <w:gridCol w:w="2126"/>
              <w:gridCol w:w="643"/>
            </w:tblGrid>
            <w:tr w14:paraId="4D3C3D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710" w:type="dxa"/>
                  <w:vAlign w:val="center"/>
                </w:tcPr>
                <w:p w14:paraId="7FCB54D9">
                  <w:pPr>
                    <w:widowControl/>
                    <w:jc w:val="center"/>
                    <w:rPr>
                      <w:b/>
                      <w:szCs w:val="21"/>
                      <w:u w:val="single"/>
                    </w:rPr>
                  </w:pPr>
                  <w:r>
                    <w:rPr>
                      <w:b/>
                      <w:szCs w:val="21"/>
                      <w:u w:val="single"/>
                    </w:rPr>
                    <w:t>项目</w:t>
                  </w:r>
                </w:p>
              </w:tc>
              <w:tc>
                <w:tcPr>
                  <w:tcW w:w="3686" w:type="dxa"/>
                  <w:vAlign w:val="center"/>
                </w:tcPr>
                <w:p w14:paraId="4D627068">
                  <w:pPr>
                    <w:widowControl/>
                    <w:jc w:val="center"/>
                    <w:rPr>
                      <w:b/>
                      <w:szCs w:val="21"/>
                      <w:u w:val="single"/>
                    </w:rPr>
                  </w:pPr>
                  <w:r>
                    <w:rPr>
                      <w:rFonts w:hint="eastAsia"/>
                      <w:b/>
                      <w:szCs w:val="21"/>
                      <w:u w:val="single"/>
                    </w:rPr>
                    <w:t>相关</w:t>
                  </w:r>
                  <w:r>
                    <w:rPr>
                      <w:b/>
                      <w:szCs w:val="21"/>
                      <w:u w:val="single"/>
                    </w:rPr>
                    <w:t>要求</w:t>
                  </w:r>
                </w:p>
              </w:tc>
              <w:tc>
                <w:tcPr>
                  <w:tcW w:w="2126" w:type="dxa"/>
                  <w:vAlign w:val="center"/>
                </w:tcPr>
                <w:p w14:paraId="17D6548A">
                  <w:pPr>
                    <w:widowControl/>
                    <w:jc w:val="center"/>
                    <w:rPr>
                      <w:b/>
                      <w:szCs w:val="21"/>
                      <w:u w:val="single"/>
                    </w:rPr>
                  </w:pPr>
                  <w:r>
                    <w:rPr>
                      <w:b/>
                      <w:szCs w:val="21"/>
                      <w:u w:val="single"/>
                    </w:rPr>
                    <w:t>本项目情况</w:t>
                  </w:r>
                </w:p>
              </w:tc>
              <w:tc>
                <w:tcPr>
                  <w:tcW w:w="643" w:type="dxa"/>
                  <w:vAlign w:val="center"/>
                </w:tcPr>
                <w:p w14:paraId="17300EF7">
                  <w:pPr>
                    <w:widowControl/>
                    <w:jc w:val="center"/>
                    <w:rPr>
                      <w:b/>
                      <w:szCs w:val="21"/>
                      <w:u w:val="single"/>
                    </w:rPr>
                  </w:pPr>
                  <w:r>
                    <w:rPr>
                      <w:b/>
                      <w:szCs w:val="21"/>
                      <w:u w:val="single"/>
                    </w:rPr>
                    <w:t>相符性</w:t>
                  </w:r>
                </w:p>
              </w:tc>
            </w:tr>
            <w:tr w14:paraId="5D0EC7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58" w:hRule="atLeast"/>
                <w:jc w:val="center"/>
              </w:trPr>
              <w:tc>
                <w:tcPr>
                  <w:tcW w:w="710" w:type="dxa"/>
                  <w:vMerge w:val="restart"/>
                  <w:vAlign w:val="center"/>
                </w:tcPr>
                <w:p w14:paraId="42D92497">
                  <w:pPr>
                    <w:jc w:val="center"/>
                    <w:rPr>
                      <w:szCs w:val="21"/>
                      <w:u w:val="single"/>
                    </w:rPr>
                  </w:pPr>
                  <w:r>
                    <w:rPr>
                      <w:rFonts w:hint="eastAsia"/>
                      <w:szCs w:val="21"/>
                      <w:u w:val="single"/>
                    </w:rPr>
                    <w:t>濮阳市2025年蓝天保卫战实施方案</w:t>
                  </w:r>
                </w:p>
              </w:tc>
              <w:tc>
                <w:tcPr>
                  <w:tcW w:w="3686" w:type="dxa"/>
                  <w:vAlign w:val="center"/>
                </w:tcPr>
                <w:p w14:paraId="6639693D">
                  <w:pPr>
                    <w:rPr>
                      <w:u w:val="single"/>
                    </w:rPr>
                  </w:pPr>
                  <w:r>
                    <w:rPr>
                      <w:rFonts w:hint="eastAsia"/>
                      <w:b/>
                      <w:bCs/>
                      <w:iCs/>
                      <w:color w:val="000000"/>
                      <w:u w:val="single"/>
                    </w:rPr>
                    <w:t>1.</w:t>
                  </w:r>
                  <w:r>
                    <w:rPr>
                      <w:rFonts w:hint="eastAsia" w:ascii="宋体" w:hAnsi="宋体"/>
                      <w:b/>
                      <w:bCs/>
                      <w:iCs/>
                      <w:color w:val="000000"/>
                      <w:u w:val="single"/>
                    </w:rPr>
                    <w:t>依法依规淘汰落后低效产能。</w:t>
                  </w:r>
                  <w:r>
                    <w:rPr>
                      <w:rFonts w:hint="eastAsia" w:ascii="宋体" w:hAnsi="宋体"/>
                      <w:bCs/>
                      <w:iCs/>
                      <w:color w:val="000000"/>
                      <w:u w:val="single"/>
                    </w:rPr>
                    <w:t>严格严格落实《产业结构调整指导目录</w:t>
                  </w:r>
                  <w:r>
                    <w:rPr>
                      <w:rFonts w:hint="eastAsia"/>
                      <w:bCs/>
                      <w:iCs/>
                      <w:color w:val="000000"/>
                      <w:u w:val="single"/>
                    </w:rPr>
                    <w:t>(2024</w:t>
                  </w:r>
                  <w:r>
                    <w:rPr>
                      <w:rFonts w:hint="eastAsia" w:ascii="宋体" w:hAnsi="宋体"/>
                      <w:bCs/>
                      <w:iCs/>
                      <w:color w:val="000000"/>
                      <w:u w:val="single"/>
                    </w:rPr>
                    <w:t>年本</w:t>
                  </w:r>
                  <w:r>
                    <w:rPr>
                      <w:rFonts w:hint="eastAsia"/>
                      <w:bCs/>
                      <w:iCs/>
                      <w:color w:val="000000"/>
                      <w:u w:val="single"/>
                    </w:rPr>
                    <w:t>)</w:t>
                  </w:r>
                  <w:r>
                    <w:rPr>
                      <w:rFonts w:hint="eastAsia" w:ascii="宋体" w:hAnsi="宋体"/>
                      <w:bCs/>
                      <w:iCs/>
                      <w:color w:val="000000"/>
                      <w:u w:val="single"/>
                    </w:rPr>
                    <w:t>》《河南省淘汰落后产能综合标准体系</w:t>
                  </w:r>
                  <w:r>
                    <w:rPr>
                      <w:rFonts w:hint="eastAsia"/>
                      <w:bCs/>
                      <w:iCs/>
                      <w:color w:val="000000"/>
                      <w:u w:val="single"/>
                    </w:rPr>
                    <w:t>(2023</w:t>
                  </w:r>
                  <w:r>
                    <w:rPr>
                      <w:rFonts w:hint="eastAsia" w:ascii="宋体" w:hAnsi="宋体"/>
                      <w:bCs/>
                      <w:iCs/>
                      <w:color w:val="000000"/>
                      <w:u w:val="single"/>
                    </w:rPr>
                    <w:t>年本</w:t>
                  </w:r>
                  <w:r>
                    <w:rPr>
                      <w:rFonts w:hint="eastAsia"/>
                      <w:bCs/>
                      <w:iCs/>
                      <w:color w:val="000000"/>
                      <w:u w:val="single"/>
                    </w:rPr>
                    <w:t>)</w:t>
                  </w:r>
                  <w:r>
                    <w:rPr>
                      <w:rFonts w:hint="eastAsia" w:ascii="宋体" w:hAnsi="宋体"/>
                      <w:bCs/>
                      <w:iCs/>
                      <w:color w:val="000000"/>
                      <w:u w:val="single"/>
                    </w:rPr>
                    <w:t>》《国家污染防治技术指导目录</w:t>
                  </w:r>
                  <w:r>
                    <w:rPr>
                      <w:rFonts w:hint="eastAsia"/>
                      <w:bCs/>
                      <w:iCs/>
                      <w:color w:val="000000"/>
                      <w:u w:val="single"/>
                    </w:rPr>
                    <w:t>(2024</w:t>
                  </w:r>
                  <w:r>
                    <w:rPr>
                      <w:rFonts w:hint="eastAsia" w:ascii="宋体" w:hAnsi="宋体"/>
                      <w:bCs/>
                      <w:iCs/>
                      <w:color w:val="000000"/>
                      <w:u w:val="single"/>
                    </w:rPr>
                    <w:t>年，限制类和淘汰类</w:t>
                  </w:r>
                  <w:r>
                    <w:rPr>
                      <w:rFonts w:hint="eastAsia"/>
                      <w:bCs/>
                      <w:iCs/>
                      <w:color w:val="000000"/>
                      <w:u w:val="single"/>
                    </w:rPr>
                    <w:t>)</w:t>
                  </w:r>
                  <w:r>
                    <w:rPr>
                      <w:rFonts w:hint="eastAsia" w:ascii="宋体" w:hAnsi="宋体"/>
                      <w:bCs/>
                      <w:iCs/>
                      <w:color w:val="000000"/>
                      <w:u w:val="single"/>
                    </w:rPr>
                    <w:t>》要求，加快落后生产工艺装备和过剩产能淘汰退出，列入</w:t>
                  </w:r>
                  <w:r>
                    <w:rPr>
                      <w:rFonts w:hint="eastAsia"/>
                      <w:bCs/>
                      <w:iCs/>
                      <w:color w:val="000000"/>
                      <w:u w:val="single"/>
                    </w:rPr>
                    <w:t>2025</w:t>
                  </w:r>
                  <w:r>
                    <w:rPr>
                      <w:rFonts w:hint="eastAsia" w:ascii="宋体" w:hAnsi="宋体"/>
                      <w:bCs/>
                      <w:iCs/>
                      <w:color w:val="000000"/>
                      <w:u w:val="single"/>
                    </w:rPr>
                    <w:t>年去产能计划的生产设施</w:t>
                  </w:r>
                  <w:r>
                    <w:rPr>
                      <w:rFonts w:hint="eastAsia"/>
                      <w:bCs/>
                      <w:iCs/>
                      <w:color w:val="000000"/>
                      <w:u w:val="single"/>
                    </w:rPr>
                    <w:t>9</w:t>
                  </w:r>
                  <w:r>
                    <w:rPr>
                      <w:rFonts w:hint="eastAsia" w:ascii="宋体" w:hAnsi="宋体"/>
                      <w:bCs/>
                      <w:iCs/>
                      <w:color w:val="000000"/>
                      <w:u w:val="single"/>
                    </w:rPr>
                    <w:t>月底前停止排污。全市严禁新改扩建烧结砖瓦项目，有序退出</w:t>
                  </w:r>
                  <w:r>
                    <w:rPr>
                      <w:rFonts w:hint="eastAsia"/>
                      <w:bCs/>
                      <w:iCs/>
                      <w:color w:val="000000"/>
                      <w:u w:val="single"/>
                    </w:rPr>
                    <w:t>6000</w:t>
                  </w:r>
                  <w:r>
                    <w:rPr>
                      <w:rFonts w:hint="eastAsia" w:ascii="宋体" w:hAnsi="宋体"/>
                      <w:bCs/>
                      <w:iCs/>
                      <w:color w:val="000000"/>
                      <w:u w:val="single"/>
                    </w:rPr>
                    <w:t>万标砖</w:t>
                  </w:r>
                  <w:r>
                    <w:rPr>
                      <w:rFonts w:hint="eastAsia"/>
                      <w:bCs/>
                      <w:iCs/>
                      <w:color w:val="000000"/>
                      <w:u w:val="single"/>
                    </w:rPr>
                    <w:t>/</w:t>
                  </w:r>
                  <w:r>
                    <w:rPr>
                      <w:rFonts w:hint="eastAsia" w:ascii="宋体" w:hAnsi="宋体"/>
                      <w:bCs/>
                      <w:iCs/>
                      <w:color w:val="000000"/>
                      <w:u w:val="single"/>
                    </w:rPr>
                    <w:t>年以下和城市规划区内的烧结砖及烧结空心砌块生产线，</w:t>
                  </w:r>
                  <w:r>
                    <w:rPr>
                      <w:rFonts w:hint="eastAsia"/>
                      <w:bCs/>
                      <w:iCs/>
                      <w:color w:val="000000"/>
                      <w:u w:val="single"/>
                    </w:rPr>
                    <w:t>2025</w:t>
                  </w:r>
                  <w:r>
                    <w:rPr>
                      <w:rFonts w:hint="eastAsia" w:ascii="宋体" w:hAnsi="宋体"/>
                      <w:bCs/>
                      <w:iCs/>
                      <w:color w:val="000000"/>
                      <w:u w:val="single"/>
                    </w:rPr>
                    <w:t>年</w:t>
                  </w:r>
                  <w:r>
                    <w:rPr>
                      <w:rFonts w:hint="eastAsia"/>
                      <w:bCs/>
                      <w:iCs/>
                      <w:color w:val="000000"/>
                      <w:u w:val="single"/>
                    </w:rPr>
                    <w:t>4</w:t>
                  </w:r>
                  <w:r>
                    <w:rPr>
                      <w:rFonts w:hint="eastAsia" w:ascii="宋体" w:hAnsi="宋体"/>
                      <w:bCs/>
                      <w:iCs/>
                      <w:color w:val="000000"/>
                      <w:u w:val="single"/>
                    </w:rPr>
                    <w:t>月组织开展烧结砖瓦行业专项整治“回头看”，原则上对达不到</w:t>
                  </w:r>
                  <w:r>
                    <w:rPr>
                      <w:rFonts w:hint="eastAsia"/>
                      <w:bCs/>
                      <w:iCs/>
                      <w:color w:val="000000"/>
                      <w:u w:val="single"/>
                    </w:rPr>
                    <w:t>B</w:t>
                  </w:r>
                  <w:r>
                    <w:rPr>
                      <w:rFonts w:hint="eastAsia" w:ascii="宋体" w:hAnsi="宋体"/>
                      <w:bCs/>
                      <w:iCs/>
                      <w:color w:val="000000"/>
                      <w:u w:val="single"/>
                    </w:rPr>
                    <w:t>级及以上绩效水平的烧结砖瓦企业实施停产整治</w:t>
                  </w:r>
                  <w:r>
                    <w:rPr>
                      <w:rFonts w:hint="eastAsia"/>
                      <w:bCs/>
                      <w:iCs/>
                      <w:color w:val="000000"/>
                      <w:u w:val="single"/>
                    </w:rPr>
                    <w:t>；</w:t>
                  </w:r>
                  <w:r>
                    <w:rPr>
                      <w:rFonts w:hint="eastAsia" w:ascii="宋体" w:hAnsi="宋体"/>
                      <w:bCs/>
                      <w:iCs/>
                      <w:color w:val="000000"/>
                      <w:u w:val="single"/>
                    </w:rPr>
                    <w:t>持续推动生物质小锅炉关停整合。</w:t>
                  </w:r>
                  <w:r>
                    <w:rPr>
                      <w:rFonts w:hint="eastAsia"/>
                      <w:bCs/>
                      <w:iCs/>
                      <w:color w:val="000000"/>
                      <w:u w:val="single"/>
                    </w:rPr>
                    <w:t>2025</w:t>
                  </w:r>
                  <w:r>
                    <w:rPr>
                      <w:rFonts w:hint="eastAsia" w:ascii="宋体" w:hAnsi="宋体"/>
                      <w:bCs/>
                      <w:iCs/>
                      <w:color w:val="000000"/>
                      <w:u w:val="single"/>
                    </w:rPr>
                    <w:t>年</w:t>
                  </w:r>
                  <w:r>
                    <w:rPr>
                      <w:rFonts w:hint="eastAsia"/>
                      <w:bCs/>
                      <w:iCs/>
                      <w:color w:val="000000"/>
                      <w:u w:val="single"/>
                    </w:rPr>
                    <w:t>4</w:t>
                  </w:r>
                  <w:r>
                    <w:rPr>
                      <w:rFonts w:hint="eastAsia" w:ascii="宋体" w:hAnsi="宋体"/>
                      <w:bCs/>
                      <w:iCs/>
                      <w:color w:val="000000"/>
                      <w:u w:val="single"/>
                    </w:rPr>
                    <w:t>月底前制定年度落后产能淘汰退出工作方案，排查建立淘汰退出任务台账。</w:t>
                  </w:r>
                  <w:r>
                    <w:rPr>
                      <w:rFonts w:hint="eastAsia"/>
                      <w:bCs/>
                      <w:iCs/>
                      <w:color w:val="000000"/>
                      <w:u w:val="single"/>
                    </w:rPr>
                    <w:t>2025</w:t>
                  </w:r>
                  <w:r>
                    <w:rPr>
                      <w:rFonts w:hint="eastAsia" w:ascii="宋体" w:hAnsi="宋体"/>
                      <w:bCs/>
                      <w:iCs/>
                      <w:color w:val="000000"/>
                      <w:u w:val="single"/>
                    </w:rPr>
                    <w:t>年</w:t>
                  </w:r>
                  <w:r>
                    <w:rPr>
                      <w:rFonts w:hint="eastAsia"/>
                      <w:bCs/>
                      <w:iCs/>
                      <w:color w:val="000000"/>
                      <w:u w:val="single"/>
                    </w:rPr>
                    <w:t>9</w:t>
                  </w:r>
                  <w:r>
                    <w:rPr>
                      <w:rFonts w:hint="eastAsia" w:ascii="宋体" w:hAnsi="宋体"/>
                      <w:bCs/>
                      <w:iCs/>
                      <w:color w:val="000000"/>
                      <w:u w:val="single"/>
                    </w:rPr>
                    <w:t>月底前整合淘汰现有</w:t>
                  </w:r>
                  <w:r>
                    <w:rPr>
                      <w:rFonts w:hint="eastAsia"/>
                      <w:bCs/>
                      <w:iCs/>
                      <w:color w:val="000000"/>
                      <w:u w:val="single"/>
                    </w:rPr>
                    <w:t>5</w:t>
                  </w:r>
                  <w:r>
                    <w:rPr>
                      <w:rFonts w:hint="eastAsia" w:ascii="宋体" w:hAnsi="宋体"/>
                      <w:bCs/>
                      <w:iCs/>
                      <w:color w:val="000000"/>
                      <w:u w:val="single"/>
                    </w:rPr>
                    <w:t>台</w:t>
                  </w:r>
                  <w:r>
                    <w:rPr>
                      <w:rFonts w:hint="eastAsia"/>
                      <w:bCs/>
                      <w:iCs/>
                      <w:color w:val="000000"/>
                      <w:u w:val="single"/>
                    </w:rPr>
                    <w:t>2</w:t>
                  </w:r>
                  <w:r>
                    <w:rPr>
                      <w:rFonts w:hint="eastAsia" w:ascii="宋体" w:hAnsi="宋体"/>
                      <w:bCs/>
                      <w:iCs/>
                      <w:color w:val="000000"/>
                      <w:u w:val="single"/>
                    </w:rPr>
                    <w:t>蒸吨及以下生物质锅炉。</w:t>
                  </w:r>
                </w:p>
              </w:tc>
              <w:tc>
                <w:tcPr>
                  <w:tcW w:w="2126" w:type="dxa"/>
                  <w:vAlign w:val="center"/>
                </w:tcPr>
                <w:p w14:paraId="1111DE57">
                  <w:pPr>
                    <w:widowControl/>
                    <w:jc w:val="center"/>
                    <w:rPr>
                      <w:bCs/>
                      <w:u w:val="single"/>
                    </w:rPr>
                  </w:pPr>
                  <w:r>
                    <w:rPr>
                      <w:rFonts w:hint="eastAsia"/>
                      <w:bCs/>
                      <w:u w:val="single"/>
                    </w:rPr>
                    <w:t>根据《产业结构调整指导目录（2024年本）》，本项目不属于目录中鼓励类及淘汰类项目，属于允许类，符合国家产业政策，且项目已在清丰县先进制造业开发区备案，项目代码：2504-410922-04-01-185679</w:t>
                  </w:r>
                </w:p>
              </w:tc>
              <w:tc>
                <w:tcPr>
                  <w:tcW w:w="643" w:type="dxa"/>
                  <w:vAlign w:val="center"/>
                </w:tcPr>
                <w:p w14:paraId="66A975C8">
                  <w:pPr>
                    <w:widowControl/>
                    <w:jc w:val="center"/>
                    <w:rPr>
                      <w:szCs w:val="21"/>
                      <w:u w:val="single"/>
                    </w:rPr>
                  </w:pPr>
                  <w:r>
                    <w:rPr>
                      <w:rFonts w:hint="eastAsia"/>
                      <w:szCs w:val="21"/>
                      <w:u w:val="single"/>
                    </w:rPr>
                    <w:t>符合</w:t>
                  </w:r>
                </w:p>
              </w:tc>
            </w:tr>
            <w:tr w14:paraId="6A7F5D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58" w:hRule="atLeast"/>
                <w:jc w:val="center"/>
              </w:trPr>
              <w:tc>
                <w:tcPr>
                  <w:tcW w:w="710" w:type="dxa"/>
                  <w:vMerge w:val="continue"/>
                  <w:vAlign w:val="center"/>
                </w:tcPr>
                <w:p w14:paraId="147BBE24">
                  <w:pPr>
                    <w:jc w:val="center"/>
                    <w:rPr>
                      <w:szCs w:val="21"/>
                      <w:u w:val="single"/>
                    </w:rPr>
                  </w:pPr>
                </w:p>
              </w:tc>
              <w:tc>
                <w:tcPr>
                  <w:tcW w:w="3686" w:type="dxa"/>
                  <w:vAlign w:val="center"/>
                </w:tcPr>
                <w:p w14:paraId="7151E83C">
                  <w:pPr>
                    <w:rPr>
                      <w:bCs/>
                      <w:iCs/>
                      <w:color w:val="000000"/>
                      <w:u w:val="single"/>
                    </w:rPr>
                  </w:pPr>
                  <w:r>
                    <w:rPr>
                      <w:rFonts w:hint="eastAsia"/>
                      <w:b/>
                      <w:bCs/>
                      <w:iCs/>
                      <w:color w:val="000000"/>
                      <w:u w:val="single"/>
                    </w:rPr>
                    <w:t>2.推进产业集群综合整治。</w:t>
                  </w:r>
                  <w:r>
                    <w:rPr>
                      <w:rFonts w:hint="eastAsia"/>
                      <w:bCs/>
                      <w:iCs/>
                      <w:color w:val="000000"/>
                      <w:u w:val="single"/>
                    </w:rPr>
                    <w:t>加快推动台前县橡胶制品制造集群综合整治，2025年底前完成23家橡胶制品企业升级改造，从生产工艺、产品质量、产能规模、能耗水平、燃料类型、原辅材料替代、污染治理和区域环境综合整治等方面提升集群绿色发展水平。支持各县(区)因地制宜谋划实施集中供热中心、集中喷涂中心、有机溶剂集中回收处置中心、活性炭集中再生中心等“绿岛”项目。</w:t>
                  </w:r>
                </w:p>
              </w:tc>
              <w:tc>
                <w:tcPr>
                  <w:tcW w:w="2126" w:type="dxa"/>
                  <w:vAlign w:val="center"/>
                </w:tcPr>
                <w:p w14:paraId="1046FD9A">
                  <w:pPr>
                    <w:widowControl/>
                    <w:jc w:val="center"/>
                    <w:rPr>
                      <w:bCs/>
                      <w:u w:val="single"/>
                    </w:rPr>
                  </w:pPr>
                  <w:r>
                    <w:rPr>
                      <w:rFonts w:hint="eastAsia"/>
                      <w:bCs/>
                      <w:u w:val="single"/>
                    </w:rPr>
                    <w:t>本项目为C3042特种玻璃制造，位于清丰县先进制造业开发区，不设锅炉，生产能源为电能，中空工序有机废气经收集后进入活性炭吸附-脱附+催化燃烧装置处理达标后由15m高排气筒排放</w:t>
                  </w:r>
                </w:p>
              </w:tc>
              <w:tc>
                <w:tcPr>
                  <w:tcW w:w="643" w:type="dxa"/>
                  <w:vAlign w:val="center"/>
                </w:tcPr>
                <w:p w14:paraId="4CF6D5F8">
                  <w:pPr>
                    <w:widowControl/>
                    <w:jc w:val="center"/>
                    <w:rPr>
                      <w:szCs w:val="21"/>
                      <w:u w:val="single"/>
                    </w:rPr>
                  </w:pPr>
                  <w:r>
                    <w:rPr>
                      <w:rFonts w:hint="eastAsia"/>
                      <w:szCs w:val="21"/>
                      <w:u w:val="single"/>
                    </w:rPr>
                    <w:t>符合</w:t>
                  </w:r>
                </w:p>
              </w:tc>
            </w:tr>
            <w:tr w14:paraId="6F1179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10" w:type="dxa"/>
                  <w:vMerge w:val="continue"/>
                  <w:vAlign w:val="center"/>
                </w:tcPr>
                <w:p w14:paraId="4A5FD1FA">
                  <w:pPr>
                    <w:widowControl/>
                    <w:jc w:val="center"/>
                    <w:rPr>
                      <w:szCs w:val="21"/>
                      <w:u w:val="single"/>
                    </w:rPr>
                  </w:pPr>
                </w:p>
              </w:tc>
              <w:tc>
                <w:tcPr>
                  <w:tcW w:w="3686" w:type="dxa"/>
                  <w:vAlign w:val="center"/>
                </w:tcPr>
                <w:p w14:paraId="49E48E20">
                  <w:pPr>
                    <w:widowControl/>
                    <w:rPr>
                      <w:szCs w:val="21"/>
                      <w:highlight w:val="yellow"/>
                      <w:u w:val="single"/>
                    </w:rPr>
                  </w:pPr>
                  <w:r>
                    <w:rPr>
                      <w:rFonts w:hint="eastAsia"/>
                      <w:b/>
                      <w:szCs w:val="21"/>
                      <w:u w:val="single"/>
                    </w:rPr>
                    <w:t>6.深入开展低效失效治理设施排查整治。</w:t>
                  </w:r>
                  <w:r>
                    <w:rPr>
                      <w:rFonts w:hint="eastAsia"/>
                      <w:szCs w:val="21"/>
                      <w:u w:val="single"/>
                    </w:rPr>
                    <w:t>对照《低效失效大气污染治理设施排查整治技术要点》，持续开展低效失效大气污染治理设施排查，淘汰不成熟、不适用、无法稳定达标排放的治理工艺，整治关键组件缺失、质量低劣、自动化水平低的治理设施，纳入年度重点治理任务限期完成提升改造。结合低效失效大气污染治理设施排查情况，动态管理整治问题清单，2025年10月底前至少完成49个低效失效治理问题整治工作；未按时完成提升改造的纳入秋冬季生产调控范围。</w:t>
                  </w:r>
                </w:p>
              </w:tc>
              <w:tc>
                <w:tcPr>
                  <w:tcW w:w="2126" w:type="dxa"/>
                  <w:vAlign w:val="center"/>
                </w:tcPr>
                <w:p w14:paraId="5625F4BB">
                  <w:pPr>
                    <w:widowControl/>
                    <w:jc w:val="center"/>
                    <w:rPr>
                      <w:u w:val="single"/>
                    </w:rPr>
                  </w:pPr>
                  <w:r>
                    <w:rPr>
                      <w:rFonts w:hint="eastAsia"/>
                      <w:bCs/>
                      <w:u w:val="single"/>
                    </w:rPr>
                    <w:t>本项目营运期废气主要为中空工序有机废气，中空工序有机废气经收集后进入活性炭吸附-脱附+催化燃烧装置处理达标后由15m高排气筒排放；VOCs可以实现高效处理</w:t>
                  </w:r>
                </w:p>
              </w:tc>
              <w:tc>
                <w:tcPr>
                  <w:tcW w:w="643" w:type="dxa"/>
                  <w:vAlign w:val="center"/>
                </w:tcPr>
                <w:p w14:paraId="7F8422CD">
                  <w:pPr>
                    <w:widowControl/>
                    <w:jc w:val="center"/>
                    <w:rPr>
                      <w:szCs w:val="21"/>
                      <w:u w:val="single"/>
                    </w:rPr>
                  </w:pPr>
                  <w:r>
                    <w:rPr>
                      <w:rFonts w:hint="eastAsia"/>
                      <w:szCs w:val="21"/>
                      <w:u w:val="single"/>
                    </w:rPr>
                    <w:t>符合</w:t>
                  </w:r>
                </w:p>
              </w:tc>
            </w:tr>
            <w:tr w14:paraId="7F0911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0" w:hRule="atLeast"/>
                <w:jc w:val="center"/>
              </w:trPr>
              <w:tc>
                <w:tcPr>
                  <w:tcW w:w="710" w:type="dxa"/>
                  <w:vMerge w:val="continue"/>
                  <w:vAlign w:val="center"/>
                </w:tcPr>
                <w:p w14:paraId="53DF9EA7">
                  <w:pPr>
                    <w:widowControl/>
                    <w:jc w:val="center"/>
                    <w:rPr>
                      <w:szCs w:val="21"/>
                      <w:u w:val="single"/>
                    </w:rPr>
                  </w:pPr>
                </w:p>
              </w:tc>
              <w:tc>
                <w:tcPr>
                  <w:tcW w:w="3686" w:type="dxa"/>
                  <w:vAlign w:val="center"/>
                </w:tcPr>
                <w:p w14:paraId="78E88924">
                  <w:pPr>
                    <w:widowControl/>
                    <w:rPr>
                      <w:b/>
                      <w:szCs w:val="21"/>
                      <w:u w:val="single"/>
                    </w:rPr>
                  </w:pPr>
                  <w:r>
                    <w:rPr>
                      <w:rFonts w:hint="eastAsia"/>
                      <w:b/>
                      <w:szCs w:val="21"/>
                      <w:u w:val="single"/>
                    </w:rPr>
                    <w:t>7.实施挥发性有机物综合治理。</w:t>
                  </w:r>
                  <w:r>
                    <w:rPr>
                      <w:rFonts w:hint="eastAsia"/>
                      <w:szCs w:val="21"/>
                      <w:u w:val="single"/>
                    </w:rPr>
                    <w:t>组织涉 VOCs 企业针对挥发性有机液体储罐、装卸、敞开液面、泄漏检测与修复 (LDAR)、废气收集、废气旁路、治理设施、加油站、非正常工况、产品VOCs 含量等10个关键环节开展VOCs治理突  出问题排查整治，在汽车、机械制造、家具、汽修、塑料软包装、印铁制罐、包装印刷等领域推广使用低(无) VOCs含量涂料和油墨，对完成源头替代的企业纳入“白名单”管理，在重污染天气预警期间实施自主减排。按照国家和省有关要求，夏季臭氧污染凸显前，组织开展一轮次活性炭更换，督促44家企业按规定开展VOCs泄漏检测与修复；督促濮阳惠众化工总厂、濮阳市新天化工有限公司2家企业完成  涉VOCs综合治理任务。</w:t>
                  </w:r>
                </w:p>
              </w:tc>
              <w:tc>
                <w:tcPr>
                  <w:tcW w:w="2126" w:type="dxa"/>
                  <w:vAlign w:val="center"/>
                </w:tcPr>
                <w:p w14:paraId="0C27B46E">
                  <w:pPr>
                    <w:widowControl/>
                    <w:jc w:val="center"/>
                    <w:rPr>
                      <w:bCs/>
                      <w:u w:val="single"/>
                    </w:rPr>
                  </w:pPr>
                  <w:r>
                    <w:rPr>
                      <w:rFonts w:hint="eastAsia"/>
                      <w:bCs/>
                      <w:u w:val="single"/>
                    </w:rPr>
                    <w:t>本项目使用的密封胶属于低VOCs胶粘剂；项目营运期废气主要为中空工序有机废气，有机废气经收集后进入活性炭吸附-脱附+催化燃烧装置处理达标后由15m高排气筒排放，不属于规范中的单一环保设备</w:t>
                  </w:r>
                </w:p>
              </w:tc>
              <w:tc>
                <w:tcPr>
                  <w:tcW w:w="643" w:type="dxa"/>
                  <w:vAlign w:val="center"/>
                </w:tcPr>
                <w:p w14:paraId="21EBA5EF">
                  <w:pPr>
                    <w:widowControl/>
                    <w:jc w:val="center"/>
                    <w:rPr>
                      <w:szCs w:val="21"/>
                      <w:u w:val="single"/>
                    </w:rPr>
                  </w:pPr>
                  <w:r>
                    <w:rPr>
                      <w:rFonts w:hint="eastAsia"/>
                      <w:szCs w:val="21"/>
                      <w:u w:val="single"/>
                    </w:rPr>
                    <w:t>符合</w:t>
                  </w:r>
                </w:p>
              </w:tc>
            </w:tr>
            <w:tr w14:paraId="1CFDE7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0" w:type="dxa"/>
                  <w:vMerge w:val="continue"/>
                  <w:vAlign w:val="center"/>
                </w:tcPr>
                <w:p w14:paraId="0039375F">
                  <w:pPr>
                    <w:widowControl/>
                    <w:jc w:val="center"/>
                    <w:rPr>
                      <w:szCs w:val="21"/>
                      <w:u w:val="single"/>
                    </w:rPr>
                  </w:pPr>
                </w:p>
              </w:tc>
              <w:tc>
                <w:tcPr>
                  <w:tcW w:w="3686" w:type="dxa"/>
                  <w:vAlign w:val="center"/>
                </w:tcPr>
                <w:p w14:paraId="1E5E47C9">
                  <w:pPr>
                    <w:widowControl/>
                    <w:rPr>
                      <w:szCs w:val="21"/>
                      <w:u w:val="single"/>
                    </w:rPr>
                  </w:pPr>
                  <w:r>
                    <w:rPr>
                      <w:rFonts w:hint="eastAsia"/>
                      <w:b/>
                      <w:szCs w:val="21"/>
                      <w:u w:val="single"/>
                    </w:rPr>
                    <w:t>12.深化扬尘污染综合治理。</w:t>
                  </w:r>
                  <w:r>
                    <w:rPr>
                      <w:rFonts w:hint="eastAsia"/>
                      <w:szCs w:val="21"/>
                      <w:u w:val="single"/>
                    </w:rPr>
                    <w:t>持续开展扬尘污染治理提 升行动，以城市建成区及周边房屋建筑、市政、交通、水 利、拆除等工程为重点，突出大风沙尘天气、重污染天气等重点时段防控，切实做好土石方开挖、回填等施工作业期间 全时段湿法作业，强化各项扬尘防治措施落实；加大城区主次干道、背街小巷保洁力度，严格渣土运输车辆规范化管 理，鼓励引导施工工地使用新能源渣土车、商砼车运输，依法查处渣土车密闭不严、带泥上路、沿途遗撒、随意倾倒等 违法违规行为。加强重点建设工程达标管理，实施分包帮扶，对土石方作业实施驻场监管。配合全省扬尘污染防治智慧化监控平台建设，完成市级平台与省级平台的互联互通和数据上报。</w:t>
                  </w:r>
                </w:p>
              </w:tc>
              <w:tc>
                <w:tcPr>
                  <w:tcW w:w="2126" w:type="dxa"/>
                  <w:vAlign w:val="center"/>
                </w:tcPr>
                <w:p w14:paraId="2170AF1C">
                  <w:pPr>
                    <w:widowControl/>
                    <w:jc w:val="center"/>
                    <w:rPr>
                      <w:u w:val="single"/>
                    </w:rPr>
                  </w:pPr>
                  <w:r>
                    <w:rPr>
                      <w:rFonts w:hint="eastAsia"/>
                      <w:u w:val="single"/>
                    </w:rPr>
                    <w:t>本项目租用现有厂房，仅进行设备安装，不进行建筑施工</w:t>
                  </w:r>
                </w:p>
              </w:tc>
              <w:tc>
                <w:tcPr>
                  <w:tcW w:w="643" w:type="dxa"/>
                  <w:vAlign w:val="center"/>
                </w:tcPr>
                <w:p w14:paraId="66D281A9">
                  <w:pPr>
                    <w:widowControl/>
                    <w:jc w:val="center"/>
                    <w:rPr>
                      <w:szCs w:val="21"/>
                      <w:u w:val="single"/>
                    </w:rPr>
                  </w:pPr>
                  <w:r>
                    <w:rPr>
                      <w:rFonts w:hint="eastAsia"/>
                      <w:szCs w:val="21"/>
                      <w:u w:val="single"/>
                    </w:rPr>
                    <w:t>符合</w:t>
                  </w:r>
                </w:p>
              </w:tc>
            </w:tr>
            <w:tr w14:paraId="285012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0" w:type="dxa"/>
                  <w:vMerge w:val="continue"/>
                  <w:vAlign w:val="center"/>
                </w:tcPr>
                <w:p w14:paraId="0F8F11D0">
                  <w:pPr>
                    <w:widowControl/>
                    <w:jc w:val="center"/>
                    <w:rPr>
                      <w:szCs w:val="21"/>
                      <w:u w:val="single"/>
                    </w:rPr>
                  </w:pPr>
                </w:p>
              </w:tc>
              <w:tc>
                <w:tcPr>
                  <w:tcW w:w="3686" w:type="dxa"/>
                  <w:vAlign w:val="center"/>
                </w:tcPr>
                <w:p w14:paraId="4562E035">
                  <w:pPr>
                    <w:widowControl/>
                    <w:rPr>
                      <w:szCs w:val="21"/>
                      <w:u w:val="single"/>
                    </w:rPr>
                  </w:pPr>
                  <w:r>
                    <w:rPr>
                      <w:rFonts w:hint="eastAsia"/>
                      <w:b/>
                      <w:szCs w:val="21"/>
                      <w:u w:val="single"/>
                    </w:rPr>
                    <w:t>17.有效应对重污染天气。</w:t>
                  </w:r>
                  <w:r>
                    <w:rPr>
                      <w:rFonts w:hint="eastAsia"/>
                      <w:szCs w:val="21"/>
                      <w:u w:val="single"/>
                    </w:rPr>
                    <w:t>完善重污染天气预警响应机制，建立应急减排清单与排污许可等数据对接机制，规范重 污染天气应急减排清单管理，科学合理、精准高效制定应急减排清单，推动实现涉气企业全覆盖。强化区域联合应对， 综合运用卫星遥感、热点网格、用电监控、自动监测、门禁系统等科技手段，建立健全快速响应、排查、整改、反馈的闭环管理机制，及时清除高值热点，全面提升臭氧污染及重污染天气应对管控成效。</w:t>
                  </w:r>
                </w:p>
              </w:tc>
              <w:tc>
                <w:tcPr>
                  <w:tcW w:w="2126" w:type="dxa"/>
                  <w:vAlign w:val="center"/>
                </w:tcPr>
                <w:p w14:paraId="159FF7E6">
                  <w:pPr>
                    <w:widowControl/>
                    <w:jc w:val="center"/>
                    <w:rPr>
                      <w:u w:val="single"/>
                    </w:rPr>
                  </w:pPr>
                  <w:r>
                    <w:rPr>
                      <w:rFonts w:hint="eastAsia"/>
                      <w:u w:val="single"/>
                    </w:rPr>
                    <w:t>评价建议项目建成后建立重污染天气预警响应机制</w:t>
                  </w:r>
                </w:p>
              </w:tc>
              <w:tc>
                <w:tcPr>
                  <w:tcW w:w="643" w:type="dxa"/>
                  <w:vAlign w:val="center"/>
                </w:tcPr>
                <w:p w14:paraId="1E343B3F">
                  <w:pPr>
                    <w:widowControl/>
                    <w:jc w:val="center"/>
                    <w:rPr>
                      <w:szCs w:val="21"/>
                      <w:u w:val="single"/>
                    </w:rPr>
                  </w:pPr>
                  <w:r>
                    <w:rPr>
                      <w:rFonts w:hint="eastAsia"/>
                      <w:szCs w:val="21"/>
                      <w:u w:val="single"/>
                    </w:rPr>
                    <w:t>符合</w:t>
                  </w:r>
                </w:p>
              </w:tc>
            </w:tr>
            <w:tr w14:paraId="24DB68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0" w:type="dxa"/>
                  <w:vMerge w:val="continue"/>
                  <w:vAlign w:val="center"/>
                </w:tcPr>
                <w:p w14:paraId="56196F74">
                  <w:pPr>
                    <w:widowControl/>
                    <w:jc w:val="center"/>
                    <w:rPr>
                      <w:szCs w:val="21"/>
                      <w:u w:val="single"/>
                    </w:rPr>
                  </w:pPr>
                </w:p>
              </w:tc>
              <w:tc>
                <w:tcPr>
                  <w:tcW w:w="3686" w:type="dxa"/>
                  <w:vAlign w:val="center"/>
                </w:tcPr>
                <w:p w14:paraId="40E35B55">
                  <w:pPr>
                    <w:widowControl/>
                    <w:rPr>
                      <w:b/>
                      <w:szCs w:val="21"/>
                      <w:u w:val="single"/>
                    </w:rPr>
                  </w:pPr>
                  <w:r>
                    <w:rPr>
                      <w:rFonts w:hint="eastAsia"/>
                      <w:b/>
                      <w:szCs w:val="21"/>
                      <w:u w:val="single"/>
                    </w:rPr>
                    <w:t>18.强化应急减排措施落实。</w:t>
                  </w:r>
                  <w:r>
                    <w:rPr>
                      <w:rFonts w:hint="eastAsia"/>
                      <w:szCs w:val="21"/>
                      <w:u w:val="single"/>
                    </w:rPr>
                    <w:t>精准实施重污染天气重点行业企业差异化管控，持续开展水泥、砖瓦窑、砂石骨料等行业错峰生产调控，制定长时间、大范围、重污染天气协商减排措施，引导企业合理制定生产计划，加强生产物资储备，优化重点行业高排放车辆运输调控，有效降低秋冬季区域大气污染物排放强度。加强区域联动和监督帮扶，压实应急减排责任，精准识别环境违法问题线索，夯实减排措施落实。各县(区)结合产业结构特点、污染排放情况，对短时间难以停产的行业实施差异化轮流停产减排，可提高限制类或绩效等级低的企业生产调控比例。</w:t>
                  </w:r>
                </w:p>
              </w:tc>
              <w:tc>
                <w:tcPr>
                  <w:tcW w:w="2126" w:type="dxa"/>
                  <w:vAlign w:val="center"/>
                </w:tcPr>
                <w:p w14:paraId="4A09EDF8">
                  <w:pPr>
                    <w:widowControl/>
                    <w:jc w:val="center"/>
                    <w:rPr>
                      <w:u w:val="single"/>
                    </w:rPr>
                  </w:pPr>
                  <w:r>
                    <w:rPr>
                      <w:rFonts w:hint="eastAsia"/>
                      <w:u w:val="single"/>
                    </w:rPr>
                    <w:t>项目目前为环评阶段，后期营运过程中严格按照绩效分级要求进行建设运行</w:t>
                  </w:r>
                </w:p>
              </w:tc>
              <w:tc>
                <w:tcPr>
                  <w:tcW w:w="643" w:type="dxa"/>
                  <w:vAlign w:val="center"/>
                </w:tcPr>
                <w:p w14:paraId="5411255F">
                  <w:pPr>
                    <w:widowControl/>
                    <w:jc w:val="center"/>
                    <w:rPr>
                      <w:szCs w:val="21"/>
                      <w:u w:val="single"/>
                    </w:rPr>
                  </w:pPr>
                  <w:r>
                    <w:rPr>
                      <w:rFonts w:hint="eastAsia"/>
                      <w:szCs w:val="21"/>
                      <w:u w:val="single"/>
                    </w:rPr>
                    <w:t>符合</w:t>
                  </w:r>
                </w:p>
              </w:tc>
            </w:tr>
            <w:tr w14:paraId="7A667F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13" w:hRule="atLeast"/>
                <w:jc w:val="center"/>
              </w:trPr>
              <w:tc>
                <w:tcPr>
                  <w:tcW w:w="710" w:type="dxa"/>
                  <w:vMerge w:val="continue"/>
                  <w:vAlign w:val="center"/>
                </w:tcPr>
                <w:p w14:paraId="5AA3B3A9">
                  <w:pPr>
                    <w:widowControl/>
                    <w:jc w:val="center"/>
                    <w:rPr>
                      <w:szCs w:val="21"/>
                      <w:u w:val="single"/>
                    </w:rPr>
                  </w:pPr>
                </w:p>
              </w:tc>
              <w:tc>
                <w:tcPr>
                  <w:tcW w:w="3686" w:type="dxa"/>
                  <w:vAlign w:val="center"/>
                </w:tcPr>
                <w:p w14:paraId="6778D8A7">
                  <w:pPr>
                    <w:widowControl/>
                    <w:rPr>
                      <w:b/>
                      <w:szCs w:val="21"/>
                      <w:u w:val="single"/>
                    </w:rPr>
                  </w:pPr>
                  <w:r>
                    <w:rPr>
                      <w:rFonts w:hint="eastAsia"/>
                      <w:b/>
                      <w:szCs w:val="21"/>
                      <w:u w:val="single"/>
                    </w:rPr>
                    <w:t>19.开展环境绩效等级提升行动。</w:t>
                  </w:r>
                  <w:r>
                    <w:rPr>
                      <w:rFonts w:hint="eastAsia"/>
                      <w:szCs w:val="21"/>
                      <w:u w:val="single"/>
                    </w:rPr>
                    <w:t>健全重点行业绩效分级“有进有出”动态监管机制，对已评定A级、B级和绩效引领性企开展“回头看”，对实际绩效水平达不到评定等级要求或存在严重环境违法违规行为的企业，严格实施降级处理。开展重点行业环保绩效A行动，充分发挥绩效A级企业引领作用，以“先进”带动“后进”，鼓励指导企业通过设备更新、技术改造、治理升级等措施，不断提升环境绩效等级，2025年完成新增A级、B级企业及绩效引领性企业20家以上。</w:t>
                  </w:r>
                </w:p>
              </w:tc>
              <w:tc>
                <w:tcPr>
                  <w:tcW w:w="2126" w:type="dxa"/>
                  <w:vAlign w:val="center"/>
                </w:tcPr>
                <w:p w14:paraId="630EFF90">
                  <w:pPr>
                    <w:widowControl/>
                    <w:jc w:val="center"/>
                    <w:rPr>
                      <w:u w:val="single"/>
                    </w:rPr>
                  </w:pPr>
                  <w:r>
                    <w:rPr>
                      <w:rFonts w:hint="eastAsia"/>
                      <w:u w:val="single"/>
                    </w:rPr>
                    <w:t>项目目前为环评阶段，后期营运过程中严格按照绩效分级要求进行建设运行</w:t>
                  </w:r>
                </w:p>
              </w:tc>
              <w:tc>
                <w:tcPr>
                  <w:tcW w:w="643" w:type="dxa"/>
                  <w:vAlign w:val="center"/>
                </w:tcPr>
                <w:p w14:paraId="391B64CB">
                  <w:pPr>
                    <w:widowControl/>
                    <w:jc w:val="center"/>
                    <w:rPr>
                      <w:szCs w:val="21"/>
                      <w:u w:val="single"/>
                    </w:rPr>
                  </w:pPr>
                  <w:r>
                    <w:rPr>
                      <w:rFonts w:hint="eastAsia"/>
                      <w:szCs w:val="21"/>
                      <w:u w:val="single"/>
                    </w:rPr>
                    <w:t>符合</w:t>
                  </w:r>
                </w:p>
              </w:tc>
            </w:tr>
            <w:tr w14:paraId="599077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89" w:hRule="atLeast"/>
                <w:jc w:val="center"/>
              </w:trPr>
              <w:tc>
                <w:tcPr>
                  <w:tcW w:w="710" w:type="dxa"/>
                  <w:vAlign w:val="center"/>
                </w:tcPr>
                <w:p w14:paraId="52DE1133">
                  <w:pPr>
                    <w:jc w:val="center"/>
                    <w:rPr>
                      <w:szCs w:val="21"/>
                      <w:u w:val="single"/>
                    </w:rPr>
                  </w:pPr>
                  <w:r>
                    <w:rPr>
                      <w:rFonts w:hint="eastAsia"/>
                      <w:szCs w:val="21"/>
                      <w:u w:val="single"/>
                    </w:rPr>
                    <w:t>濮阳市2025年碧水保卫战实施方案</w:t>
                  </w:r>
                </w:p>
              </w:tc>
              <w:tc>
                <w:tcPr>
                  <w:tcW w:w="3686" w:type="dxa"/>
                  <w:vAlign w:val="center"/>
                </w:tcPr>
                <w:p w14:paraId="2DE1DD5D">
                  <w:pPr>
                    <w:widowControl/>
                    <w:jc w:val="left"/>
                    <w:rPr>
                      <w:szCs w:val="21"/>
                      <w:u w:val="single"/>
                    </w:rPr>
                  </w:pPr>
                  <w:r>
                    <w:rPr>
                      <w:rFonts w:hint="eastAsia"/>
                      <w:b/>
                      <w:szCs w:val="21"/>
                      <w:u w:val="single"/>
                    </w:rPr>
                    <w:t>6.持续推动企业绿色转型发展。</w:t>
                  </w:r>
                  <w:r>
                    <w:rPr>
                      <w:rFonts w:hint="eastAsia"/>
                      <w:szCs w:val="21"/>
                      <w:u w:val="single"/>
                    </w:rPr>
                    <w:t>严格项目准入，坚决遏制“两高一低”项目盲目发展；严格落实生态环境分区管控，加快推进工业企业绿色转型发展；深入推进重点水污染物排放行业清洁生产审核；培育壮大节能、节水、环保和资源综合利用产业，提高能源资源利用效率；对有色金属、化工、石油开采、造纸、印染、农副食品加工等行业，全面推进清洁生产改造或清洁化改造。</w:t>
                  </w:r>
                </w:p>
              </w:tc>
              <w:tc>
                <w:tcPr>
                  <w:tcW w:w="2126" w:type="dxa"/>
                  <w:vAlign w:val="center"/>
                </w:tcPr>
                <w:p w14:paraId="7705F544">
                  <w:pPr>
                    <w:widowControl/>
                    <w:jc w:val="center"/>
                    <w:rPr>
                      <w:bCs/>
                      <w:u w:val="single"/>
                    </w:rPr>
                  </w:pPr>
                  <w:r>
                    <w:rPr>
                      <w:rFonts w:hint="eastAsia"/>
                      <w:bCs/>
                      <w:u w:val="single"/>
                    </w:rPr>
                    <w:t>本项目不属于“两高一低”项目，根据前文分析，项目建设符合“三线一单”生态环境分区管控要求</w:t>
                  </w:r>
                </w:p>
              </w:tc>
              <w:tc>
                <w:tcPr>
                  <w:tcW w:w="643" w:type="dxa"/>
                  <w:vAlign w:val="center"/>
                </w:tcPr>
                <w:p w14:paraId="1AB79718">
                  <w:pPr>
                    <w:widowControl/>
                    <w:jc w:val="center"/>
                    <w:rPr>
                      <w:szCs w:val="21"/>
                      <w:u w:val="single"/>
                    </w:rPr>
                  </w:pPr>
                  <w:r>
                    <w:rPr>
                      <w:rFonts w:hint="eastAsia"/>
                      <w:szCs w:val="21"/>
                      <w:u w:val="single"/>
                    </w:rPr>
                    <w:t>符合</w:t>
                  </w:r>
                </w:p>
              </w:tc>
            </w:tr>
            <w:tr w14:paraId="153674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7" w:hRule="atLeast"/>
                <w:jc w:val="center"/>
              </w:trPr>
              <w:tc>
                <w:tcPr>
                  <w:tcW w:w="710" w:type="dxa"/>
                  <w:vAlign w:val="center"/>
                </w:tcPr>
                <w:p w14:paraId="7A4C2370">
                  <w:pPr>
                    <w:widowControl/>
                    <w:jc w:val="center"/>
                    <w:rPr>
                      <w:szCs w:val="21"/>
                      <w:u w:val="single"/>
                    </w:rPr>
                  </w:pPr>
                  <w:r>
                    <w:rPr>
                      <w:rFonts w:hint="eastAsia"/>
                      <w:szCs w:val="21"/>
                      <w:u w:val="single"/>
                    </w:rPr>
                    <w:t>濮阳市2025年净土保卫战实施方案</w:t>
                  </w:r>
                </w:p>
              </w:tc>
              <w:tc>
                <w:tcPr>
                  <w:tcW w:w="3686" w:type="dxa"/>
                  <w:vAlign w:val="center"/>
                </w:tcPr>
                <w:p w14:paraId="51A4A85E">
                  <w:pPr>
                    <w:widowControl/>
                    <w:jc w:val="left"/>
                    <w:rPr>
                      <w:szCs w:val="21"/>
                      <w:highlight w:val="yellow"/>
                      <w:u w:val="single"/>
                    </w:rPr>
                  </w:pPr>
                  <w:r>
                    <w:rPr>
                      <w:rFonts w:hint="eastAsia"/>
                      <w:b/>
                      <w:szCs w:val="21"/>
                      <w:u w:val="single"/>
                    </w:rPr>
                    <w:t>1.强化土壤污染源头防控。</w:t>
                  </w:r>
                  <w:r>
                    <w:rPr>
                      <w:rFonts w:hint="eastAsia"/>
                      <w:szCs w:val="21"/>
                      <w:u w:val="single"/>
                    </w:rPr>
                    <w:t>加强源头预防，工业园区加强对天能企业涉重金属重点排放口和周边环境进行定期监测，评估对周边农用地土壤重金属累积性风险，对存在风险 采取有效防控措施。完成土壤污染重点监管单位名录更新， 并向社会公开。各县(区)指导辖区土壤污染重点监管单位按照排污许可证规定和标准规范落实控制有毒有害物质排放、土壤污染隐患排查、自行监测等要求，做好土壤污染重点监管单位隐患排查问题整改，并将隐患排查报告及相关材料上传至重点监管单位土壤和地下水环境管理信息系统，着力提高隐患排查整改合格率。</w:t>
                  </w:r>
                </w:p>
              </w:tc>
              <w:tc>
                <w:tcPr>
                  <w:tcW w:w="2126" w:type="dxa"/>
                  <w:vAlign w:val="center"/>
                </w:tcPr>
                <w:p w14:paraId="0B99729D">
                  <w:pPr>
                    <w:widowControl/>
                    <w:jc w:val="center"/>
                    <w:rPr>
                      <w:u w:val="single"/>
                    </w:rPr>
                  </w:pPr>
                  <w:r>
                    <w:rPr>
                      <w:rFonts w:hint="eastAsia"/>
                      <w:u w:val="single"/>
                    </w:rPr>
                    <w:t>本项目用地为工业用地，项目不涉及重金属排放</w:t>
                  </w:r>
                </w:p>
              </w:tc>
              <w:tc>
                <w:tcPr>
                  <w:tcW w:w="643" w:type="dxa"/>
                  <w:vAlign w:val="center"/>
                </w:tcPr>
                <w:p w14:paraId="0D07E9FF">
                  <w:pPr>
                    <w:widowControl/>
                    <w:jc w:val="center"/>
                    <w:rPr>
                      <w:szCs w:val="21"/>
                      <w:u w:val="single"/>
                    </w:rPr>
                  </w:pPr>
                  <w:r>
                    <w:rPr>
                      <w:rFonts w:hint="eastAsia"/>
                      <w:szCs w:val="21"/>
                      <w:u w:val="single"/>
                    </w:rPr>
                    <w:t>符合</w:t>
                  </w:r>
                </w:p>
              </w:tc>
            </w:tr>
          </w:tbl>
          <w:p w14:paraId="5BE34758">
            <w:pPr>
              <w:pStyle w:val="90"/>
              <w:spacing w:line="360" w:lineRule="auto"/>
              <w:ind w:firstLine="480" w:firstLineChars="200"/>
              <w:rPr>
                <w:rFonts w:ascii="Times New Roman" w:hAnsi="Times New Roman"/>
                <w:sz w:val="24"/>
                <w:u w:val="single"/>
              </w:rPr>
            </w:pPr>
            <w:r>
              <w:rPr>
                <w:rFonts w:ascii="Times New Roman" w:hAnsi="Times New Roman"/>
                <w:sz w:val="24"/>
                <w:u w:val="single"/>
              </w:rPr>
              <w:t>根据上表分析可知，</w:t>
            </w:r>
            <w:r>
              <w:rPr>
                <w:rFonts w:hint="eastAsia" w:ascii="Times New Roman" w:hAnsi="Times New Roman"/>
                <w:sz w:val="24"/>
                <w:u w:val="single"/>
              </w:rPr>
              <w:t>本项目符合濮环委办〔2025〕1号文件濮阳市2025年蓝天、碧水、净土保卫战实施方案的相关要求。</w:t>
            </w:r>
          </w:p>
          <w:p w14:paraId="37852521">
            <w:pPr>
              <w:pStyle w:val="90"/>
              <w:spacing w:line="360" w:lineRule="auto"/>
              <w:ind w:firstLine="482" w:firstLineChars="200"/>
              <w:rPr>
                <w:rFonts w:ascii="Times New Roman" w:hAnsi="Times New Roman"/>
                <w:bCs/>
                <w:sz w:val="24"/>
              </w:rPr>
            </w:pPr>
            <w:r>
              <w:rPr>
                <w:rFonts w:hint="eastAsia" w:ascii="Times New Roman" w:hAnsi="Times New Roman"/>
                <w:b/>
                <w:bCs/>
                <w:sz w:val="24"/>
              </w:rPr>
              <w:t>5、</w:t>
            </w:r>
            <w:r>
              <w:rPr>
                <w:rFonts w:hint="eastAsia"/>
                <w:b/>
                <w:sz w:val="24"/>
              </w:rPr>
              <w:t>是否为“两高”项目的判定</w:t>
            </w:r>
          </w:p>
          <w:p w14:paraId="651774C5">
            <w:pPr>
              <w:pStyle w:val="33"/>
              <w:ind w:firstLine="480" w:firstLineChars="200"/>
              <w:jc w:val="both"/>
              <w:rPr>
                <w:rFonts w:ascii="Times New Roman" w:hAnsi="Times New Roman" w:eastAsia="宋体" w:cs="宋体"/>
                <w:b w:val="0"/>
                <w:bCs/>
                <w:kern w:val="2"/>
                <w:lang w:bidi="ar"/>
              </w:rPr>
            </w:pPr>
            <w:r>
              <w:rPr>
                <w:rFonts w:hint="eastAsia" w:ascii="Times New Roman" w:hAnsi="Times New Roman" w:eastAsia="宋体" w:cs="宋体"/>
                <w:b w:val="0"/>
                <w:bCs/>
                <w:kern w:val="2"/>
                <w:lang w:bidi="ar"/>
              </w:rPr>
              <w:t>根据企业能源消耗情况，结合《综合能耗计算通则》（GB/T2589-2020），项目综合能源消费情况如下表。</w:t>
            </w:r>
          </w:p>
          <w:p w14:paraId="4787FB46">
            <w:pPr>
              <w:pStyle w:val="137"/>
              <w:numPr>
                <w:ilvl w:val="0"/>
                <w:numId w:val="3"/>
              </w:numPr>
              <w:autoSpaceDE w:val="0"/>
              <w:autoSpaceDN w:val="0"/>
              <w:adjustRightInd w:val="0"/>
              <w:snapToGrid w:val="0"/>
              <w:spacing w:line="360" w:lineRule="auto"/>
              <w:ind w:firstLineChars="0"/>
              <w:jc w:val="center"/>
              <w:rPr>
                <w:b/>
                <w:bCs/>
                <w:szCs w:val="21"/>
              </w:rPr>
            </w:pPr>
            <w:r>
              <w:rPr>
                <w:rFonts w:hint="eastAsia"/>
                <w:b/>
                <w:bCs/>
                <w:szCs w:val="21"/>
              </w:rPr>
              <w:t>项目年综合能源消费情况一览表</w:t>
            </w:r>
          </w:p>
          <w:tbl>
            <w:tblPr>
              <w:tblStyle w:val="39"/>
              <w:tblW w:w="47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992"/>
              <w:gridCol w:w="851"/>
              <w:gridCol w:w="1984"/>
              <w:gridCol w:w="1275"/>
            </w:tblGrid>
            <w:tr w14:paraId="0D2E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37A5C0ED">
                  <w:pPr>
                    <w:jc w:val="center"/>
                    <w:rPr>
                      <w:b/>
                      <w:szCs w:val="21"/>
                    </w:rPr>
                  </w:pPr>
                  <w:r>
                    <w:rPr>
                      <w:b/>
                      <w:szCs w:val="21"/>
                    </w:rPr>
                    <w:t>能源种类</w:t>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62E88055">
                  <w:pPr>
                    <w:jc w:val="center"/>
                    <w:rPr>
                      <w:b/>
                      <w:szCs w:val="21"/>
                    </w:rPr>
                  </w:pPr>
                  <w:r>
                    <w:rPr>
                      <w:rFonts w:hint="eastAsia"/>
                      <w:b/>
                      <w:szCs w:val="21"/>
                    </w:rPr>
                    <w:t>实物量</w:t>
                  </w:r>
                </w:p>
              </w:tc>
              <w:tc>
                <w:tcPr>
                  <w:tcW w:w="205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740930">
                  <w:pPr>
                    <w:jc w:val="center"/>
                    <w:rPr>
                      <w:b/>
                      <w:szCs w:val="21"/>
                    </w:rPr>
                  </w:pPr>
                  <w:r>
                    <w:rPr>
                      <w:b/>
                      <w:szCs w:val="21"/>
                    </w:rPr>
                    <w:t>折合标煤系数</w:t>
                  </w:r>
                </w:p>
              </w:tc>
              <w:tc>
                <w:tcPr>
                  <w:tcW w:w="923" w:type="pct"/>
                  <w:tcBorders>
                    <w:top w:val="single" w:color="auto" w:sz="4" w:space="0"/>
                    <w:left w:val="single" w:color="auto" w:sz="4" w:space="0"/>
                    <w:bottom w:val="single" w:color="auto" w:sz="4" w:space="0"/>
                    <w:right w:val="single" w:color="auto" w:sz="4" w:space="0"/>
                  </w:tcBorders>
                  <w:vAlign w:val="center"/>
                </w:tcPr>
                <w:p w14:paraId="6B75BE4C">
                  <w:pPr>
                    <w:jc w:val="center"/>
                    <w:rPr>
                      <w:b/>
                      <w:szCs w:val="21"/>
                    </w:rPr>
                  </w:pPr>
                  <w:r>
                    <w:rPr>
                      <w:b/>
                      <w:bCs/>
                    </w:rPr>
                    <w:t>折合标煤量（</w:t>
                  </w:r>
                  <w:r>
                    <w:rPr>
                      <w:rFonts w:eastAsia="Times New Roman"/>
                      <w:b/>
                      <w:bCs/>
                    </w:rPr>
                    <w:t>tce</w:t>
                  </w:r>
                  <w:r>
                    <w:rPr>
                      <w:b/>
                      <w:bCs/>
                    </w:rPr>
                    <w:t>）</w:t>
                  </w:r>
                </w:p>
              </w:tc>
            </w:tr>
            <w:tr w14:paraId="4C47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307" w:type="pct"/>
                  <w:vMerge w:val="restart"/>
                  <w:tcBorders>
                    <w:top w:val="single" w:color="auto" w:sz="4" w:space="0"/>
                    <w:left w:val="single" w:color="auto" w:sz="4" w:space="0"/>
                    <w:right w:val="single" w:color="auto" w:sz="4" w:space="0"/>
                  </w:tcBorders>
                  <w:shd w:val="clear" w:color="auto" w:fill="auto"/>
                  <w:vAlign w:val="center"/>
                </w:tcPr>
                <w:p w14:paraId="53E1D9BC">
                  <w:pPr>
                    <w:jc w:val="center"/>
                    <w:rPr>
                      <w:rFonts w:cs="宋体"/>
                      <w:szCs w:val="21"/>
                      <w:lang w:bidi="ar"/>
                    </w:rPr>
                  </w:pPr>
                  <w:r>
                    <w:rPr>
                      <w:rFonts w:hint="eastAsia" w:cs="宋体"/>
                      <w:szCs w:val="21"/>
                      <w:lang w:bidi="ar"/>
                    </w:rPr>
                    <w:t>电力（万kWh）</w:t>
                  </w:r>
                </w:p>
              </w:tc>
              <w:tc>
                <w:tcPr>
                  <w:tcW w:w="718" w:type="pct"/>
                  <w:vMerge w:val="restart"/>
                  <w:tcBorders>
                    <w:top w:val="single" w:color="auto" w:sz="4" w:space="0"/>
                    <w:left w:val="single" w:color="auto" w:sz="4" w:space="0"/>
                    <w:right w:val="single" w:color="auto" w:sz="4" w:space="0"/>
                  </w:tcBorders>
                  <w:shd w:val="clear" w:color="auto" w:fill="auto"/>
                  <w:vAlign w:val="center"/>
                </w:tcPr>
                <w:p w14:paraId="2C98CFA2">
                  <w:pPr>
                    <w:jc w:val="center"/>
                    <w:rPr>
                      <w:rFonts w:cs="宋体"/>
                      <w:szCs w:val="21"/>
                      <w:lang w:bidi="ar"/>
                    </w:rPr>
                  </w:pPr>
                  <w:r>
                    <w:rPr>
                      <w:rFonts w:hint="eastAsia" w:cs="宋体"/>
                      <w:szCs w:val="21"/>
                      <w:lang w:bidi="ar"/>
                    </w:rPr>
                    <w:t>100</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3E181B89">
                  <w:pPr>
                    <w:jc w:val="center"/>
                    <w:rPr>
                      <w:rFonts w:eastAsia="Times New Roman"/>
                    </w:rPr>
                  </w:pPr>
                  <w:r>
                    <w:rPr>
                      <w:rFonts w:eastAsia="Times New Roman"/>
                    </w:rPr>
                    <w:t>3.000</w:t>
                  </w:r>
                </w:p>
              </w:tc>
              <w:tc>
                <w:tcPr>
                  <w:tcW w:w="1436" w:type="pct"/>
                  <w:tcBorders>
                    <w:top w:val="single" w:color="auto" w:sz="4" w:space="0"/>
                    <w:left w:val="single" w:color="auto" w:sz="4" w:space="0"/>
                    <w:bottom w:val="single" w:color="auto" w:sz="4" w:space="0"/>
                    <w:right w:val="single" w:color="auto" w:sz="4" w:space="0"/>
                  </w:tcBorders>
                  <w:shd w:val="clear" w:color="auto" w:fill="auto"/>
                  <w:vAlign w:val="center"/>
                </w:tcPr>
                <w:p w14:paraId="44206563">
                  <w:pPr>
                    <w:jc w:val="center"/>
                  </w:pPr>
                  <w:r>
                    <w:t>等价（</w:t>
                  </w:r>
                  <w:r>
                    <w:rPr>
                      <w:rFonts w:eastAsia="Times New Roman"/>
                    </w:rPr>
                    <w:t>tce/</w:t>
                  </w:r>
                  <w:r>
                    <w:t>万</w:t>
                  </w:r>
                  <w:r>
                    <w:rPr>
                      <w:rFonts w:eastAsia="Times New Roman"/>
                    </w:rPr>
                    <w:t>kWh</w:t>
                  </w:r>
                  <w:r>
                    <w:t>）</w:t>
                  </w:r>
                </w:p>
              </w:tc>
              <w:tc>
                <w:tcPr>
                  <w:tcW w:w="923" w:type="pct"/>
                  <w:tcBorders>
                    <w:top w:val="single" w:color="auto" w:sz="4" w:space="0"/>
                    <w:left w:val="single" w:color="auto" w:sz="4" w:space="0"/>
                    <w:bottom w:val="single" w:color="auto" w:sz="4" w:space="0"/>
                    <w:right w:val="single" w:color="auto" w:sz="4" w:space="0"/>
                  </w:tcBorders>
                  <w:vAlign w:val="center"/>
                </w:tcPr>
                <w:p w14:paraId="600ED990">
                  <w:pPr>
                    <w:jc w:val="center"/>
                    <w:rPr>
                      <w:rFonts w:cs="宋体"/>
                      <w:szCs w:val="21"/>
                      <w:lang w:bidi="ar"/>
                    </w:rPr>
                  </w:pPr>
                  <w:r>
                    <w:rPr>
                      <w:rFonts w:hint="eastAsia" w:cs="宋体"/>
                      <w:szCs w:val="21"/>
                      <w:lang w:bidi="ar"/>
                    </w:rPr>
                    <w:t>300</w:t>
                  </w:r>
                </w:p>
              </w:tc>
            </w:tr>
            <w:tr w14:paraId="5765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307" w:type="pct"/>
                  <w:vMerge w:val="continue"/>
                  <w:tcBorders>
                    <w:left w:val="single" w:color="auto" w:sz="4" w:space="0"/>
                    <w:bottom w:val="single" w:color="auto" w:sz="4" w:space="0"/>
                    <w:right w:val="single" w:color="auto" w:sz="4" w:space="0"/>
                  </w:tcBorders>
                  <w:shd w:val="clear" w:color="auto" w:fill="auto"/>
                  <w:vAlign w:val="center"/>
                </w:tcPr>
                <w:p w14:paraId="18750091">
                  <w:pPr>
                    <w:jc w:val="center"/>
                    <w:rPr>
                      <w:rFonts w:cs="宋体"/>
                      <w:szCs w:val="21"/>
                      <w:lang w:bidi="ar"/>
                    </w:rPr>
                  </w:pPr>
                </w:p>
              </w:tc>
              <w:tc>
                <w:tcPr>
                  <w:tcW w:w="718" w:type="pct"/>
                  <w:vMerge w:val="continue"/>
                  <w:tcBorders>
                    <w:left w:val="single" w:color="auto" w:sz="4" w:space="0"/>
                    <w:bottom w:val="single" w:color="auto" w:sz="4" w:space="0"/>
                    <w:right w:val="single" w:color="auto" w:sz="4" w:space="0"/>
                  </w:tcBorders>
                  <w:shd w:val="clear" w:color="auto" w:fill="auto"/>
                  <w:vAlign w:val="center"/>
                </w:tcPr>
                <w:p w14:paraId="303D8920">
                  <w:pPr>
                    <w:jc w:val="center"/>
                    <w:rPr>
                      <w:rFonts w:cs="宋体"/>
                      <w:szCs w:val="21"/>
                      <w:lang w:bidi="ar"/>
                    </w:rPr>
                  </w:pP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3F16E4CE">
                  <w:pPr>
                    <w:jc w:val="center"/>
                    <w:rPr>
                      <w:rFonts w:eastAsia="Times New Roman"/>
                    </w:rPr>
                  </w:pPr>
                  <w:r>
                    <w:rPr>
                      <w:rFonts w:eastAsia="Times New Roman"/>
                    </w:rPr>
                    <w:t>1.229</w:t>
                  </w:r>
                </w:p>
              </w:tc>
              <w:tc>
                <w:tcPr>
                  <w:tcW w:w="1436" w:type="pct"/>
                  <w:tcBorders>
                    <w:top w:val="single" w:color="auto" w:sz="4" w:space="0"/>
                    <w:left w:val="single" w:color="auto" w:sz="4" w:space="0"/>
                    <w:bottom w:val="single" w:color="auto" w:sz="4" w:space="0"/>
                    <w:right w:val="single" w:color="auto" w:sz="4" w:space="0"/>
                  </w:tcBorders>
                  <w:shd w:val="clear" w:color="auto" w:fill="auto"/>
                  <w:vAlign w:val="center"/>
                </w:tcPr>
                <w:p w14:paraId="33BA3EF5">
                  <w:pPr>
                    <w:jc w:val="center"/>
                  </w:pPr>
                  <w:r>
                    <w:t>当量（</w:t>
                  </w:r>
                  <w:r>
                    <w:rPr>
                      <w:rFonts w:eastAsia="Times New Roman"/>
                    </w:rPr>
                    <w:t>tce/</w:t>
                  </w:r>
                  <w:r>
                    <w:t>万</w:t>
                  </w:r>
                  <w:r>
                    <w:rPr>
                      <w:rFonts w:eastAsia="Times New Roman"/>
                    </w:rPr>
                    <w:t>kWh</w:t>
                  </w:r>
                  <w:r>
                    <w:t>）</w:t>
                  </w:r>
                </w:p>
              </w:tc>
              <w:tc>
                <w:tcPr>
                  <w:tcW w:w="923" w:type="pct"/>
                  <w:tcBorders>
                    <w:top w:val="single" w:color="auto" w:sz="4" w:space="0"/>
                    <w:left w:val="single" w:color="auto" w:sz="4" w:space="0"/>
                    <w:bottom w:val="single" w:color="auto" w:sz="4" w:space="0"/>
                    <w:right w:val="single" w:color="auto" w:sz="4" w:space="0"/>
                  </w:tcBorders>
                  <w:vAlign w:val="center"/>
                </w:tcPr>
                <w:p w14:paraId="65637475">
                  <w:pPr>
                    <w:jc w:val="center"/>
                    <w:rPr>
                      <w:rFonts w:cs="宋体"/>
                      <w:szCs w:val="21"/>
                      <w:lang w:bidi="ar"/>
                    </w:rPr>
                  </w:pPr>
                  <w:r>
                    <w:rPr>
                      <w:rFonts w:hint="eastAsia" w:cs="宋体"/>
                      <w:szCs w:val="21"/>
                      <w:lang w:bidi="ar"/>
                    </w:rPr>
                    <w:t>122.9</w:t>
                  </w:r>
                </w:p>
              </w:tc>
            </w:tr>
            <w:tr w14:paraId="42E6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7370EA15">
                  <w:pPr>
                    <w:jc w:val="center"/>
                    <w:rPr>
                      <w:rFonts w:cs="宋体"/>
                      <w:szCs w:val="21"/>
                      <w:lang w:bidi="ar"/>
                    </w:rPr>
                  </w:pPr>
                  <w:r>
                    <w:rPr>
                      <w:snapToGrid w:val="0"/>
                      <w:color w:val="000000"/>
                      <w:kern w:val="0"/>
                      <w:szCs w:val="21"/>
                      <w:lang w:eastAsia="en-US"/>
                    </w:rPr>
                    <w:t>水（万m</w:t>
                  </w:r>
                  <w:r>
                    <w:rPr>
                      <w:rFonts w:hint="eastAsia"/>
                      <w:snapToGrid w:val="0"/>
                      <w:color w:val="000000"/>
                      <w:kern w:val="0"/>
                      <w:szCs w:val="21"/>
                      <w:vertAlign w:val="superscript"/>
                    </w:rPr>
                    <w:t>3</w:t>
                  </w:r>
                  <w:r>
                    <w:rPr>
                      <w:snapToGrid w:val="0"/>
                      <w:color w:val="000000"/>
                      <w:kern w:val="0"/>
                      <w:szCs w:val="21"/>
                      <w:lang w:eastAsia="en-US"/>
                    </w:rPr>
                    <w:t>）</w:t>
                  </w:r>
                </w:p>
              </w:tc>
              <w:tc>
                <w:tcPr>
                  <w:tcW w:w="718" w:type="pct"/>
                  <w:tcBorders>
                    <w:top w:val="single" w:color="auto" w:sz="4" w:space="0"/>
                    <w:left w:val="single" w:color="auto" w:sz="4" w:space="0"/>
                    <w:bottom w:val="single" w:color="auto" w:sz="4" w:space="0"/>
                    <w:right w:val="single" w:color="auto" w:sz="4" w:space="0"/>
                  </w:tcBorders>
                  <w:shd w:val="clear" w:color="auto" w:fill="auto"/>
                  <w:vAlign w:val="center"/>
                </w:tcPr>
                <w:p w14:paraId="377CFED1">
                  <w:pPr>
                    <w:jc w:val="center"/>
                    <w:rPr>
                      <w:rFonts w:hint="default" w:cs="宋体"/>
                      <w:b/>
                      <w:szCs w:val="21"/>
                      <w:lang w:val="en-US" w:bidi="ar"/>
                    </w:rPr>
                  </w:pPr>
                  <w:r>
                    <w:rPr>
                      <w:rFonts w:hint="eastAsia" w:cs="宋体"/>
                      <w:bCs/>
                      <w:szCs w:val="21"/>
                      <w:lang w:bidi="ar"/>
                    </w:rPr>
                    <w:t>0.0</w:t>
                  </w:r>
                  <w:r>
                    <w:rPr>
                      <w:rFonts w:hint="eastAsia" w:cs="宋体"/>
                      <w:bCs/>
                      <w:szCs w:val="21"/>
                      <w:lang w:val="en-US" w:eastAsia="zh-CN" w:bidi="ar"/>
                    </w:rPr>
                    <w:t>8175</w:t>
                  </w:r>
                </w:p>
              </w:tc>
              <w:tc>
                <w:tcPr>
                  <w:tcW w:w="205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62FA7C">
                  <w:pPr>
                    <w:jc w:val="center"/>
                    <w:rPr>
                      <w:rFonts w:cs="宋体"/>
                      <w:b/>
                      <w:szCs w:val="21"/>
                      <w:lang w:bidi="ar"/>
                    </w:rPr>
                  </w:pPr>
                  <w:r>
                    <w:rPr>
                      <w:rFonts w:hint="eastAsia" w:cs="宋体"/>
                      <w:b/>
                      <w:szCs w:val="21"/>
                      <w:lang w:bidi="ar"/>
                    </w:rPr>
                    <w:t>/</w:t>
                  </w:r>
                </w:p>
              </w:tc>
              <w:tc>
                <w:tcPr>
                  <w:tcW w:w="923" w:type="pct"/>
                  <w:tcBorders>
                    <w:top w:val="single" w:color="auto" w:sz="4" w:space="0"/>
                    <w:left w:val="single" w:color="auto" w:sz="4" w:space="0"/>
                    <w:bottom w:val="single" w:color="auto" w:sz="4" w:space="0"/>
                    <w:right w:val="single" w:color="auto" w:sz="4" w:space="0"/>
                  </w:tcBorders>
                  <w:vAlign w:val="center"/>
                </w:tcPr>
                <w:p w14:paraId="3114C6E2">
                  <w:pPr>
                    <w:jc w:val="center"/>
                    <w:rPr>
                      <w:rFonts w:cs="宋体"/>
                      <w:b/>
                      <w:szCs w:val="21"/>
                      <w:lang w:bidi="ar"/>
                    </w:rPr>
                  </w:pPr>
                  <w:r>
                    <w:rPr>
                      <w:rFonts w:hint="eastAsia" w:cs="宋体"/>
                      <w:b/>
                      <w:szCs w:val="21"/>
                      <w:lang w:bidi="ar"/>
                    </w:rPr>
                    <w:t>/</w:t>
                  </w:r>
                </w:p>
              </w:tc>
            </w:tr>
            <w:tr w14:paraId="3399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025" w:type="pct"/>
                  <w:gridSpan w:val="2"/>
                  <w:vMerge w:val="restart"/>
                  <w:tcBorders>
                    <w:top w:val="single" w:color="auto" w:sz="4" w:space="0"/>
                    <w:left w:val="single" w:color="auto" w:sz="4" w:space="0"/>
                    <w:right w:val="single" w:color="auto" w:sz="4" w:space="0"/>
                  </w:tcBorders>
                  <w:shd w:val="clear" w:color="auto" w:fill="auto"/>
                  <w:vAlign w:val="center"/>
                </w:tcPr>
                <w:p w14:paraId="41D4CB85">
                  <w:pPr>
                    <w:jc w:val="center"/>
                    <w:rPr>
                      <w:rFonts w:cs="宋体"/>
                      <w:szCs w:val="21"/>
                      <w:lang w:bidi="ar"/>
                    </w:rPr>
                  </w:pPr>
                  <w:r>
                    <w:rPr>
                      <w:rFonts w:hint="eastAsia" w:cs="宋体"/>
                      <w:szCs w:val="21"/>
                      <w:lang w:bidi="ar"/>
                    </w:rPr>
                    <w:t>项目年综合能源消费量（tce）</w:t>
                  </w:r>
                </w:p>
              </w:tc>
              <w:tc>
                <w:tcPr>
                  <w:tcW w:w="205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5E2C8B">
                  <w:pPr>
                    <w:jc w:val="center"/>
                    <w:rPr>
                      <w:rFonts w:cs="宋体"/>
                      <w:szCs w:val="21"/>
                      <w:lang w:bidi="ar"/>
                    </w:rPr>
                  </w:pPr>
                  <w:r>
                    <w:rPr>
                      <w:rFonts w:hint="eastAsia" w:cs="宋体"/>
                      <w:szCs w:val="21"/>
                      <w:lang w:bidi="ar"/>
                    </w:rPr>
                    <w:t>当量值</w:t>
                  </w:r>
                </w:p>
              </w:tc>
              <w:tc>
                <w:tcPr>
                  <w:tcW w:w="923" w:type="pct"/>
                  <w:tcBorders>
                    <w:top w:val="single" w:color="auto" w:sz="4" w:space="0"/>
                    <w:left w:val="single" w:color="auto" w:sz="4" w:space="0"/>
                    <w:bottom w:val="single" w:color="auto" w:sz="4" w:space="0"/>
                    <w:right w:val="single" w:color="auto" w:sz="4" w:space="0"/>
                  </w:tcBorders>
                  <w:vAlign w:val="center"/>
                </w:tcPr>
                <w:p w14:paraId="531775F2">
                  <w:pPr>
                    <w:jc w:val="center"/>
                    <w:rPr>
                      <w:rFonts w:cs="宋体"/>
                      <w:szCs w:val="21"/>
                      <w:lang w:bidi="ar"/>
                    </w:rPr>
                  </w:pPr>
                  <w:r>
                    <w:rPr>
                      <w:rFonts w:hint="eastAsia" w:cs="宋体"/>
                      <w:szCs w:val="21"/>
                      <w:lang w:bidi="ar"/>
                    </w:rPr>
                    <w:t>122.9</w:t>
                  </w:r>
                </w:p>
              </w:tc>
            </w:tr>
            <w:tr w14:paraId="155F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025" w:type="pct"/>
                  <w:gridSpan w:val="2"/>
                  <w:vMerge w:val="continue"/>
                  <w:tcBorders>
                    <w:left w:val="single" w:color="auto" w:sz="4" w:space="0"/>
                    <w:bottom w:val="single" w:color="auto" w:sz="4" w:space="0"/>
                    <w:right w:val="single" w:color="auto" w:sz="4" w:space="0"/>
                  </w:tcBorders>
                  <w:shd w:val="clear" w:color="auto" w:fill="auto"/>
                  <w:vAlign w:val="center"/>
                </w:tcPr>
                <w:p w14:paraId="102CDB49">
                  <w:pPr>
                    <w:jc w:val="center"/>
                    <w:rPr>
                      <w:rFonts w:cs="宋体"/>
                      <w:szCs w:val="21"/>
                      <w:lang w:bidi="ar"/>
                    </w:rPr>
                  </w:pPr>
                </w:p>
              </w:tc>
              <w:tc>
                <w:tcPr>
                  <w:tcW w:w="205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63D485">
                  <w:pPr>
                    <w:jc w:val="center"/>
                    <w:rPr>
                      <w:rFonts w:cs="宋体"/>
                      <w:szCs w:val="21"/>
                      <w:lang w:bidi="ar"/>
                    </w:rPr>
                  </w:pPr>
                  <w:r>
                    <w:rPr>
                      <w:rFonts w:hint="eastAsia" w:cs="宋体"/>
                      <w:szCs w:val="21"/>
                      <w:lang w:bidi="ar"/>
                    </w:rPr>
                    <w:t>等价值</w:t>
                  </w:r>
                </w:p>
              </w:tc>
              <w:tc>
                <w:tcPr>
                  <w:tcW w:w="923" w:type="pct"/>
                  <w:tcBorders>
                    <w:top w:val="single" w:color="auto" w:sz="4" w:space="0"/>
                    <w:left w:val="single" w:color="auto" w:sz="4" w:space="0"/>
                    <w:bottom w:val="single" w:color="auto" w:sz="4" w:space="0"/>
                    <w:right w:val="single" w:color="auto" w:sz="4" w:space="0"/>
                  </w:tcBorders>
                  <w:vAlign w:val="center"/>
                </w:tcPr>
                <w:p w14:paraId="0842DF7C">
                  <w:pPr>
                    <w:jc w:val="center"/>
                    <w:rPr>
                      <w:rFonts w:cs="宋体"/>
                      <w:szCs w:val="21"/>
                      <w:lang w:bidi="ar"/>
                    </w:rPr>
                  </w:pPr>
                  <w:r>
                    <w:rPr>
                      <w:rFonts w:hint="eastAsia" w:cs="宋体"/>
                      <w:szCs w:val="21"/>
                      <w:lang w:bidi="ar"/>
                    </w:rPr>
                    <w:t>300</w:t>
                  </w:r>
                </w:p>
              </w:tc>
            </w:tr>
          </w:tbl>
          <w:p w14:paraId="12E72211">
            <w:pPr>
              <w:pStyle w:val="33"/>
              <w:widowControl w:val="0"/>
              <w:ind w:firstLine="480" w:firstLineChars="200"/>
              <w:jc w:val="both"/>
              <w:rPr>
                <w:kern w:val="2"/>
              </w:rPr>
            </w:pPr>
            <w:r>
              <w:rPr>
                <w:rFonts w:hint="eastAsia" w:ascii="Times New Roman" w:hAnsi="Times New Roman" w:eastAsia="宋体" w:cs="宋体"/>
                <w:b w:val="0"/>
                <w:bCs/>
                <w:kern w:val="2"/>
                <w:lang w:bidi="ar"/>
              </w:rPr>
              <w:t>根</w:t>
            </w:r>
            <w:r>
              <w:rPr>
                <w:rFonts w:hint="eastAsia" w:ascii="Times New Roman" w:hAnsi="Times New Roman" w:eastAsia="宋体"/>
                <w:b w:val="0"/>
                <w:bCs/>
                <w:snapToGrid/>
                <w:kern w:val="18"/>
              </w:rPr>
              <w:t>据《关于印发河南省“两高”项目管理目录（</w:t>
            </w:r>
            <w:r>
              <w:rPr>
                <w:rFonts w:ascii="Times New Roman" w:hAnsi="Times New Roman" w:eastAsia="宋体"/>
                <w:b w:val="0"/>
                <w:bCs/>
                <w:snapToGrid/>
                <w:kern w:val="18"/>
              </w:rPr>
              <w:t>2023</w:t>
            </w:r>
            <w:r>
              <w:rPr>
                <w:rFonts w:hint="eastAsia" w:ascii="Times New Roman" w:hAnsi="Times New Roman" w:eastAsia="宋体"/>
                <w:b w:val="0"/>
                <w:bCs/>
                <w:snapToGrid/>
                <w:kern w:val="18"/>
              </w:rPr>
              <w:t>年修订）的通知》（豫发改环资〔</w:t>
            </w:r>
            <w:r>
              <w:rPr>
                <w:rFonts w:ascii="Times New Roman" w:hAnsi="Times New Roman" w:eastAsia="宋体"/>
                <w:b w:val="0"/>
                <w:bCs/>
                <w:snapToGrid/>
                <w:kern w:val="18"/>
              </w:rPr>
              <w:t>2023</w:t>
            </w:r>
            <w:r>
              <w:rPr>
                <w:rFonts w:hint="eastAsia" w:ascii="Times New Roman" w:hAnsi="Times New Roman" w:eastAsia="宋体"/>
                <w:b w:val="0"/>
                <w:bCs/>
                <w:snapToGrid/>
                <w:kern w:val="18"/>
              </w:rPr>
              <w:t>〕</w:t>
            </w:r>
            <w:r>
              <w:rPr>
                <w:rFonts w:ascii="Times New Roman" w:hAnsi="Times New Roman" w:eastAsia="宋体"/>
                <w:b w:val="0"/>
                <w:bCs/>
                <w:snapToGrid/>
                <w:kern w:val="18"/>
              </w:rPr>
              <w:t>38</w:t>
            </w:r>
            <w:r>
              <w:rPr>
                <w:rFonts w:hint="eastAsia" w:ascii="Times New Roman" w:hAnsi="Times New Roman" w:eastAsia="宋体"/>
                <w:b w:val="0"/>
                <w:bCs/>
                <w:snapToGrid/>
                <w:kern w:val="18"/>
              </w:rPr>
              <w:t>号），本项目不属于“两高”项目。具体分析如下：</w:t>
            </w:r>
          </w:p>
          <w:p w14:paraId="0B601AB9">
            <w:pPr>
              <w:pStyle w:val="137"/>
              <w:numPr>
                <w:ilvl w:val="0"/>
                <w:numId w:val="3"/>
              </w:numPr>
              <w:autoSpaceDE w:val="0"/>
              <w:autoSpaceDN w:val="0"/>
              <w:adjustRightInd w:val="0"/>
              <w:snapToGrid w:val="0"/>
              <w:spacing w:line="360" w:lineRule="auto"/>
              <w:ind w:firstLineChars="0"/>
              <w:jc w:val="center"/>
              <w:rPr>
                <w:b/>
                <w:bCs/>
                <w:szCs w:val="21"/>
              </w:rPr>
            </w:pPr>
            <w:r>
              <w:rPr>
                <w:b/>
                <w:bCs/>
                <w:szCs w:val="21"/>
              </w:rPr>
              <w:t xml:space="preserve"> </w:t>
            </w:r>
            <w:r>
              <w:rPr>
                <w:rFonts w:hint="eastAsia"/>
                <w:b/>
                <w:bCs/>
                <w:szCs w:val="21"/>
              </w:rPr>
              <w:t>“两高”项目辨识分析一览表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1"/>
              <w:gridCol w:w="2001"/>
              <w:gridCol w:w="2801"/>
            </w:tblGrid>
            <w:tr w14:paraId="2255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2934D4B6">
                  <w:pPr>
                    <w:jc w:val="center"/>
                    <w:rPr>
                      <w:b/>
                      <w:szCs w:val="21"/>
                    </w:rPr>
                  </w:pPr>
                  <w:r>
                    <w:rPr>
                      <w:rFonts w:hint="eastAsia" w:cs="宋体"/>
                      <w:b/>
                      <w:szCs w:val="21"/>
                      <w:lang w:bidi="ar"/>
                    </w:rPr>
                    <w:t>产业分类</w:t>
                  </w:r>
                </w:p>
              </w:tc>
              <w:tc>
                <w:tcPr>
                  <w:tcW w:w="1388" w:type="pct"/>
                  <w:tcBorders>
                    <w:top w:val="single" w:color="auto" w:sz="4" w:space="0"/>
                    <w:left w:val="single" w:color="auto" w:sz="4" w:space="0"/>
                    <w:bottom w:val="single" w:color="auto" w:sz="4" w:space="0"/>
                    <w:right w:val="single" w:color="auto" w:sz="4" w:space="0"/>
                  </w:tcBorders>
                  <w:shd w:val="clear" w:color="auto" w:fill="auto"/>
                  <w:vAlign w:val="center"/>
                </w:tcPr>
                <w:p w14:paraId="0CE14C3F">
                  <w:pPr>
                    <w:jc w:val="center"/>
                    <w:rPr>
                      <w:b/>
                      <w:szCs w:val="21"/>
                    </w:rPr>
                  </w:pPr>
                  <w:r>
                    <w:rPr>
                      <w:rFonts w:hint="eastAsia" w:cs="宋体"/>
                      <w:b/>
                      <w:szCs w:val="21"/>
                      <w:lang w:bidi="ar"/>
                    </w:rPr>
                    <w:t>包含内容</w:t>
                  </w:r>
                </w:p>
              </w:tc>
              <w:tc>
                <w:tcPr>
                  <w:tcW w:w="1944" w:type="pct"/>
                  <w:tcBorders>
                    <w:top w:val="single" w:color="auto" w:sz="4" w:space="0"/>
                    <w:left w:val="single" w:color="auto" w:sz="4" w:space="0"/>
                    <w:bottom w:val="single" w:color="auto" w:sz="4" w:space="0"/>
                    <w:right w:val="single" w:color="auto" w:sz="4" w:space="0"/>
                  </w:tcBorders>
                  <w:shd w:val="clear" w:color="auto" w:fill="auto"/>
                  <w:vAlign w:val="center"/>
                </w:tcPr>
                <w:p w14:paraId="347E1232">
                  <w:pPr>
                    <w:jc w:val="center"/>
                    <w:rPr>
                      <w:b/>
                      <w:szCs w:val="21"/>
                    </w:rPr>
                  </w:pPr>
                  <w:r>
                    <w:rPr>
                      <w:rFonts w:hint="eastAsia" w:cs="宋体"/>
                      <w:b/>
                      <w:szCs w:val="21"/>
                      <w:lang w:bidi="ar"/>
                    </w:rPr>
                    <w:t>本项目情况</w:t>
                  </w:r>
                </w:p>
              </w:tc>
            </w:tr>
            <w:tr w14:paraId="378E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05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24B090">
                  <w:pPr>
                    <w:rPr>
                      <w:szCs w:val="21"/>
                    </w:rPr>
                  </w:pPr>
                  <w:r>
                    <w:rPr>
                      <w:rFonts w:hint="eastAsia" w:cs="宋体"/>
                      <w:szCs w:val="21"/>
                      <w:lang w:bidi="ar"/>
                    </w:rPr>
                    <w:t>第一类：煤电、石化、化工、煤化工、钢铁（不含短流程炼钢项目及钢铁压延加工项目）、焦化、建材（非金属矿物制品，不含耐火材料项目）、有色（不含铜、铅锌、铝、硅等有色金属再生冶炼和原生、再生有色金属压延加工项目）等</w:t>
                  </w:r>
                  <w:r>
                    <w:rPr>
                      <w:szCs w:val="21"/>
                      <w:lang w:bidi="ar"/>
                    </w:rPr>
                    <w:t>8</w:t>
                  </w:r>
                  <w:r>
                    <w:rPr>
                      <w:rFonts w:hint="eastAsia" w:cs="宋体"/>
                      <w:szCs w:val="21"/>
                      <w:lang w:bidi="ar"/>
                    </w:rPr>
                    <w:t>个行业年综合能耗量</w:t>
                  </w:r>
                  <w:r>
                    <w:rPr>
                      <w:szCs w:val="21"/>
                      <w:lang w:bidi="ar"/>
                    </w:rPr>
                    <w:t>5</w:t>
                  </w:r>
                  <w:r>
                    <w:rPr>
                      <w:rFonts w:hint="eastAsia" w:cs="宋体"/>
                      <w:szCs w:val="21"/>
                      <w:lang w:bidi="ar"/>
                    </w:rPr>
                    <w:t>万吨标准煤（等价值）及以上项目。</w:t>
                  </w:r>
                </w:p>
              </w:tc>
              <w:tc>
                <w:tcPr>
                  <w:tcW w:w="194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06CFBC">
                  <w:pPr>
                    <w:rPr>
                      <w:szCs w:val="21"/>
                    </w:rPr>
                  </w:pPr>
                  <w:r>
                    <w:rPr>
                      <w:rFonts w:hint="eastAsia" w:cs="宋体"/>
                      <w:szCs w:val="21"/>
                      <w:lang w:bidi="ar"/>
                    </w:rPr>
                    <w:t>本项目为特种玻璃制造，</w:t>
                  </w:r>
                  <w:r>
                    <w:rPr>
                      <w:szCs w:val="21"/>
                    </w:rPr>
                    <w:t>属于第一类中的非金属矿物制品</w:t>
                  </w:r>
                  <w:r>
                    <w:rPr>
                      <w:rFonts w:hint="eastAsia"/>
                      <w:szCs w:val="21"/>
                    </w:rPr>
                    <w:t>，</w:t>
                  </w:r>
                  <w:r>
                    <w:rPr>
                      <w:szCs w:val="21"/>
                    </w:rPr>
                    <w:t>项目年综合能源消耗量</w:t>
                  </w:r>
                  <w:r>
                    <w:rPr>
                      <w:rFonts w:hint="eastAsia"/>
                      <w:szCs w:val="21"/>
                    </w:rPr>
                    <w:t>（等价值）为300tce，小于5万tce，不属于“两高”项目</w:t>
                  </w:r>
                </w:p>
              </w:tc>
            </w:tr>
            <w:tr w14:paraId="56C7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D40329">
                  <w:pPr>
                    <w:rPr>
                      <w:szCs w:val="21"/>
                    </w:rPr>
                  </w:pPr>
                  <w:r>
                    <w:rPr>
                      <w:rFonts w:hint="eastAsia" w:cs="宋体"/>
                      <w:szCs w:val="21"/>
                      <w:lang w:bidi="ar"/>
                    </w:rPr>
                    <w:t>第二类：</w:t>
                  </w:r>
                  <w:r>
                    <w:rPr>
                      <w:szCs w:val="21"/>
                      <w:lang w:bidi="ar"/>
                    </w:rPr>
                    <w:t>19</w:t>
                  </w:r>
                  <w:r>
                    <w:rPr>
                      <w:rFonts w:hint="eastAsia" w:cs="宋体"/>
                      <w:szCs w:val="21"/>
                      <w:lang w:bidi="ar"/>
                    </w:rPr>
                    <w:t>个细分行业中年综合能耗</w:t>
                  </w:r>
                  <w:r>
                    <w:rPr>
                      <w:szCs w:val="21"/>
                      <w:lang w:bidi="ar"/>
                    </w:rPr>
                    <w:t>1-5</w:t>
                  </w:r>
                  <w:r>
                    <w:rPr>
                      <w:rFonts w:hint="eastAsia" w:cs="宋体"/>
                      <w:szCs w:val="21"/>
                      <w:lang w:bidi="ar"/>
                    </w:rPr>
                    <w:t>万吨标准煤（等价值）的项目，主要包括：钢铁（长流程炼钢）、铁合金、氧化铝、电解铝、铝用炭素、铜铅锌硅冶炼（不含铜、铅锌、硅再生冶炼）、水泥、石灰、建筑陶瓷、砖瓦（有烧结工序的）、平板玻璃、煤电、炼化、焦化、甲醇、氮肥、醋酸、氯碱、电石等。</w:t>
                  </w:r>
                </w:p>
              </w:tc>
              <w:tc>
                <w:tcPr>
                  <w:tcW w:w="19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CEE100">
                  <w:pPr>
                    <w:rPr>
                      <w:sz w:val="20"/>
                      <w:szCs w:val="20"/>
                    </w:rPr>
                  </w:pPr>
                </w:p>
              </w:tc>
            </w:tr>
          </w:tbl>
          <w:p w14:paraId="7D91A4C5">
            <w:pPr>
              <w:adjustRightInd w:val="0"/>
              <w:snapToGrid w:val="0"/>
              <w:spacing w:line="360" w:lineRule="auto"/>
              <w:ind w:firstLine="482" w:firstLineChars="200"/>
              <w:rPr>
                <w:b/>
                <w:sz w:val="24"/>
              </w:rPr>
            </w:pPr>
            <w:r>
              <w:rPr>
                <w:rFonts w:hint="eastAsia"/>
                <w:b/>
                <w:sz w:val="24"/>
              </w:rPr>
              <w:t>6、饮用水源保护区相符性分析</w:t>
            </w:r>
          </w:p>
          <w:p w14:paraId="5D53E653">
            <w:pPr>
              <w:spacing w:line="360" w:lineRule="auto"/>
              <w:ind w:firstLine="482" w:firstLineChars="200"/>
              <w:rPr>
                <w:b/>
                <w:bCs/>
                <w:sz w:val="24"/>
              </w:rPr>
            </w:pPr>
            <w:r>
              <w:rPr>
                <w:rFonts w:hint="eastAsia"/>
                <w:b/>
                <w:sz w:val="24"/>
              </w:rPr>
              <w:t>6.1</w:t>
            </w:r>
            <w:r>
              <w:rPr>
                <w:rFonts w:hint="eastAsia"/>
                <w:b/>
                <w:bCs/>
                <w:sz w:val="24"/>
              </w:rPr>
              <w:t>濮阳市集中饮用水源及其保护区范围</w:t>
            </w:r>
          </w:p>
          <w:p w14:paraId="18B4B9EC">
            <w:pPr>
              <w:adjustRightInd w:val="0"/>
              <w:snapToGrid w:val="0"/>
              <w:spacing w:line="360" w:lineRule="auto"/>
              <w:ind w:firstLine="480" w:firstLineChars="200"/>
              <w:rPr>
                <w:sz w:val="24"/>
              </w:rPr>
            </w:pPr>
            <w:r>
              <w:rPr>
                <w:rFonts w:hint="eastAsia"/>
                <w:sz w:val="24"/>
              </w:rPr>
              <w:t>根据《河南省城市集中式饮用水源保护区划》（豫政办〔2007〕125号）、河南省环境保护厅及河南省水利厅批复（豫环函〔2014〕61号）的《河南省濮阳市地下饮用水源地调整及保护区核定技术报告》、《河南省人民政府关于调整部分集中式饮用水水源保护区的通知》（豫政文〔2019〕19号）、《河南省人民政府关于调整取消部分集中式饮用水水源保护区的通知》（豫政文〔2021〕72号），濮阳市目前有2个地表水饮用水源保护区、1个地下水饮用水源保护区。濮阳市集中式饮用水源地及保护范围情况如下：</w:t>
            </w:r>
          </w:p>
          <w:p w14:paraId="2A99A6BC">
            <w:pPr>
              <w:spacing w:line="360" w:lineRule="auto"/>
              <w:ind w:firstLine="480" w:firstLineChars="200"/>
              <w:rPr>
                <w:sz w:val="24"/>
              </w:rPr>
            </w:pPr>
            <w:r>
              <w:rPr>
                <w:rFonts w:hint="eastAsia"/>
                <w:sz w:val="24"/>
              </w:rPr>
              <w:t>（1）地表水饮用水源保护区</w:t>
            </w:r>
          </w:p>
          <w:p w14:paraId="5BAE4E01">
            <w:pPr>
              <w:spacing w:line="360" w:lineRule="auto"/>
              <w:ind w:firstLine="480" w:firstLineChars="200"/>
              <w:rPr>
                <w:sz w:val="24"/>
              </w:rPr>
            </w:pPr>
            <w:r>
              <w:rPr>
                <w:rFonts w:hint="eastAsia"/>
                <w:sz w:val="24"/>
              </w:rPr>
              <w:t>①中原油田彭楼地表水饮用水源保护区</w:t>
            </w:r>
          </w:p>
          <w:p w14:paraId="783B8735">
            <w:pPr>
              <w:spacing w:line="360" w:lineRule="auto"/>
              <w:ind w:firstLine="480" w:firstLineChars="200"/>
              <w:rPr>
                <w:sz w:val="24"/>
              </w:rPr>
            </w:pPr>
            <w:r>
              <w:rPr>
                <w:rFonts w:hint="eastAsia"/>
                <w:sz w:val="24"/>
              </w:rPr>
              <w:t>一级保护区：黄河干流彭楼引水口下游100米至上游10号坝河道濮阳市界内至黄河左岸连坝坡角线外50米的区域，彭楼引水口至彭楼闸之间输水渠两侧生产堤内的区域，彭楼闸至水源取水口下游100m之间输水渠及两侧50米的区域。</w:t>
            </w:r>
          </w:p>
          <w:p w14:paraId="3379A31C">
            <w:pPr>
              <w:spacing w:line="360" w:lineRule="auto"/>
              <w:ind w:firstLine="480" w:firstLineChars="200"/>
              <w:rPr>
                <w:sz w:val="24"/>
              </w:rPr>
            </w:pPr>
            <w:r>
              <w:rPr>
                <w:rFonts w:hint="eastAsia"/>
                <w:sz w:val="24"/>
              </w:rPr>
              <w:t>二级保护区：一级保护区外，黄河干流彭楼引水口至上游范县界河道、濮阳市界内至黄河左岸生产堤内的区域，彭楼闸至彭楼取水口下游300m的输水渠及两侧1000米至黄河大堤外侧的区域。</w:t>
            </w:r>
          </w:p>
          <w:p w14:paraId="0BD9516A">
            <w:pPr>
              <w:spacing w:line="360" w:lineRule="auto"/>
              <w:ind w:firstLine="480" w:firstLineChars="200"/>
              <w:rPr>
                <w:sz w:val="24"/>
              </w:rPr>
            </w:pPr>
            <w:r>
              <w:rPr>
                <w:rFonts w:hint="eastAsia"/>
                <w:sz w:val="24"/>
              </w:rPr>
              <w:t>②西水坡地表水饮用水源保护区</w:t>
            </w:r>
          </w:p>
          <w:p w14:paraId="521EA3F8">
            <w:pPr>
              <w:spacing w:line="360" w:lineRule="auto"/>
              <w:ind w:firstLine="480" w:firstLineChars="200"/>
              <w:rPr>
                <w:sz w:val="24"/>
              </w:rPr>
            </w:pPr>
            <w:r>
              <w:rPr>
                <w:rFonts w:hint="eastAsia"/>
                <w:sz w:val="24"/>
              </w:rPr>
              <w:t>一级保护区：黄河干流渠村引水口下游100米至上游青庄1号坝河道濮阳市界内至黄河左岸连坝坡角线外50米的区域，渠村引水口至渠首闸输水渠两侧连坝路之内的区域，渠村沉砂池外200米至黄河大堤外侧及濮清南干渠东侧的区域，西水坡调节池围墙以内的区域。</w:t>
            </w:r>
          </w:p>
          <w:p w14:paraId="05E5B313">
            <w:pPr>
              <w:spacing w:line="360" w:lineRule="auto"/>
              <w:ind w:firstLine="480" w:firstLineChars="200"/>
              <w:rPr>
                <w:sz w:val="24"/>
              </w:rPr>
            </w:pPr>
            <w:r>
              <w:rPr>
                <w:rFonts w:hint="eastAsia"/>
                <w:sz w:val="24"/>
              </w:rPr>
              <w:t>二级保护区：一级保护区外，黄河干流渠村引水口至上游8号坝河道濮阳市界内至黄河左岸生产堤以内的区域，渠村沉砂池一级保护区外1000米至黄河大堤外侧的区域。</w:t>
            </w:r>
          </w:p>
          <w:p w14:paraId="76171628">
            <w:pPr>
              <w:spacing w:line="360" w:lineRule="auto"/>
              <w:ind w:firstLine="480" w:firstLineChars="200"/>
              <w:rPr>
                <w:sz w:val="24"/>
              </w:rPr>
            </w:pPr>
            <w:r>
              <w:rPr>
                <w:rFonts w:hint="eastAsia"/>
                <w:sz w:val="24"/>
              </w:rPr>
              <w:t>（2）地下水饮用水源保护区</w:t>
            </w:r>
          </w:p>
          <w:p w14:paraId="4755F974">
            <w:pPr>
              <w:spacing w:line="360" w:lineRule="auto"/>
              <w:ind w:firstLine="480" w:firstLineChars="200"/>
              <w:rPr>
                <w:sz w:val="24"/>
              </w:rPr>
            </w:pPr>
            <w:r>
              <w:rPr>
                <w:rFonts w:hint="eastAsia"/>
                <w:sz w:val="24"/>
              </w:rPr>
              <w:t>①李子园地下水饮用水源保护区</w:t>
            </w:r>
          </w:p>
          <w:p w14:paraId="1D90090D">
            <w:pPr>
              <w:spacing w:line="360" w:lineRule="auto"/>
              <w:ind w:firstLine="480" w:firstLineChars="200"/>
              <w:rPr>
                <w:sz w:val="24"/>
              </w:rPr>
            </w:pPr>
            <w:r>
              <w:rPr>
                <w:rFonts w:hint="eastAsia"/>
                <w:sz w:val="24"/>
              </w:rPr>
              <w:t>一级保护区：取水井外围50米的区域。</w:t>
            </w:r>
          </w:p>
          <w:p w14:paraId="4F978C05">
            <w:pPr>
              <w:spacing w:line="360" w:lineRule="auto"/>
              <w:ind w:firstLine="480" w:firstLineChars="200"/>
              <w:rPr>
                <w:sz w:val="24"/>
              </w:rPr>
            </w:pPr>
            <w:r>
              <w:rPr>
                <w:rFonts w:hint="eastAsia"/>
                <w:sz w:val="24"/>
              </w:rPr>
              <w:t>二级保护区：一级保护区外，取水井外围550米所包含的区域。</w:t>
            </w:r>
          </w:p>
          <w:p w14:paraId="77FA53C4">
            <w:pPr>
              <w:spacing w:line="360" w:lineRule="auto"/>
              <w:ind w:firstLine="480" w:firstLineChars="200"/>
              <w:rPr>
                <w:sz w:val="24"/>
              </w:rPr>
            </w:pPr>
            <w:r>
              <w:rPr>
                <w:rFonts w:hint="eastAsia"/>
                <w:sz w:val="24"/>
              </w:rPr>
              <w:t>准保护区：二级保护区外，北至北线4号水井以北1000米、西至西线6号井以西1000米、南至高铺干渠—濮清南干渠—016县道、东至五星沟西侧范围内的区域。</w:t>
            </w:r>
          </w:p>
          <w:p w14:paraId="4A04AE09">
            <w:pPr>
              <w:spacing w:line="360" w:lineRule="auto"/>
              <w:ind w:firstLine="482" w:firstLineChars="200"/>
              <w:rPr>
                <w:sz w:val="24"/>
              </w:rPr>
            </w:pPr>
            <w:r>
              <w:rPr>
                <w:rFonts w:hint="eastAsia"/>
                <w:b/>
                <w:sz w:val="24"/>
              </w:rPr>
              <w:t>相符性分析：</w:t>
            </w:r>
            <w:r>
              <w:rPr>
                <w:rFonts w:hint="eastAsia"/>
                <w:sz w:val="24"/>
              </w:rPr>
              <w:t>本项目位于濮阳市清丰县先进制造业开发区，项目厂址距离濮阳市集中饮用水源保护区最近的饮水源保护区为</w:t>
            </w:r>
            <w:r>
              <w:rPr>
                <w:rFonts w:hint="eastAsia"/>
                <w:sz w:val="24"/>
                <w:szCs w:val="32"/>
                <w:lang w:bidi="ar"/>
              </w:rPr>
              <w:t>西水坡地表水饮用水源保护区</w:t>
            </w:r>
            <w:r>
              <w:rPr>
                <w:rFonts w:hint="eastAsia"/>
                <w:sz w:val="24"/>
              </w:rPr>
              <w:t>，位于本项目西南侧约19.5km，本项目不在濮阳市集中饮用水源地一、二级保护区及准保护区范围内。</w:t>
            </w:r>
          </w:p>
          <w:p w14:paraId="043E1293">
            <w:pPr>
              <w:spacing w:line="360" w:lineRule="auto"/>
              <w:ind w:firstLine="482" w:firstLineChars="200"/>
              <w:rPr>
                <w:b/>
                <w:bCs/>
                <w:sz w:val="24"/>
              </w:rPr>
            </w:pPr>
            <w:r>
              <w:rPr>
                <w:rFonts w:hint="eastAsia"/>
                <w:b/>
                <w:sz w:val="24"/>
              </w:rPr>
              <w:t>6.2</w:t>
            </w:r>
            <w:r>
              <w:rPr>
                <w:rFonts w:hint="eastAsia"/>
                <w:b/>
                <w:bCs/>
                <w:sz w:val="24"/>
              </w:rPr>
              <w:t>河南省县级集中式饮用水水源保护区划</w:t>
            </w:r>
          </w:p>
          <w:p w14:paraId="182A402E">
            <w:pPr>
              <w:adjustRightInd w:val="0"/>
              <w:snapToGrid w:val="0"/>
              <w:spacing w:line="360" w:lineRule="auto"/>
              <w:ind w:firstLine="480" w:firstLineChars="200"/>
              <w:rPr>
                <w:sz w:val="24"/>
              </w:rPr>
            </w:pPr>
            <w:r>
              <w:rPr>
                <w:rFonts w:hint="eastAsia"/>
                <w:sz w:val="24"/>
              </w:rPr>
              <w:t>根据《河南省人民政府办公厅关于印发河南省县级集中式饮用水水源保护区划的通知》（豫政办〔2013〕107号），清丰县集中供水取水地点位于清丰县城关镇八里庄一带，布置在骆家南至纸房一线。清丰县八里庄水源地共有12个取水点，分别为1#骆家村西南、2#卞家村北、3#卞家村东北、4#梅庄北、5#郝庄西北、6#孟楼北、7#张二庄西北、8#张二庄西、9#张二庄西南、10#也庄村西北、11#也庄村西、12#也庄村西南。每个点位设置一深一浅两眼井，取水点间间距均在500m左右，开采的目的层位分别为：深层水开采层位为深埋330m-500m的含水层组，浅层水含水层主要为60m-150m的含水层组。开采方式采用浅、深井分层开采方案，综合便于井排抽水方式，各井水汇合后采用管道运至清丰县产业集聚区水厂，产业集聚区水厂将地下水集中处理后供县城生活用水以及集聚区工业用水。</w:t>
            </w:r>
          </w:p>
          <w:p w14:paraId="31392B15">
            <w:pPr>
              <w:adjustRightInd w:val="0"/>
              <w:snapToGrid w:val="0"/>
              <w:spacing w:line="360" w:lineRule="auto"/>
              <w:ind w:firstLine="480" w:firstLineChars="200"/>
              <w:rPr>
                <w:sz w:val="24"/>
              </w:rPr>
            </w:pPr>
            <w:r>
              <w:rPr>
                <w:rFonts w:hint="eastAsia"/>
                <w:sz w:val="24"/>
              </w:rPr>
              <w:t>依据《清丰县集中式饮用水源保护区划分技术报告》，清丰县八里庄地下水井群（共24眼井）一级保护区范围：1～2号、3～4号、5～6号、7～8号、9～10号各组井群外包线内及外围30米、北至潴龙河所包含的区域；11～12号、13～14号、15～16号、17～18号、19～20号、21～22号、23～24号各组井群外包线内及外围30米的区域。准保护区范围：潴龙河017县道公路桥上游1560米至下游4166米河道内水域。</w:t>
            </w:r>
          </w:p>
          <w:p w14:paraId="73DC9CF0">
            <w:pPr>
              <w:spacing w:line="360" w:lineRule="auto"/>
              <w:ind w:firstLine="482" w:firstLineChars="200"/>
              <w:rPr>
                <w:b/>
                <w:sz w:val="24"/>
              </w:rPr>
            </w:pPr>
            <w:r>
              <w:rPr>
                <w:rFonts w:hint="eastAsia"/>
                <w:b/>
                <w:sz w:val="24"/>
              </w:rPr>
              <w:t>相符性分析：</w:t>
            </w:r>
            <w:r>
              <w:rPr>
                <w:rFonts w:hint="eastAsia"/>
                <w:sz w:val="24"/>
              </w:rPr>
              <w:t>本项目位于濮阳市清丰县先进制造业开发区，项目厂区距离清丰县八里庄地下水井群的最近距离约2.935km，不在清丰县八里庄地下水井群保护区范围内，符合清丰县县级饮用水水源地保护规划。</w:t>
            </w:r>
          </w:p>
          <w:p w14:paraId="30878BB1">
            <w:pPr>
              <w:spacing w:line="360" w:lineRule="auto"/>
              <w:ind w:firstLine="482" w:firstLineChars="200"/>
              <w:rPr>
                <w:b/>
                <w:bCs/>
                <w:sz w:val="24"/>
              </w:rPr>
            </w:pPr>
            <w:r>
              <w:rPr>
                <w:rFonts w:hint="eastAsia"/>
                <w:b/>
                <w:sz w:val="24"/>
              </w:rPr>
              <w:t>6.3</w:t>
            </w:r>
            <w:r>
              <w:rPr>
                <w:rFonts w:hint="eastAsia"/>
                <w:b/>
                <w:bCs/>
                <w:sz w:val="24"/>
              </w:rPr>
              <w:t>河南省乡镇集中式饮用水水源保护区划和清丰县“千吨万人”饮用水水源地保护规划</w:t>
            </w:r>
          </w:p>
          <w:p w14:paraId="325671CD">
            <w:pPr>
              <w:adjustRightInd w:val="0"/>
              <w:snapToGrid w:val="0"/>
              <w:spacing w:line="360" w:lineRule="auto"/>
              <w:ind w:firstLine="480" w:firstLineChars="200"/>
              <w:rPr>
                <w:sz w:val="24"/>
              </w:rPr>
            </w:pPr>
            <w:r>
              <w:rPr>
                <w:rFonts w:hint="eastAsia"/>
                <w:sz w:val="24"/>
              </w:rPr>
              <w:t>1、根据《河南省人民政府办公厅关于印发河南省乡镇集中式饮用水水源保护区划的通知》（豫政办〔2016〕23号），本项目所在地清丰县涉及到的引用水源保护区分以下地区：</w:t>
            </w:r>
          </w:p>
          <w:p w14:paraId="59DD9215">
            <w:pPr>
              <w:adjustRightInd w:val="0"/>
              <w:snapToGrid w:val="0"/>
              <w:spacing w:line="360" w:lineRule="auto"/>
              <w:ind w:firstLine="480" w:firstLineChars="200"/>
              <w:rPr>
                <w:sz w:val="24"/>
              </w:rPr>
            </w:pPr>
            <w:r>
              <w:rPr>
                <w:rFonts w:hint="eastAsia"/>
                <w:sz w:val="24"/>
              </w:rPr>
              <w:t>(1)清丰县巩营乡水厂地下水井群(共4眼井)</w:t>
            </w:r>
          </w:p>
          <w:p w14:paraId="28185A70">
            <w:pPr>
              <w:adjustRightInd w:val="0"/>
              <w:snapToGrid w:val="0"/>
              <w:spacing w:line="360" w:lineRule="auto"/>
              <w:ind w:firstLine="480" w:firstLineChars="200"/>
              <w:rPr>
                <w:sz w:val="24"/>
              </w:rPr>
            </w:pPr>
            <w:r>
              <w:rPr>
                <w:rFonts w:hint="eastAsia"/>
                <w:sz w:val="24"/>
              </w:rPr>
              <w:t>一级保护区范围：水厂厂区及外围东40米、南30米、北30米、西至209省道的区域。</w:t>
            </w:r>
          </w:p>
          <w:p w14:paraId="506FE240">
            <w:pPr>
              <w:adjustRightInd w:val="0"/>
              <w:snapToGrid w:val="0"/>
              <w:spacing w:line="360" w:lineRule="auto"/>
              <w:ind w:firstLine="480" w:firstLineChars="200"/>
              <w:rPr>
                <w:sz w:val="24"/>
              </w:rPr>
            </w:pPr>
            <w:r>
              <w:rPr>
                <w:rFonts w:hint="eastAsia"/>
                <w:sz w:val="24"/>
              </w:rPr>
              <w:t>(2)清丰县马村乡水厂地下水井群(共4眼井)</w:t>
            </w:r>
          </w:p>
          <w:p w14:paraId="58679488">
            <w:pPr>
              <w:adjustRightInd w:val="0"/>
              <w:snapToGrid w:val="0"/>
              <w:spacing w:line="360" w:lineRule="auto"/>
              <w:ind w:firstLine="480" w:firstLineChars="200"/>
              <w:rPr>
                <w:sz w:val="24"/>
              </w:rPr>
            </w:pPr>
            <w:r>
              <w:rPr>
                <w:rFonts w:hint="eastAsia"/>
                <w:sz w:val="24"/>
              </w:rPr>
              <w:t>一级保护区范围：水厂厂区及外围东30米、南30米、北至302省道的区域(1、2号取水井)，3、4号取水井外围30米的区域。</w:t>
            </w:r>
          </w:p>
          <w:p w14:paraId="5EADF589">
            <w:pPr>
              <w:adjustRightInd w:val="0"/>
              <w:snapToGrid w:val="0"/>
              <w:spacing w:line="360" w:lineRule="auto"/>
              <w:ind w:firstLine="480" w:firstLineChars="200"/>
              <w:rPr>
                <w:sz w:val="24"/>
              </w:rPr>
            </w:pPr>
            <w:r>
              <w:rPr>
                <w:rFonts w:hint="eastAsia"/>
                <w:sz w:val="24"/>
              </w:rPr>
              <w:t>(3)清丰县仙庄镇水厂地下水井群(共5眼井)</w:t>
            </w:r>
          </w:p>
          <w:p w14:paraId="5434F0FB">
            <w:pPr>
              <w:adjustRightInd w:val="0"/>
              <w:snapToGrid w:val="0"/>
              <w:spacing w:line="360" w:lineRule="auto"/>
              <w:ind w:firstLine="480" w:firstLineChars="200"/>
              <w:rPr>
                <w:sz w:val="24"/>
              </w:rPr>
            </w:pPr>
            <w:r>
              <w:rPr>
                <w:rFonts w:hint="eastAsia"/>
                <w:sz w:val="24"/>
              </w:rPr>
              <w:t>一级保护区范围：水厂厂区及外围30米西至209省道的区域(1～3号取水井)，4、5号取水井外围30米的区域。</w:t>
            </w:r>
          </w:p>
          <w:p w14:paraId="507A38EE">
            <w:pPr>
              <w:adjustRightInd w:val="0"/>
              <w:snapToGrid w:val="0"/>
              <w:spacing w:line="360" w:lineRule="auto"/>
              <w:ind w:firstLine="480" w:firstLineChars="200"/>
              <w:rPr>
                <w:sz w:val="24"/>
              </w:rPr>
            </w:pPr>
            <w:r>
              <w:rPr>
                <w:rFonts w:hint="eastAsia"/>
                <w:sz w:val="24"/>
              </w:rPr>
              <w:t xml:space="preserve"> (4)清丰县高堡乡水厂地下水井群(共3眼井)</w:t>
            </w:r>
          </w:p>
          <w:p w14:paraId="366F1718">
            <w:pPr>
              <w:adjustRightInd w:val="0"/>
              <w:snapToGrid w:val="0"/>
              <w:spacing w:line="360" w:lineRule="auto"/>
              <w:ind w:firstLine="480" w:firstLineChars="200"/>
              <w:rPr>
                <w:sz w:val="24"/>
              </w:rPr>
            </w:pPr>
            <w:r>
              <w:rPr>
                <w:rFonts w:hint="eastAsia"/>
                <w:sz w:val="24"/>
              </w:rPr>
              <w:t>一级保护区范围：水厂厂区及外围30米、南至302省道的区域。</w:t>
            </w:r>
          </w:p>
          <w:p w14:paraId="1301E429">
            <w:pPr>
              <w:adjustRightInd w:val="0"/>
              <w:snapToGrid w:val="0"/>
              <w:spacing w:line="360" w:lineRule="auto"/>
              <w:ind w:firstLine="480" w:firstLineChars="200"/>
              <w:rPr>
                <w:sz w:val="24"/>
              </w:rPr>
            </w:pPr>
            <w:r>
              <w:rPr>
                <w:rFonts w:hint="eastAsia"/>
                <w:sz w:val="24"/>
              </w:rPr>
              <w:t>(5)清丰县大流乡大岳庄供水站地下水井(共1 眼井)</w:t>
            </w:r>
          </w:p>
          <w:p w14:paraId="61B811A4">
            <w:pPr>
              <w:adjustRightInd w:val="0"/>
              <w:snapToGrid w:val="0"/>
              <w:spacing w:line="360" w:lineRule="auto"/>
              <w:ind w:firstLine="480" w:firstLineChars="200"/>
              <w:rPr>
                <w:sz w:val="24"/>
              </w:rPr>
            </w:pPr>
            <w:r>
              <w:rPr>
                <w:rFonts w:hint="eastAsia"/>
                <w:sz w:val="24"/>
              </w:rPr>
              <w:t>一级保护区范围：水厂厂区及外围西30米、南30米、北至009县道的区域。</w:t>
            </w:r>
          </w:p>
          <w:p w14:paraId="3D540B6E">
            <w:pPr>
              <w:adjustRightInd w:val="0"/>
              <w:snapToGrid w:val="0"/>
              <w:spacing w:line="360" w:lineRule="auto"/>
              <w:ind w:firstLine="480" w:firstLineChars="200"/>
              <w:rPr>
                <w:sz w:val="24"/>
              </w:rPr>
            </w:pPr>
            <w:r>
              <w:rPr>
                <w:rFonts w:hint="eastAsia"/>
                <w:sz w:val="24"/>
              </w:rPr>
              <w:t>(6)清丰县阳邵乡水厂地下水井群(共4眼井)</w:t>
            </w:r>
          </w:p>
          <w:p w14:paraId="24806550">
            <w:pPr>
              <w:adjustRightInd w:val="0"/>
              <w:snapToGrid w:val="0"/>
              <w:spacing w:line="360" w:lineRule="auto"/>
              <w:ind w:firstLine="480" w:firstLineChars="200"/>
              <w:rPr>
                <w:sz w:val="24"/>
              </w:rPr>
            </w:pPr>
            <w:r>
              <w:rPr>
                <w:rFonts w:hint="eastAsia"/>
                <w:sz w:val="24"/>
              </w:rPr>
              <w:t>一级保护区范围：水厂厂区及外围30米、南至014县道的区域。</w:t>
            </w:r>
          </w:p>
          <w:p w14:paraId="55390F62">
            <w:pPr>
              <w:adjustRightInd w:val="0"/>
              <w:snapToGrid w:val="0"/>
              <w:spacing w:line="360" w:lineRule="auto"/>
              <w:ind w:firstLine="480" w:firstLineChars="200"/>
              <w:rPr>
                <w:sz w:val="24"/>
              </w:rPr>
            </w:pPr>
            <w:r>
              <w:rPr>
                <w:rFonts w:hint="eastAsia"/>
                <w:sz w:val="24"/>
              </w:rPr>
              <w:t>(7)清丰县古城乡水厂地下水井群(共2眼井)</w:t>
            </w:r>
          </w:p>
          <w:p w14:paraId="68BCF706">
            <w:pPr>
              <w:adjustRightInd w:val="0"/>
              <w:snapToGrid w:val="0"/>
              <w:spacing w:line="360" w:lineRule="auto"/>
              <w:ind w:firstLine="480" w:firstLineChars="200"/>
              <w:rPr>
                <w:sz w:val="24"/>
              </w:rPr>
            </w:pPr>
            <w:r>
              <w:rPr>
                <w:rFonts w:hint="eastAsia"/>
                <w:sz w:val="24"/>
              </w:rPr>
              <w:t>一级保护区范围：水厂厂区及外围30米的区域。</w:t>
            </w:r>
          </w:p>
          <w:p w14:paraId="6275906D">
            <w:pPr>
              <w:adjustRightInd w:val="0"/>
              <w:snapToGrid w:val="0"/>
              <w:spacing w:line="360" w:lineRule="auto"/>
              <w:ind w:firstLine="480" w:firstLineChars="200"/>
              <w:rPr>
                <w:sz w:val="24"/>
              </w:rPr>
            </w:pPr>
            <w:r>
              <w:rPr>
                <w:rFonts w:hint="eastAsia"/>
                <w:sz w:val="24"/>
              </w:rPr>
              <w:t>(8)清丰县大屯乡水厂地下水井群(共4眼井)</w:t>
            </w:r>
          </w:p>
          <w:p w14:paraId="0C71870D">
            <w:pPr>
              <w:adjustRightInd w:val="0"/>
              <w:snapToGrid w:val="0"/>
              <w:spacing w:line="360" w:lineRule="auto"/>
              <w:ind w:firstLine="480" w:firstLineChars="200"/>
              <w:rPr>
                <w:sz w:val="24"/>
              </w:rPr>
            </w:pPr>
            <w:r>
              <w:rPr>
                <w:rFonts w:hint="eastAsia"/>
                <w:sz w:val="24"/>
              </w:rPr>
              <w:t>一级保护区范围：水厂厂区及外围东60米、西20米、南50米的区域。</w:t>
            </w:r>
          </w:p>
          <w:p w14:paraId="79ACDC2D">
            <w:pPr>
              <w:adjustRightInd w:val="0"/>
              <w:snapToGrid w:val="0"/>
              <w:spacing w:line="360" w:lineRule="auto"/>
              <w:ind w:firstLine="480" w:firstLineChars="200"/>
              <w:rPr>
                <w:sz w:val="24"/>
              </w:rPr>
            </w:pPr>
            <w:r>
              <w:rPr>
                <w:rFonts w:hint="eastAsia"/>
                <w:sz w:val="24"/>
              </w:rPr>
              <w:t>(9)清丰县韩村乡水厂地下水井群(共4眼井)</w:t>
            </w:r>
          </w:p>
          <w:p w14:paraId="5035A06C">
            <w:pPr>
              <w:adjustRightInd w:val="0"/>
              <w:snapToGrid w:val="0"/>
              <w:spacing w:line="360" w:lineRule="auto"/>
              <w:ind w:firstLine="480" w:firstLineChars="200"/>
              <w:rPr>
                <w:sz w:val="24"/>
              </w:rPr>
            </w:pPr>
            <w:r>
              <w:rPr>
                <w:rFonts w:hint="eastAsia"/>
                <w:sz w:val="24"/>
              </w:rPr>
              <w:t>一级保护区范围：1～3号取水井外围30米的区域，4号取水井外围30 米、南至302 省道</w:t>
            </w:r>
          </w:p>
          <w:p w14:paraId="2E972F45">
            <w:pPr>
              <w:adjustRightInd w:val="0"/>
              <w:snapToGrid w:val="0"/>
              <w:spacing w:line="360" w:lineRule="auto"/>
              <w:ind w:firstLine="480" w:firstLineChars="200"/>
              <w:rPr>
                <w:sz w:val="24"/>
              </w:rPr>
            </w:pPr>
            <w:r>
              <w:rPr>
                <w:rFonts w:hint="eastAsia"/>
                <w:sz w:val="24"/>
              </w:rPr>
              <w:t>的区域。</w:t>
            </w:r>
          </w:p>
          <w:p w14:paraId="5166F7CF">
            <w:pPr>
              <w:adjustRightInd w:val="0"/>
              <w:snapToGrid w:val="0"/>
              <w:spacing w:line="360" w:lineRule="auto"/>
              <w:ind w:firstLine="480" w:firstLineChars="200"/>
              <w:rPr>
                <w:sz w:val="24"/>
              </w:rPr>
            </w:pPr>
            <w:r>
              <w:rPr>
                <w:rFonts w:hint="eastAsia"/>
                <w:sz w:val="24"/>
              </w:rPr>
              <w:t>(10)清丰县固城乡水厂地下水井群(共4眼井)</w:t>
            </w:r>
          </w:p>
          <w:p w14:paraId="322AD7D3">
            <w:pPr>
              <w:adjustRightInd w:val="0"/>
              <w:snapToGrid w:val="0"/>
              <w:spacing w:line="360" w:lineRule="auto"/>
              <w:ind w:firstLine="480" w:firstLineChars="200"/>
              <w:rPr>
                <w:sz w:val="24"/>
              </w:rPr>
            </w:pPr>
            <w:r>
              <w:rPr>
                <w:rFonts w:hint="eastAsia"/>
                <w:sz w:val="24"/>
              </w:rPr>
              <w:t>一级保护区范围：水厂厂区及外围30米、南至015县道的区域。</w:t>
            </w:r>
          </w:p>
          <w:p w14:paraId="32269E64">
            <w:pPr>
              <w:adjustRightInd w:val="0"/>
              <w:snapToGrid w:val="0"/>
              <w:spacing w:line="360" w:lineRule="auto"/>
              <w:ind w:firstLine="480" w:firstLineChars="200"/>
              <w:rPr>
                <w:sz w:val="24"/>
              </w:rPr>
            </w:pPr>
            <w:r>
              <w:rPr>
                <w:rFonts w:hint="eastAsia"/>
                <w:sz w:val="24"/>
              </w:rPr>
              <w:t>(11)清丰县柳格镇水厂地下水井群(共2眼井)</w:t>
            </w:r>
          </w:p>
          <w:p w14:paraId="2912C12C">
            <w:pPr>
              <w:adjustRightInd w:val="0"/>
              <w:snapToGrid w:val="0"/>
              <w:spacing w:line="360" w:lineRule="auto"/>
              <w:ind w:firstLine="480" w:firstLineChars="200"/>
              <w:rPr>
                <w:sz w:val="24"/>
              </w:rPr>
            </w:pPr>
            <w:r>
              <w:rPr>
                <w:rFonts w:hint="eastAsia"/>
                <w:sz w:val="24"/>
              </w:rPr>
              <w:t>一级保护区范围：水厂厂区及外围30米、北至015县道的区域。</w:t>
            </w:r>
          </w:p>
          <w:p w14:paraId="20068092">
            <w:pPr>
              <w:adjustRightInd w:val="0"/>
              <w:snapToGrid w:val="0"/>
              <w:spacing w:line="360" w:lineRule="auto"/>
              <w:ind w:firstLine="480" w:firstLineChars="200"/>
              <w:rPr>
                <w:sz w:val="24"/>
              </w:rPr>
            </w:pPr>
            <w:r>
              <w:rPr>
                <w:rFonts w:hint="eastAsia"/>
                <w:sz w:val="24"/>
              </w:rPr>
              <w:t>(12)清丰县双庙乡供水站地下水井(共1眼井)</w:t>
            </w:r>
          </w:p>
          <w:p w14:paraId="3E6049F7">
            <w:pPr>
              <w:adjustRightInd w:val="0"/>
              <w:snapToGrid w:val="0"/>
              <w:spacing w:line="360" w:lineRule="auto"/>
              <w:ind w:firstLine="480" w:firstLineChars="200"/>
              <w:rPr>
                <w:sz w:val="24"/>
              </w:rPr>
            </w:pPr>
            <w:r>
              <w:rPr>
                <w:rFonts w:hint="eastAsia"/>
                <w:sz w:val="24"/>
              </w:rPr>
              <w:t>一级保护区范围：水厂厂区及外围东30米、南30米、西20米、北至015县道的区域。</w:t>
            </w:r>
          </w:p>
          <w:p w14:paraId="251A258A">
            <w:pPr>
              <w:adjustRightInd w:val="0"/>
              <w:snapToGrid w:val="0"/>
              <w:spacing w:line="360" w:lineRule="auto"/>
              <w:ind w:firstLine="480" w:firstLineChars="200"/>
              <w:rPr>
                <w:sz w:val="24"/>
              </w:rPr>
            </w:pPr>
            <w:r>
              <w:rPr>
                <w:rFonts w:hint="eastAsia"/>
                <w:sz w:val="24"/>
              </w:rPr>
              <w:t>(13)清丰县瓦屋头镇水厂地下水井群(共3眼井)</w:t>
            </w:r>
          </w:p>
          <w:p w14:paraId="10E81E42">
            <w:pPr>
              <w:adjustRightInd w:val="0"/>
              <w:snapToGrid w:val="0"/>
              <w:spacing w:line="360" w:lineRule="auto"/>
              <w:ind w:firstLine="480" w:firstLineChars="200"/>
              <w:rPr>
                <w:sz w:val="24"/>
              </w:rPr>
            </w:pPr>
            <w:r>
              <w:rPr>
                <w:rFonts w:hint="eastAsia"/>
                <w:sz w:val="24"/>
              </w:rPr>
              <w:t>一级保护区范围：水厂厂区及外围西20米、北30米的区域(1号取水井)，2号取水井外围30米、东至Z001线的区域，3号取水井外围30米的区域。</w:t>
            </w:r>
          </w:p>
          <w:p w14:paraId="30FB1532">
            <w:pPr>
              <w:adjustRightInd w:val="0"/>
              <w:snapToGrid w:val="0"/>
              <w:spacing w:line="360" w:lineRule="auto"/>
              <w:ind w:firstLine="480" w:firstLineChars="200"/>
              <w:rPr>
                <w:sz w:val="24"/>
              </w:rPr>
            </w:pPr>
            <w:r>
              <w:rPr>
                <w:rFonts w:hint="eastAsia"/>
                <w:sz w:val="24"/>
              </w:rPr>
              <w:t>(14)清丰县六塔乡水厂地下水井群(共5眼井)</w:t>
            </w:r>
          </w:p>
          <w:p w14:paraId="17C55BE4">
            <w:pPr>
              <w:adjustRightInd w:val="0"/>
              <w:snapToGrid w:val="0"/>
              <w:spacing w:line="360" w:lineRule="auto"/>
              <w:ind w:firstLine="480" w:firstLineChars="200"/>
              <w:rPr>
                <w:sz w:val="24"/>
              </w:rPr>
            </w:pPr>
            <w:r>
              <w:rPr>
                <w:rFonts w:hint="eastAsia"/>
                <w:sz w:val="24"/>
              </w:rPr>
              <w:t>一级保护区范围：水厂厂区及外围西105米、南30米的区域。</w:t>
            </w:r>
          </w:p>
          <w:p w14:paraId="2722C8A5">
            <w:pPr>
              <w:adjustRightInd w:val="0"/>
              <w:snapToGrid w:val="0"/>
              <w:spacing w:line="360" w:lineRule="auto"/>
              <w:ind w:firstLine="480" w:firstLineChars="200"/>
              <w:rPr>
                <w:sz w:val="24"/>
              </w:rPr>
            </w:pPr>
            <w:r>
              <w:rPr>
                <w:rFonts w:hint="eastAsia"/>
                <w:sz w:val="24"/>
              </w:rPr>
              <w:t>(15)清丰县纸房乡孙庄供水厂地下水井群(共2眼井)</w:t>
            </w:r>
          </w:p>
          <w:p w14:paraId="12CFB80A">
            <w:pPr>
              <w:adjustRightInd w:val="0"/>
              <w:snapToGrid w:val="0"/>
              <w:spacing w:line="360" w:lineRule="auto"/>
              <w:ind w:firstLine="480" w:firstLineChars="200"/>
              <w:rPr>
                <w:sz w:val="24"/>
              </w:rPr>
            </w:pPr>
            <w:r>
              <w:rPr>
                <w:rFonts w:hint="eastAsia"/>
                <w:sz w:val="24"/>
              </w:rPr>
              <w:t>一级保护区范围：水厂厂区及外围东10米、西30米、北30米、南至008县道的区域。</w:t>
            </w:r>
          </w:p>
          <w:p w14:paraId="6C4479BD">
            <w:pPr>
              <w:adjustRightInd w:val="0"/>
              <w:snapToGrid w:val="0"/>
              <w:spacing w:line="360" w:lineRule="auto"/>
              <w:ind w:firstLine="480" w:firstLineChars="200"/>
              <w:rPr>
                <w:sz w:val="24"/>
              </w:rPr>
            </w:pPr>
            <w:r>
              <w:rPr>
                <w:rFonts w:hint="eastAsia"/>
                <w:sz w:val="24"/>
              </w:rPr>
              <w:t>2、依据《清丰县人民政府办公室关于划分部分集中式饮用水水源保护区的通知》（清政办〔2019〕24号），对全县7个乡镇的8个水厂、21口井集中式饮用水水源保护区划定如下：</w:t>
            </w:r>
          </w:p>
          <w:p w14:paraId="70F4C972">
            <w:pPr>
              <w:adjustRightInd w:val="0"/>
              <w:snapToGrid w:val="0"/>
              <w:spacing w:line="360" w:lineRule="auto"/>
              <w:ind w:firstLine="480" w:firstLineChars="200"/>
              <w:rPr>
                <w:sz w:val="24"/>
              </w:rPr>
            </w:pPr>
            <w:r>
              <w:rPr>
                <w:rFonts w:hint="eastAsia"/>
                <w:sz w:val="24"/>
              </w:rPr>
              <w:t>（一）高堡乡</w:t>
            </w:r>
          </w:p>
          <w:p w14:paraId="07097CF4">
            <w:pPr>
              <w:adjustRightInd w:val="0"/>
              <w:snapToGrid w:val="0"/>
              <w:spacing w:line="360" w:lineRule="auto"/>
              <w:ind w:firstLine="480" w:firstLineChars="200"/>
              <w:rPr>
                <w:sz w:val="24"/>
              </w:rPr>
            </w:pPr>
            <w:r>
              <w:rPr>
                <w:rFonts w:hint="eastAsia"/>
                <w:sz w:val="24"/>
              </w:rPr>
              <w:t>1.清丰县高堡乡王庄供水厂饮用水源保护区</w:t>
            </w:r>
          </w:p>
          <w:p w14:paraId="1A7E0854">
            <w:pPr>
              <w:adjustRightInd w:val="0"/>
              <w:snapToGrid w:val="0"/>
              <w:spacing w:line="360" w:lineRule="auto"/>
              <w:ind w:firstLine="480" w:firstLineChars="200"/>
              <w:rPr>
                <w:sz w:val="24"/>
              </w:rPr>
            </w:pPr>
            <w:r>
              <w:rPr>
                <w:rFonts w:hint="eastAsia"/>
                <w:sz w:val="24"/>
              </w:rPr>
              <w:t>一级保护区范围：以外围井的外接多边形为边界，向外径向30米距离的区域。</w:t>
            </w:r>
          </w:p>
          <w:p w14:paraId="35A60D99">
            <w:pPr>
              <w:adjustRightInd w:val="0"/>
              <w:snapToGrid w:val="0"/>
              <w:spacing w:line="360" w:lineRule="auto"/>
              <w:ind w:firstLine="480" w:firstLineChars="200"/>
              <w:rPr>
                <w:sz w:val="24"/>
              </w:rPr>
            </w:pPr>
            <w:r>
              <w:rPr>
                <w:rFonts w:hint="eastAsia"/>
                <w:sz w:val="24"/>
              </w:rPr>
              <w:t>2.清丰县高堡乡第三供水厂饮用水源保护区</w:t>
            </w:r>
          </w:p>
          <w:p w14:paraId="41E62BF9">
            <w:pPr>
              <w:adjustRightInd w:val="0"/>
              <w:snapToGrid w:val="0"/>
              <w:spacing w:line="360" w:lineRule="auto"/>
              <w:ind w:firstLine="480" w:firstLineChars="200"/>
              <w:rPr>
                <w:sz w:val="24"/>
              </w:rPr>
            </w:pPr>
            <w:r>
              <w:rPr>
                <w:rFonts w:hint="eastAsia"/>
                <w:sz w:val="24"/>
              </w:rPr>
              <w:t>一级保护区范围：1号水井以开采井为中心，半径30米的区域；2号水井以开采井为中心，半径30米的区域；3号水井以开采井为中心，半径30米的区域。</w:t>
            </w:r>
          </w:p>
          <w:p w14:paraId="3EDC3527">
            <w:pPr>
              <w:adjustRightInd w:val="0"/>
              <w:snapToGrid w:val="0"/>
              <w:spacing w:line="360" w:lineRule="auto"/>
              <w:ind w:firstLine="480" w:firstLineChars="200"/>
              <w:rPr>
                <w:sz w:val="24"/>
              </w:rPr>
            </w:pPr>
            <w:r>
              <w:rPr>
                <w:rFonts w:hint="eastAsia"/>
                <w:sz w:val="24"/>
              </w:rPr>
              <w:t>（二）纸房乡</w:t>
            </w:r>
          </w:p>
          <w:p w14:paraId="535EDB94">
            <w:pPr>
              <w:adjustRightInd w:val="0"/>
              <w:snapToGrid w:val="0"/>
              <w:spacing w:line="360" w:lineRule="auto"/>
              <w:ind w:firstLine="480" w:firstLineChars="200"/>
              <w:rPr>
                <w:sz w:val="24"/>
              </w:rPr>
            </w:pPr>
            <w:r>
              <w:rPr>
                <w:rFonts w:hint="eastAsia"/>
                <w:sz w:val="24"/>
              </w:rPr>
              <w:t>清丰县纸房乡谢朱娄供水厂饮用水源保护区</w:t>
            </w:r>
          </w:p>
          <w:p w14:paraId="1CECD0DA">
            <w:pPr>
              <w:adjustRightInd w:val="0"/>
              <w:snapToGrid w:val="0"/>
              <w:spacing w:line="360" w:lineRule="auto"/>
              <w:ind w:firstLine="480" w:firstLineChars="200"/>
              <w:rPr>
                <w:sz w:val="24"/>
              </w:rPr>
            </w:pPr>
            <w:r>
              <w:rPr>
                <w:rFonts w:hint="eastAsia"/>
                <w:sz w:val="24"/>
              </w:rPr>
              <w:t>一级保护区范围：以外围井的外接多边形为边界，向外径向30米距离的区域。</w:t>
            </w:r>
          </w:p>
          <w:p w14:paraId="12F882DC">
            <w:pPr>
              <w:adjustRightInd w:val="0"/>
              <w:snapToGrid w:val="0"/>
              <w:spacing w:line="360" w:lineRule="auto"/>
              <w:ind w:firstLine="480" w:firstLineChars="200"/>
              <w:rPr>
                <w:sz w:val="24"/>
              </w:rPr>
            </w:pPr>
            <w:r>
              <w:rPr>
                <w:rFonts w:hint="eastAsia"/>
                <w:sz w:val="24"/>
              </w:rPr>
              <w:t>（三）瓦屋头镇</w:t>
            </w:r>
          </w:p>
          <w:p w14:paraId="5D5B7908">
            <w:pPr>
              <w:adjustRightInd w:val="0"/>
              <w:snapToGrid w:val="0"/>
              <w:spacing w:line="360" w:lineRule="auto"/>
              <w:ind w:firstLine="480" w:firstLineChars="200"/>
              <w:rPr>
                <w:sz w:val="24"/>
              </w:rPr>
            </w:pPr>
            <w:r>
              <w:rPr>
                <w:rFonts w:hint="eastAsia"/>
                <w:sz w:val="24"/>
              </w:rPr>
              <w:t>清丰县瓦屋头镇第二供水厂饮用水源保护区</w:t>
            </w:r>
          </w:p>
          <w:p w14:paraId="427BCC69">
            <w:pPr>
              <w:adjustRightInd w:val="0"/>
              <w:snapToGrid w:val="0"/>
              <w:spacing w:line="360" w:lineRule="auto"/>
              <w:ind w:firstLine="480" w:firstLineChars="200"/>
              <w:rPr>
                <w:sz w:val="24"/>
              </w:rPr>
            </w:pPr>
            <w:r>
              <w:rPr>
                <w:rFonts w:hint="eastAsia"/>
                <w:sz w:val="24"/>
              </w:rPr>
              <w:t>一级保护区范围：1号水井以开采井为中心，半径30米的区域；2号水井以开采井为中心，半径30米的区域，其中西侧以道路为界；3号水井以开采井为中心，半径30米的区域；4号水井以开采井为中心，半径30米的区域，其中南侧以瓦屋头镇第二中学北侧外墙为界。</w:t>
            </w:r>
          </w:p>
          <w:p w14:paraId="759FB619">
            <w:pPr>
              <w:adjustRightInd w:val="0"/>
              <w:snapToGrid w:val="0"/>
              <w:spacing w:line="360" w:lineRule="auto"/>
              <w:ind w:firstLine="480" w:firstLineChars="200"/>
              <w:rPr>
                <w:sz w:val="24"/>
              </w:rPr>
            </w:pPr>
            <w:r>
              <w:rPr>
                <w:rFonts w:hint="eastAsia"/>
                <w:sz w:val="24"/>
              </w:rPr>
              <w:t>（四）马庄桥镇</w:t>
            </w:r>
          </w:p>
          <w:p w14:paraId="7C3E36DC">
            <w:pPr>
              <w:adjustRightInd w:val="0"/>
              <w:snapToGrid w:val="0"/>
              <w:spacing w:line="360" w:lineRule="auto"/>
              <w:ind w:firstLine="480" w:firstLineChars="200"/>
              <w:rPr>
                <w:sz w:val="24"/>
              </w:rPr>
            </w:pPr>
            <w:r>
              <w:rPr>
                <w:rFonts w:hint="eastAsia"/>
                <w:sz w:val="24"/>
              </w:rPr>
              <w:t>清丰县马庄桥镇供水厂饮用水源保护区</w:t>
            </w:r>
          </w:p>
          <w:p w14:paraId="61BE8A93">
            <w:pPr>
              <w:adjustRightInd w:val="0"/>
              <w:snapToGrid w:val="0"/>
              <w:spacing w:line="360" w:lineRule="auto"/>
              <w:ind w:firstLine="480" w:firstLineChars="200"/>
              <w:rPr>
                <w:sz w:val="24"/>
              </w:rPr>
            </w:pPr>
            <w:r>
              <w:rPr>
                <w:rFonts w:hint="eastAsia"/>
                <w:sz w:val="24"/>
              </w:rPr>
              <w:t>一级保护区范围：以外围井的外接多边形为边界，向外径向30米距离的区域。</w:t>
            </w:r>
          </w:p>
          <w:p w14:paraId="00B169B0">
            <w:pPr>
              <w:adjustRightInd w:val="0"/>
              <w:snapToGrid w:val="0"/>
              <w:spacing w:line="360" w:lineRule="auto"/>
              <w:ind w:firstLine="480" w:firstLineChars="200"/>
              <w:rPr>
                <w:sz w:val="24"/>
              </w:rPr>
            </w:pPr>
            <w:r>
              <w:rPr>
                <w:rFonts w:hint="eastAsia"/>
                <w:sz w:val="24"/>
              </w:rPr>
              <w:t>（五）大流乡</w:t>
            </w:r>
          </w:p>
          <w:p w14:paraId="0FAF79DD">
            <w:pPr>
              <w:adjustRightInd w:val="0"/>
              <w:snapToGrid w:val="0"/>
              <w:spacing w:line="360" w:lineRule="auto"/>
              <w:ind w:firstLine="480" w:firstLineChars="200"/>
              <w:rPr>
                <w:sz w:val="24"/>
              </w:rPr>
            </w:pPr>
            <w:r>
              <w:rPr>
                <w:rFonts w:hint="eastAsia"/>
                <w:sz w:val="24"/>
              </w:rPr>
              <w:t>清丰县大流乡供水厂饮用水源保护区</w:t>
            </w:r>
          </w:p>
          <w:p w14:paraId="3C3B461E">
            <w:pPr>
              <w:adjustRightInd w:val="0"/>
              <w:snapToGrid w:val="0"/>
              <w:spacing w:line="360" w:lineRule="auto"/>
              <w:ind w:firstLine="480" w:firstLineChars="200"/>
              <w:rPr>
                <w:sz w:val="24"/>
              </w:rPr>
            </w:pPr>
            <w:r>
              <w:rPr>
                <w:rFonts w:hint="eastAsia"/>
                <w:sz w:val="24"/>
              </w:rPr>
              <w:t>一级保护区范围：1号井以单个开采井为中心，半径30米的区域；2号与3号井以外围井的外接多边形为边界，向外径向30米距离的区域。</w:t>
            </w:r>
          </w:p>
          <w:p w14:paraId="00F745DD">
            <w:pPr>
              <w:adjustRightInd w:val="0"/>
              <w:snapToGrid w:val="0"/>
              <w:spacing w:line="360" w:lineRule="auto"/>
              <w:ind w:firstLine="480" w:firstLineChars="200"/>
              <w:rPr>
                <w:sz w:val="24"/>
              </w:rPr>
            </w:pPr>
            <w:r>
              <w:rPr>
                <w:rFonts w:hint="eastAsia"/>
                <w:sz w:val="24"/>
              </w:rPr>
              <w:t>（六）双庙乡</w:t>
            </w:r>
          </w:p>
          <w:p w14:paraId="25F411EF">
            <w:pPr>
              <w:adjustRightInd w:val="0"/>
              <w:snapToGrid w:val="0"/>
              <w:spacing w:line="360" w:lineRule="auto"/>
              <w:ind w:firstLine="480" w:firstLineChars="200"/>
              <w:rPr>
                <w:sz w:val="24"/>
              </w:rPr>
            </w:pPr>
            <w:r>
              <w:rPr>
                <w:rFonts w:hint="eastAsia"/>
                <w:sz w:val="24"/>
              </w:rPr>
              <w:t>清丰县双庙乡供水厂饮用水源保护区</w:t>
            </w:r>
          </w:p>
          <w:p w14:paraId="74C62AC2">
            <w:pPr>
              <w:adjustRightInd w:val="0"/>
              <w:snapToGrid w:val="0"/>
              <w:spacing w:line="360" w:lineRule="auto"/>
              <w:ind w:firstLine="480" w:firstLineChars="200"/>
              <w:rPr>
                <w:sz w:val="24"/>
              </w:rPr>
            </w:pPr>
            <w:r>
              <w:rPr>
                <w:rFonts w:hint="eastAsia"/>
                <w:sz w:val="24"/>
              </w:rPr>
              <w:t>一级保护区范围：1号井以单个开采井为中心，半径30米的区域；2号井以单个开采井为中心，半径30米的区域。</w:t>
            </w:r>
          </w:p>
          <w:p w14:paraId="67ABF602">
            <w:pPr>
              <w:adjustRightInd w:val="0"/>
              <w:snapToGrid w:val="0"/>
              <w:spacing w:line="360" w:lineRule="auto"/>
              <w:ind w:firstLine="480" w:firstLineChars="200"/>
              <w:rPr>
                <w:sz w:val="24"/>
              </w:rPr>
            </w:pPr>
            <w:r>
              <w:rPr>
                <w:rFonts w:hint="eastAsia"/>
                <w:sz w:val="24"/>
              </w:rPr>
              <w:t>（七）柳格镇</w:t>
            </w:r>
          </w:p>
          <w:p w14:paraId="707DA35B">
            <w:pPr>
              <w:adjustRightInd w:val="0"/>
              <w:snapToGrid w:val="0"/>
              <w:spacing w:line="360" w:lineRule="auto"/>
              <w:ind w:firstLine="480" w:firstLineChars="200"/>
              <w:rPr>
                <w:sz w:val="24"/>
              </w:rPr>
            </w:pPr>
            <w:r>
              <w:rPr>
                <w:rFonts w:hint="eastAsia"/>
                <w:sz w:val="24"/>
              </w:rPr>
              <w:t>清丰县柳格镇供水厂饮用水源保护区</w:t>
            </w:r>
          </w:p>
          <w:p w14:paraId="607CECCA">
            <w:pPr>
              <w:adjustRightInd w:val="0"/>
              <w:snapToGrid w:val="0"/>
              <w:spacing w:line="360" w:lineRule="auto"/>
              <w:ind w:firstLine="480" w:firstLineChars="200"/>
              <w:rPr>
                <w:sz w:val="24"/>
              </w:rPr>
            </w:pPr>
            <w:r>
              <w:rPr>
                <w:rFonts w:hint="eastAsia"/>
                <w:sz w:val="24"/>
              </w:rPr>
              <w:t>一级保护区范围：1号井以单个开采井为中心，半径30米的区域。</w:t>
            </w:r>
          </w:p>
          <w:p w14:paraId="13460002">
            <w:pPr>
              <w:adjustRightInd w:val="0"/>
              <w:snapToGrid w:val="0"/>
              <w:spacing w:line="360" w:lineRule="auto"/>
              <w:ind w:firstLine="482" w:firstLineChars="200"/>
              <w:rPr>
                <w:sz w:val="24"/>
              </w:rPr>
            </w:pPr>
            <w:r>
              <w:rPr>
                <w:rFonts w:hint="eastAsia"/>
                <w:b/>
                <w:sz w:val="24"/>
              </w:rPr>
              <w:t>相符性分析：</w:t>
            </w:r>
            <w:r>
              <w:rPr>
                <w:rFonts w:hint="eastAsia"/>
                <w:sz w:val="24"/>
                <w:szCs w:val="32"/>
                <w:lang w:bidi="ar"/>
              </w:rPr>
              <w:t>项目厂址距离上述乡镇集中式饮用水水源保护区最近的为清丰县柳格镇水厂地下水井群、清丰县柳格镇供水厂饮用水源保护区，供水厂位于本项目东南侧约1.1km处，不在其保护区范围内，故本项目厂址不在上述乡镇集中式饮用水源保护区</w:t>
            </w:r>
            <w:r>
              <w:rPr>
                <w:rFonts w:hint="eastAsia"/>
                <w:sz w:val="24"/>
              </w:rPr>
              <w:t>及“千吨万人”饮用水水源地保护区范围内。</w:t>
            </w:r>
          </w:p>
          <w:p w14:paraId="0373DDAB">
            <w:pPr>
              <w:pStyle w:val="90"/>
              <w:spacing w:line="360" w:lineRule="auto"/>
              <w:ind w:firstLine="482" w:firstLineChars="200"/>
              <w:rPr>
                <w:rFonts w:ascii="Times New Roman" w:hAnsi="Times New Roman"/>
                <w:b/>
                <w:bCs/>
                <w:sz w:val="24"/>
              </w:rPr>
            </w:pPr>
            <w:r>
              <w:rPr>
                <w:rFonts w:hint="eastAsia" w:ascii="Times New Roman" w:hAnsi="Times New Roman"/>
                <w:b/>
                <w:bCs/>
                <w:sz w:val="24"/>
              </w:rPr>
              <w:t>7、与《重污染天气重点行业应急减排措施制定技术指南（2020 年修订版）》相符性分析</w:t>
            </w:r>
          </w:p>
          <w:p w14:paraId="4FE1D233">
            <w:pPr>
              <w:pStyle w:val="90"/>
              <w:spacing w:line="360" w:lineRule="auto"/>
              <w:ind w:firstLine="480" w:firstLineChars="200"/>
              <w:rPr>
                <w:rFonts w:ascii="Times New Roman" w:hAnsi="Times New Roman"/>
                <w:sz w:val="24"/>
              </w:rPr>
            </w:pPr>
            <w:r>
              <w:rPr>
                <w:rFonts w:hint="eastAsia" w:ascii="Times New Roman" w:hAnsi="Times New Roman"/>
                <w:sz w:val="24"/>
              </w:rPr>
              <w:t>根据生态环境部《重污染天气重点行业应急减排措施制定技术指南（2020年修订版）》（环办大气函〔2020〕340号）“玻璃后加工、玻璃球拉丝企业绩效引领性指标”，分析本项目引领性指标符合性，相符性分析见下表：</w:t>
            </w:r>
          </w:p>
          <w:p w14:paraId="2290DCA6">
            <w:pPr>
              <w:pStyle w:val="137"/>
              <w:numPr>
                <w:ilvl w:val="0"/>
                <w:numId w:val="3"/>
              </w:numPr>
              <w:autoSpaceDE w:val="0"/>
              <w:autoSpaceDN w:val="0"/>
              <w:adjustRightInd w:val="0"/>
              <w:snapToGrid w:val="0"/>
              <w:spacing w:line="360" w:lineRule="auto"/>
              <w:ind w:firstLineChars="0"/>
              <w:jc w:val="center"/>
              <w:rPr>
                <w:b/>
                <w:bCs/>
                <w:szCs w:val="21"/>
              </w:rPr>
            </w:pPr>
            <w:r>
              <w:rPr>
                <w:b/>
                <w:bCs/>
                <w:szCs w:val="21"/>
              </w:rPr>
              <w:t>项目与</w:t>
            </w:r>
            <w:r>
              <w:rPr>
                <w:rFonts w:hint="eastAsia"/>
                <w:b/>
                <w:bCs/>
                <w:szCs w:val="21"/>
              </w:rPr>
              <w:t>玻璃后加工企业绩效引领性指标的</w:t>
            </w:r>
            <w:r>
              <w:rPr>
                <w:b/>
                <w:bCs/>
                <w:szCs w:val="21"/>
              </w:rPr>
              <w:t>相符性分析</w:t>
            </w:r>
          </w:p>
          <w:tbl>
            <w:tblPr>
              <w:tblStyle w:val="39"/>
              <w:tblW w:w="494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041"/>
              <w:gridCol w:w="3938"/>
              <w:gridCol w:w="1541"/>
              <w:gridCol w:w="612"/>
            </w:tblGrid>
            <w:tr w14:paraId="1DB1E6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30" w:type="pct"/>
                  <w:shd w:val="clear" w:color="auto" w:fill="auto"/>
                  <w:vAlign w:val="center"/>
                </w:tcPr>
                <w:p w14:paraId="78BFDA93">
                  <w:pPr>
                    <w:pStyle w:val="33"/>
                    <w:widowControl w:val="0"/>
                    <w:spacing w:line="240" w:lineRule="auto"/>
                  </w:pPr>
                  <w:r>
                    <w:rPr>
                      <w:rFonts w:hint="eastAsia" w:ascii="Times New Roman" w:hAnsi="Times New Roman" w:eastAsia="宋体" w:cs="宋体"/>
                      <w:kern w:val="2"/>
                      <w:sz w:val="21"/>
                      <w:szCs w:val="21"/>
                      <w:lang w:bidi="ar"/>
                    </w:rPr>
                    <w:t>引领性指标</w:t>
                  </w:r>
                </w:p>
              </w:tc>
              <w:tc>
                <w:tcPr>
                  <w:tcW w:w="2761" w:type="pct"/>
                  <w:shd w:val="clear" w:color="auto" w:fill="auto"/>
                  <w:vAlign w:val="center"/>
                </w:tcPr>
                <w:p w14:paraId="65C87E08">
                  <w:pPr>
                    <w:pStyle w:val="33"/>
                    <w:widowControl w:val="0"/>
                    <w:spacing w:line="240" w:lineRule="auto"/>
                  </w:pPr>
                  <w:r>
                    <w:rPr>
                      <w:rFonts w:hint="eastAsia" w:ascii="Times New Roman" w:hAnsi="Times New Roman" w:eastAsia="宋体" w:cs="宋体"/>
                      <w:kern w:val="2"/>
                      <w:sz w:val="21"/>
                      <w:szCs w:val="21"/>
                      <w:lang w:bidi="ar"/>
                    </w:rPr>
                    <w:t>玻璃后加工企业</w:t>
                  </w:r>
                </w:p>
              </w:tc>
              <w:tc>
                <w:tcPr>
                  <w:tcW w:w="1080" w:type="pct"/>
                  <w:shd w:val="clear" w:color="auto" w:fill="auto"/>
                  <w:vAlign w:val="center"/>
                </w:tcPr>
                <w:p w14:paraId="0CD008F2">
                  <w:pPr>
                    <w:pStyle w:val="33"/>
                    <w:widowControl w:val="0"/>
                    <w:spacing w:line="240" w:lineRule="auto"/>
                  </w:pPr>
                  <w:r>
                    <w:rPr>
                      <w:rFonts w:hint="eastAsia" w:ascii="Times New Roman" w:hAnsi="Times New Roman" w:eastAsia="宋体" w:cs="宋体"/>
                      <w:kern w:val="2"/>
                      <w:sz w:val="21"/>
                      <w:szCs w:val="21"/>
                      <w:lang w:bidi="ar"/>
                    </w:rPr>
                    <w:t>本项目情况</w:t>
                  </w:r>
                </w:p>
              </w:tc>
              <w:tc>
                <w:tcPr>
                  <w:tcW w:w="429" w:type="pct"/>
                  <w:shd w:val="clear" w:color="auto" w:fill="auto"/>
                  <w:vAlign w:val="center"/>
                </w:tcPr>
                <w:p w14:paraId="7D90B57D">
                  <w:pPr>
                    <w:pStyle w:val="33"/>
                    <w:widowControl w:val="0"/>
                    <w:spacing w:line="240" w:lineRule="auto"/>
                  </w:pPr>
                  <w:r>
                    <w:rPr>
                      <w:rFonts w:hint="eastAsia" w:ascii="Times New Roman" w:hAnsi="Times New Roman" w:eastAsia="宋体" w:cs="宋体"/>
                      <w:kern w:val="2"/>
                      <w:sz w:val="21"/>
                      <w:szCs w:val="21"/>
                      <w:lang w:bidi="ar"/>
                    </w:rPr>
                    <w:t>相符性</w:t>
                  </w:r>
                </w:p>
              </w:tc>
            </w:tr>
            <w:tr w14:paraId="68D949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30" w:type="pct"/>
                  <w:shd w:val="clear" w:color="auto" w:fill="auto"/>
                  <w:vAlign w:val="center"/>
                </w:tcPr>
                <w:p w14:paraId="2D55E451">
                  <w:pPr>
                    <w:pStyle w:val="33"/>
                    <w:widowControl w:val="0"/>
                    <w:spacing w:line="240" w:lineRule="auto"/>
                    <w:rPr>
                      <w:b w:val="0"/>
                      <w:bCs/>
                    </w:rPr>
                  </w:pPr>
                  <w:r>
                    <w:rPr>
                      <w:rFonts w:hint="eastAsia" w:ascii="Times New Roman" w:hAnsi="Times New Roman" w:eastAsia="宋体" w:cs="宋体"/>
                      <w:b w:val="0"/>
                      <w:bCs/>
                      <w:kern w:val="2"/>
                      <w:sz w:val="21"/>
                      <w:szCs w:val="21"/>
                      <w:lang w:bidi="ar"/>
                    </w:rPr>
                    <w:t>能源类型</w:t>
                  </w:r>
                </w:p>
              </w:tc>
              <w:tc>
                <w:tcPr>
                  <w:tcW w:w="2761" w:type="pct"/>
                  <w:shd w:val="clear" w:color="auto" w:fill="auto"/>
                  <w:vAlign w:val="center"/>
                </w:tcPr>
                <w:p w14:paraId="1A72D895">
                  <w:pPr>
                    <w:pStyle w:val="33"/>
                    <w:widowControl w:val="0"/>
                    <w:spacing w:line="240" w:lineRule="auto"/>
                    <w:rPr>
                      <w:b w:val="0"/>
                      <w:bCs/>
                    </w:rPr>
                  </w:pPr>
                  <w:r>
                    <w:rPr>
                      <w:rFonts w:hint="eastAsia" w:ascii="Times New Roman" w:hAnsi="Times New Roman" w:eastAsia="宋体" w:cs="宋体"/>
                      <w:b w:val="0"/>
                      <w:bCs/>
                      <w:kern w:val="2"/>
                      <w:sz w:val="21"/>
                      <w:szCs w:val="21"/>
                      <w:lang w:bidi="ar"/>
                    </w:rPr>
                    <w:t>电</w:t>
                  </w:r>
                </w:p>
              </w:tc>
              <w:tc>
                <w:tcPr>
                  <w:tcW w:w="1080" w:type="pct"/>
                  <w:shd w:val="clear" w:color="auto" w:fill="auto"/>
                  <w:vAlign w:val="center"/>
                </w:tcPr>
                <w:p w14:paraId="6A839B95">
                  <w:pPr>
                    <w:pStyle w:val="33"/>
                    <w:widowControl w:val="0"/>
                    <w:spacing w:line="240" w:lineRule="auto"/>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项目使用能源为电能</w:t>
                  </w:r>
                </w:p>
              </w:tc>
              <w:tc>
                <w:tcPr>
                  <w:tcW w:w="429" w:type="pct"/>
                  <w:shd w:val="clear" w:color="auto" w:fill="auto"/>
                  <w:vAlign w:val="center"/>
                </w:tcPr>
                <w:p w14:paraId="32832198">
                  <w:pPr>
                    <w:pStyle w:val="33"/>
                    <w:widowControl w:val="0"/>
                    <w:spacing w:line="240" w:lineRule="auto"/>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符合</w:t>
                  </w:r>
                </w:p>
              </w:tc>
            </w:tr>
            <w:tr w14:paraId="45215A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30" w:type="pct"/>
                  <w:shd w:val="clear" w:color="auto" w:fill="auto"/>
                  <w:vAlign w:val="center"/>
                </w:tcPr>
                <w:p w14:paraId="30942B4B">
                  <w:pPr>
                    <w:pStyle w:val="33"/>
                    <w:widowControl w:val="0"/>
                    <w:spacing w:line="240" w:lineRule="auto"/>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污染治理技术</w:t>
                  </w:r>
                </w:p>
              </w:tc>
              <w:tc>
                <w:tcPr>
                  <w:tcW w:w="2761" w:type="pct"/>
                  <w:shd w:val="clear" w:color="auto" w:fill="auto"/>
                  <w:vAlign w:val="center"/>
                </w:tcPr>
                <w:p w14:paraId="3CE8844C">
                  <w:pPr>
                    <w:pStyle w:val="33"/>
                    <w:spacing w:line="240" w:lineRule="auto"/>
                    <w:jc w:val="both"/>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1、除尘采用袋式除尘工艺；</w:t>
                  </w:r>
                </w:p>
                <w:p w14:paraId="0E86D8F6">
                  <w:pPr>
                    <w:pStyle w:val="33"/>
                    <w:spacing w:line="240" w:lineRule="auto"/>
                    <w:jc w:val="both"/>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2、日用玻璃喷涂彩装工序VOCs 治理采用喷淋洗涤、吸附、氧化等两种及以上组合工艺或燃烧工艺；玻璃棉施胶VOCs 采用燃烧或喷淋、吸附、低温等离子体、生物法等两种以上组合工艺</w:t>
                  </w:r>
                </w:p>
              </w:tc>
              <w:tc>
                <w:tcPr>
                  <w:tcW w:w="1080" w:type="pct"/>
                  <w:shd w:val="clear" w:color="auto" w:fill="auto"/>
                  <w:vAlign w:val="center"/>
                </w:tcPr>
                <w:p w14:paraId="275844A1">
                  <w:pPr>
                    <w:pStyle w:val="33"/>
                    <w:widowControl w:val="0"/>
                    <w:spacing w:line="240" w:lineRule="auto"/>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1、本项目不涉及</w:t>
                  </w:r>
                </w:p>
                <w:p w14:paraId="54EC5E35">
                  <w:pPr>
                    <w:rPr>
                      <w:lang w:bidi="ar"/>
                    </w:rPr>
                  </w:pPr>
                  <w:r>
                    <w:rPr>
                      <w:rFonts w:hint="eastAsia"/>
                      <w:lang w:bidi="ar"/>
                    </w:rPr>
                    <w:t>2、本项目中空玻璃生产工艺废气采用活性炭吸附-脱附+催化燃烧组合工艺处理</w:t>
                  </w:r>
                </w:p>
              </w:tc>
              <w:tc>
                <w:tcPr>
                  <w:tcW w:w="429" w:type="pct"/>
                  <w:shd w:val="clear" w:color="auto" w:fill="auto"/>
                  <w:vAlign w:val="center"/>
                </w:tcPr>
                <w:p w14:paraId="29F478DB">
                  <w:pPr>
                    <w:pStyle w:val="33"/>
                    <w:widowControl w:val="0"/>
                    <w:spacing w:line="240" w:lineRule="auto"/>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符合</w:t>
                  </w:r>
                </w:p>
              </w:tc>
            </w:tr>
            <w:tr w14:paraId="42D342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363" w:hRule="atLeast"/>
                <w:jc w:val="center"/>
              </w:trPr>
              <w:tc>
                <w:tcPr>
                  <w:tcW w:w="730" w:type="pct"/>
                  <w:shd w:val="clear" w:color="auto" w:fill="auto"/>
                  <w:vAlign w:val="center"/>
                </w:tcPr>
                <w:p w14:paraId="0B36552D">
                  <w:pPr>
                    <w:pStyle w:val="33"/>
                    <w:widowControl w:val="0"/>
                    <w:spacing w:line="240" w:lineRule="auto"/>
                    <w:rPr>
                      <w:b w:val="0"/>
                      <w:bCs/>
                    </w:rPr>
                  </w:pPr>
                  <w:r>
                    <w:rPr>
                      <w:rFonts w:hint="eastAsia" w:ascii="Times New Roman" w:hAnsi="Times New Roman" w:eastAsia="宋体" w:cs="宋体"/>
                      <w:b w:val="0"/>
                      <w:bCs/>
                      <w:kern w:val="2"/>
                      <w:sz w:val="21"/>
                      <w:szCs w:val="21"/>
                      <w:lang w:bidi="ar"/>
                    </w:rPr>
                    <w:t>排放限值</w:t>
                  </w:r>
                </w:p>
              </w:tc>
              <w:tc>
                <w:tcPr>
                  <w:tcW w:w="2761" w:type="pct"/>
                  <w:shd w:val="clear" w:color="auto" w:fill="auto"/>
                  <w:vAlign w:val="center"/>
                </w:tcPr>
                <w:p w14:paraId="3FF84A0B">
                  <w:pPr>
                    <w:pStyle w:val="33"/>
                    <w:widowControl w:val="0"/>
                    <w:spacing w:line="240" w:lineRule="auto"/>
                    <w:jc w:val="both"/>
                    <w:rPr>
                      <w:rFonts w:ascii="Times New Roman" w:hAnsi="Times New Roman" w:eastAsia="宋体"/>
                      <w:b w:val="0"/>
                      <w:bCs/>
                      <w:kern w:val="2"/>
                      <w:sz w:val="21"/>
                      <w:szCs w:val="21"/>
                      <w:lang w:bidi="ar"/>
                    </w:rPr>
                  </w:pPr>
                  <w:r>
                    <w:rPr>
                      <w:rFonts w:hint="eastAsia" w:ascii="Times New Roman" w:hAnsi="Times New Roman" w:eastAsia="宋体"/>
                      <w:b w:val="0"/>
                      <w:bCs/>
                      <w:kern w:val="2"/>
                      <w:sz w:val="21"/>
                      <w:szCs w:val="21"/>
                      <w:lang w:bidi="ar"/>
                    </w:rPr>
                    <w:t>PM、NMHC排放浓度分别不高于10、60mg/m</w:t>
                  </w:r>
                  <w:r>
                    <w:rPr>
                      <w:rFonts w:hint="eastAsia" w:ascii="Times New Roman" w:hAnsi="Times New Roman" w:eastAsia="宋体"/>
                      <w:b w:val="0"/>
                      <w:bCs/>
                      <w:kern w:val="2"/>
                      <w:sz w:val="21"/>
                      <w:szCs w:val="21"/>
                      <w:vertAlign w:val="superscript"/>
                      <w:lang w:bidi="ar"/>
                    </w:rPr>
                    <w:t>3</w:t>
                  </w:r>
                </w:p>
              </w:tc>
              <w:tc>
                <w:tcPr>
                  <w:tcW w:w="1080" w:type="pct"/>
                  <w:shd w:val="clear" w:color="auto" w:fill="auto"/>
                  <w:vAlign w:val="center"/>
                </w:tcPr>
                <w:p w14:paraId="39F299A0">
                  <w:pPr>
                    <w:pStyle w:val="33"/>
                    <w:spacing w:line="240" w:lineRule="auto"/>
                    <w:rPr>
                      <w:b w:val="0"/>
                      <w:bCs/>
                    </w:rPr>
                  </w:pPr>
                  <w:r>
                    <w:rPr>
                      <w:rFonts w:hint="eastAsia" w:ascii="Times New Roman" w:hAnsi="Times New Roman" w:eastAsia="宋体" w:cs="宋体"/>
                      <w:b w:val="0"/>
                      <w:bCs/>
                      <w:kern w:val="2"/>
                      <w:sz w:val="21"/>
                      <w:szCs w:val="21"/>
                      <w:lang w:bidi="ar"/>
                    </w:rPr>
                    <w:t>本项目不涉及PM，项目建成后NMHC有组织排放浓度不高于60mg/m</w:t>
                  </w:r>
                  <w:r>
                    <w:rPr>
                      <w:rFonts w:hint="eastAsia" w:ascii="Times New Roman" w:hAnsi="Times New Roman" w:eastAsia="宋体" w:cs="宋体"/>
                      <w:b w:val="0"/>
                      <w:bCs/>
                      <w:kern w:val="2"/>
                      <w:sz w:val="21"/>
                      <w:szCs w:val="21"/>
                      <w:vertAlign w:val="superscript"/>
                      <w:lang w:bidi="ar"/>
                    </w:rPr>
                    <w:t>3</w:t>
                  </w:r>
                </w:p>
              </w:tc>
              <w:tc>
                <w:tcPr>
                  <w:tcW w:w="429" w:type="pct"/>
                  <w:shd w:val="clear" w:color="auto" w:fill="auto"/>
                  <w:vAlign w:val="center"/>
                </w:tcPr>
                <w:p w14:paraId="6A5937B8">
                  <w:pPr>
                    <w:pStyle w:val="33"/>
                    <w:widowControl w:val="0"/>
                    <w:spacing w:line="240" w:lineRule="auto"/>
                    <w:rPr>
                      <w:b w:val="0"/>
                      <w:bCs/>
                    </w:rPr>
                  </w:pPr>
                  <w:r>
                    <w:rPr>
                      <w:rFonts w:hint="eastAsia" w:ascii="Times New Roman" w:hAnsi="Times New Roman" w:eastAsia="宋体" w:cs="宋体"/>
                      <w:b w:val="0"/>
                      <w:bCs/>
                      <w:kern w:val="2"/>
                      <w:sz w:val="21"/>
                      <w:szCs w:val="21"/>
                      <w:lang w:bidi="ar"/>
                    </w:rPr>
                    <w:t>符合</w:t>
                  </w:r>
                </w:p>
              </w:tc>
            </w:tr>
            <w:tr w14:paraId="130903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730" w:type="pct"/>
                  <w:shd w:val="clear" w:color="auto" w:fill="auto"/>
                  <w:vAlign w:val="center"/>
                </w:tcPr>
                <w:p w14:paraId="5F61D3E3">
                  <w:pPr>
                    <w:pStyle w:val="33"/>
                    <w:widowControl w:val="0"/>
                    <w:spacing w:line="240" w:lineRule="auto"/>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无组织管控</w:t>
                  </w:r>
                </w:p>
              </w:tc>
              <w:tc>
                <w:tcPr>
                  <w:tcW w:w="2761" w:type="pct"/>
                  <w:shd w:val="clear" w:color="auto" w:fill="auto"/>
                  <w:vAlign w:val="center"/>
                </w:tcPr>
                <w:p w14:paraId="04BF493F">
                  <w:pPr>
                    <w:rPr>
                      <w:lang w:bidi="ar"/>
                    </w:rPr>
                  </w:pPr>
                  <w:r>
                    <w:rPr>
                      <w:rFonts w:hint="eastAsia"/>
                      <w:lang w:bidi="ar"/>
                    </w:rPr>
                    <w:t>1、采取封闭等有效措施，生产工艺产尘点及车间不得有可见烟粉尘外逸；</w:t>
                  </w:r>
                </w:p>
                <w:p w14:paraId="1A165B34">
                  <w:pPr>
                    <w:rPr>
                      <w:lang w:bidi="ar"/>
                    </w:rPr>
                  </w:pPr>
                  <w:r>
                    <w:rPr>
                      <w:rFonts w:hint="eastAsia"/>
                      <w:lang w:bidi="ar"/>
                    </w:rPr>
                    <w:t>2、除尘灰等粉状物料应封闭储存，采用密闭车厢等方式输送；</w:t>
                  </w:r>
                </w:p>
                <w:p w14:paraId="1E4DD49C">
                  <w:pPr>
                    <w:rPr>
                      <w:lang w:bidi="ar"/>
                    </w:rPr>
                  </w:pPr>
                  <w:r>
                    <w:rPr>
                      <w:rFonts w:hint="eastAsia"/>
                      <w:lang w:bidi="ar"/>
                    </w:rPr>
                    <w:t>3、物料输送过程中产尘点应采取有效抑尘措施；</w:t>
                  </w:r>
                </w:p>
                <w:p w14:paraId="2E1D8359">
                  <w:pPr>
                    <w:rPr>
                      <w:lang w:bidi="ar"/>
                    </w:rPr>
                  </w:pPr>
                  <w:r>
                    <w:rPr>
                      <w:rFonts w:hint="eastAsia"/>
                      <w:lang w:bidi="ar"/>
                    </w:rPr>
                    <w:t>4、生产工艺产尘点（装置）应封闭，并设置集气罩等措施。</w:t>
                  </w:r>
                </w:p>
              </w:tc>
              <w:tc>
                <w:tcPr>
                  <w:tcW w:w="1080" w:type="pct"/>
                  <w:shd w:val="clear" w:color="auto" w:fill="auto"/>
                  <w:vAlign w:val="center"/>
                </w:tcPr>
                <w:p w14:paraId="06F40CA0">
                  <w:pPr>
                    <w:jc w:val="center"/>
                    <w:rPr>
                      <w:lang w:bidi="ar"/>
                    </w:rPr>
                  </w:pPr>
                  <w:r>
                    <w:rPr>
                      <w:lang w:bidi="ar"/>
                    </w:rPr>
                    <w:t>本项目不涉及</w:t>
                  </w:r>
                  <w:r>
                    <w:rPr>
                      <w:rFonts w:hint="eastAsia"/>
                      <w:lang w:bidi="ar"/>
                    </w:rPr>
                    <w:t>PM</w:t>
                  </w:r>
                </w:p>
              </w:tc>
              <w:tc>
                <w:tcPr>
                  <w:tcW w:w="429" w:type="pct"/>
                  <w:shd w:val="clear" w:color="auto" w:fill="auto"/>
                  <w:vAlign w:val="center"/>
                </w:tcPr>
                <w:p w14:paraId="6920ECC4">
                  <w:pPr>
                    <w:pStyle w:val="33"/>
                    <w:widowControl w:val="0"/>
                    <w:spacing w:line="240" w:lineRule="auto"/>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符合</w:t>
                  </w:r>
                </w:p>
              </w:tc>
            </w:tr>
            <w:tr w14:paraId="506B3E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730" w:type="pct"/>
                  <w:vMerge w:val="restart"/>
                  <w:shd w:val="clear" w:color="auto" w:fill="auto"/>
                  <w:vAlign w:val="center"/>
                </w:tcPr>
                <w:p w14:paraId="33AAC9E8">
                  <w:pPr>
                    <w:pStyle w:val="33"/>
                    <w:widowControl w:val="0"/>
                    <w:spacing w:line="240" w:lineRule="auto"/>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环境管理水平</w:t>
                  </w:r>
                </w:p>
              </w:tc>
              <w:tc>
                <w:tcPr>
                  <w:tcW w:w="2761" w:type="pct"/>
                  <w:shd w:val="clear" w:color="auto" w:fill="auto"/>
                  <w:vAlign w:val="center"/>
                </w:tcPr>
                <w:p w14:paraId="628B17D0">
                  <w:pPr>
                    <w:rPr>
                      <w:lang w:bidi="ar"/>
                    </w:rPr>
                  </w:pPr>
                  <w:r>
                    <w:rPr>
                      <w:rFonts w:hint="eastAsia"/>
                      <w:lang w:bidi="ar"/>
                    </w:rPr>
                    <w:t>环保档案齐全：1、环评批复文件；2、竣工验收文件；3、一年内第三方废气检测报告；</w:t>
                  </w:r>
                </w:p>
                <w:p w14:paraId="45D5A204">
                  <w:pPr>
                    <w:rPr>
                      <w:lang w:bidi="ar"/>
                    </w:rPr>
                  </w:pPr>
                  <w:r>
                    <w:rPr>
                      <w:rFonts w:hint="eastAsia"/>
                      <w:lang w:bidi="ar"/>
                    </w:rPr>
                    <w:t>台账记录：1、完整生产管理台账（包括生产设备运行台账，原辅材料、燃料使用量，产品产量等）；2、运输管理电子台账（包括车辆出入厂记录、车牌号、VIN号、发动机编号和排放阶段等）；3、设备维护记录；4、废气治理设备清单及记录（包括主要污染治理设备、运行记录等）；5、耗材清单（除尘器等滤料更换记录）；</w:t>
                  </w:r>
                </w:p>
              </w:tc>
              <w:tc>
                <w:tcPr>
                  <w:tcW w:w="1080" w:type="pct"/>
                  <w:vMerge w:val="restart"/>
                  <w:shd w:val="clear" w:color="auto" w:fill="auto"/>
                  <w:vAlign w:val="center"/>
                </w:tcPr>
                <w:p w14:paraId="5F3F8DDE">
                  <w:pPr>
                    <w:jc w:val="center"/>
                    <w:rPr>
                      <w:lang w:bidi="ar"/>
                    </w:rPr>
                  </w:pPr>
                  <w:r>
                    <w:rPr>
                      <w:rFonts w:hint="eastAsia"/>
                      <w:lang w:bidi="ar"/>
                    </w:rPr>
                    <w:t>评价要求企业按要求整理环保档案，按要求及时记录台账信息，按要求配备专职的环保人员，并具备相应的环境管理能力，建设废气治理设施运行管理规程</w:t>
                  </w:r>
                </w:p>
              </w:tc>
              <w:tc>
                <w:tcPr>
                  <w:tcW w:w="429" w:type="pct"/>
                  <w:vMerge w:val="restart"/>
                  <w:shd w:val="clear" w:color="auto" w:fill="auto"/>
                  <w:vAlign w:val="center"/>
                </w:tcPr>
                <w:p w14:paraId="7032DBD9">
                  <w:pPr>
                    <w:pStyle w:val="33"/>
                    <w:widowControl w:val="0"/>
                    <w:spacing w:line="240" w:lineRule="auto"/>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符合</w:t>
                  </w:r>
                </w:p>
              </w:tc>
            </w:tr>
            <w:tr w14:paraId="450444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730" w:type="pct"/>
                  <w:vMerge w:val="continue"/>
                  <w:shd w:val="clear" w:color="auto" w:fill="auto"/>
                  <w:vAlign w:val="center"/>
                </w:tcPr>
                <w:p w14:paraId="3A01D55C">
                  <w:pPr>
                    <w:pStyle w:val="33"/>
                    <w:widowControl w:val="0"/>
                    <w:spacing w:line="240" w:lineRule="auto"/>
                    <w:rPr>
                      <w:rFonts w:ascii="Times New Roman" w:hAnsi="Times New Roman" w:eastAsia="宋体" w:cs="宋体"/>
                      <w:b w:val="0"/>
                      <w:bCs/>
                      <w:kern w:val="2"/>
                      <w:sz w:val="21"/>
                      <w:szCs w:val="21"/>
                      <w:lang w:bidi="ar"/>
                    </w:rPr>
                  </w:pPr>
                </w:p>
              </w:tc>
              <w:tc>
                <w:tcPr>
                  <w:tcW w:w="2761" w:type="pct"/>
                  <w:shd w:val="clear" w:color="auto" w:fill="auto"/>
                  <w:vAlign w:val="center"/>
                </w:tcPr>
                <w:p w14:paraId="1A69D85A">
                  <w:pPr>
                    <w:rPr>
                      <w:lang w:bidi="ar"/>
                    </w:rPr>
                  </w:pPr>
                  <w:r>
                    <w:rPr>
                      <w:rFonts w:hint="eastAsia"/>
                      <w:lang w:bidi="ar"/>
                    </w:rPr>
                    <w:t>管理制度健全：1、专兼职环保人员；2、废气治理设施运行管理规程。</w:t>
                  </w:r>
                </w:p>
              </w:tc>
              <w:tc>
                <w:tcPr>
                  <w:tcW w:w="1080" w:type="pct"/>
                  <w:vMerge w:val="continue"/>
                  <w:shd w:val="clear" w:color="auto" w:fill="auto"/>
                  <w:vAlign w:val="center"/>
                </w:tcPr>
                <w:p w14:paraId="0C652864">
                  <w:pPr>
                    <w:jc w:val="center"/>
                    <w:rPr>
                      <w:lang w:bidi="ar"/>
                    </w:rPr>
                  </w:pPr>
                </w:p>
              </w:tc>
              <w:tc>
                <w:tcPr>
                  <w:tcW w:w="429" w:type="pct"/>
                  <w:vMerge w:val="continue"/>
                  <w:shd w:val="clear" w:color="auto" w:fill="auto"/>
                  <w:vAlign w:val="center"/>
                </w:tcPr>
                <w:p w14:paraId="0B5DD410">
                  <w:pPr>
                    <w:pStyle w:val="33"/>
                    <w:widowControl w:val="0"/>
                    <w:spacing w:line="240" w:lineRule="auto"/>
                    <w:rPr>
                      <w:rFonts w:ascii="Times New Roman" w:hAnsi="Times New Roman" w:eastAsia="宋体" w:cs="宋体"/>
                      <w:b w:val="0"/>
                      <w:bCs/>
                      <w:kern w:val="2"/>
                      <w:sz w:val="21"/>
                      <w:szCs w:val="21"/>
                      <w:lang w:bidi="ar"/>
                    </w:rPr>
                  </w:pPr>
                </w:p>
              </w:tc>
            </w:tr>
            <w:tr w14:paraId="0677C1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48" w:hRule="atLeast"/>
                <w:jc w:val="center"/>
              </w:trPr>
              <w:tc>
                <w:tcPr>
                  <w:tcW w:w="730" w:type="pct"/>
                  <w:shd w:val="clear" w:color="auto" w:fill="auto"/>
                  <w:vAlign w:val="center"/>
                </w:tcPr>
                <w:p w14:paraId="2A1EAAB7">
                  <w:pPr>
                    <w:pStyle w:val="33"/>
                    <w:widowControl w:val="0"/>
                    <w:spacing w:line="240" w:lineRule="auto"/>
                    <w:rPr>
                      <w:rFonts w:ascii="Times New Roman" w:hAnsi="Times New Roman" w:eastAsia="宋体" w:cs="宋体"/>
                      <w:b w:val="0"/>
                      <w:bCs/>
                      <w:kern w:val="2"/>
                      <w:sz w:val="21"/>
                      <w:szCs w:val="21"/>
                      <w:lang w:bidi="ar"/>
                    </w:rPr>
                  </w:pPr>
                  <w:r>
                    <w:rPr>
                      <w:rFonts w:ascii="Times New Roman" w:hAnsi="Times New Roman" w:eastAsia="宋体" w:cs="宋体"/>
                      <w:b w:val="0"/>
                      <w:bCs/>
                      <w:kern w:val="2"/>
                      <w:sz w:val="21"/>
                      <w:szCs w:val="21"/>
                      <w:lang w:bidi="ar"/>
                    </w:rPr>
                    <w:t>运输方式</w:t>
                  </w:r>
                </w:p>
              </w:tc>
              <w:tc>
                <w:tcPr>
                  <w:tcW w:w="2761" w:type="pct"/>
                  <w:shd w:val="clear" w:color="auto" w:fill="auto"/>
                  <w:vAlign w:val="center"/>
                </w:tcPr>
                <w:p w14:paraId="1327CD02">
                  <w:pPr>
                    <w:pStyle w:val="33"/>
                    <w:spacing w:line="240" w:lineRule="auto"/>
                    <w:jc w:val="both"/>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1、物料公路运输全部使用达到国五及以上排放标准重型载货车辆（含燃气）或新能源车辆；</w:t>
                  </w:r>
                </w:p>
                <w:p w14:paraId="02669858">
                  <w:pPr>
                    <w:pStyle w:val="33"/>
                    <w:spacing w:line="240" w:lineRule="auto"/>
                    <w:jc w:val="both"/>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2、厂内运输车辆全部达到国五及以上排放标准（含燃气）或使用新能源车辆；</w:t>
                  </w:r>
                </w:p>
                <w:p w14:paraId="604A13C8">
                  <w:pPr>
                    <w:pStyle w:val="33"/>
                    <w:widowControl w:val="0"/>
                    <w:spacing w:line="240" w:lineRule="auto"/>
                    <w:jc w:val="both"/>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3、厂内非道路移动机械全部达到国三及以上排放标准或使用新能源机械</w:t>
                  </w:r>
                </w:p>
              </w:tc>
              <w:tc>
                <w:tcPr>
                  <w:tcW w:w="1080" w:type="pct"/>
                  <w:shd w:val="clear" w:color="auto" w:fill="auto"/>
                  <w:vAlign w:val="center"/>
                </w:tcPr>
                <w:p w14:paraId="757C6803">
                  <w:pPr>
                    <w:pStyle w:val="33"/>
                    <w:spacing w:line="240" w:lineRule="auto"/>
                    <w:rPr>
                      <w:rFonts w:ascii="Times New Roman" w:hAnsi="Times New Roman" w:eastAsia="宋体" w:cs="宋体"/>
                      <w:b w:val="0"/>
                      <w:bCs/>
                      <w:kern w:val="2"/>
                      <w:sz w:val="21"/>
                      <w:szCs w:val="21"/>
                      <w:lang w:bidi="ar"/>
                    </w:rPr>
                  </w:pPr>
                  <w:r>
                    <w:rPr>
                      <w:rFonts w:hint="eastAsia" w:ascii="Times New Roman" w:hAnsi="Times New Roman" w:eastAsia="宋体" w:cs="宋体"/>
                      <w:b w:val="0"/>
                      <w:bCs/>
                      <w:kern w:val="2"/>
                      <w:sz w:val="21"/>
                      <w:szCs w:val="21"/>
                      <w:lang w:bidi="ar"/>
                    </w:rPr>
                    <w:t>项目建成后，物料、产品运输全部使用国五及以上排放标准的重型载货车辆（含燃气）或新能源车辆；厂区车辆全部达到国五及以上排放标准（含燃气）或使用新能源车辆；厂内非道路移动机械全部达到国三及以上排放标准或使用新能源机械</w:t>
                  </w:r>
                </w:p>
              </w:tc>
              <w:tc>
                <w:tcPr>
                  <w:tcW w:w="429" w:type="pct"/>
                  <w:shd w:val="clear" w:color="auto" w:fill="auto"/>
                  <w:vAlign w:val="center"/>
                </w:tcPr>
                <w:p w14:paraId="6312C077">
                  <w:pPr>
                    <w:pStyle w:val="33"/>
                    <w:widowControl w:val="0"/>
                    <w:spacing w:line="240" w:lineRule="auto"/>
                    <w:rPr>
                      <w:b w:val="0"/>
                      <w:bCs/>
                    </w:rPr>
                  </w:pPr>
                  <w:r>
                    <w:rPr>
                      <w:rFonts w:hint="eastAsia" w:ascii="Times New Roman" w:hAnsi="Times New Roman" w:eastAsia="宋体" w:cs="宋体"/>
                      <w:b w:val="0"/>
                      <w:bCs/>
                      <w:kern w:val="2"/>
                      <w:sz w:val="21"/>
                      <w:szCs w:val="21"/>
                      <w:lang w:bidi="ar"/>
                    </w:rPr>
                    <w:t>符合</w:t>
                  </w:r>
                </w:p>
              </w:tc>
            </w:tr>
            <w:tr w14:paraId="6C4DEC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30" w:type="pct"/>
                  <w:shd w:val="clear" w:color="auto" w:fill="auto"/>
                  <w:vAlign w:val="center"/>
                </w:tcPr>
                <w:p w14:paraId="4E1503A1">
                  <w:pPr>
                    <w:pStyle w:val="33"/>
                    <w:widowControl w:val="0"/>
                    <w:spacing w:line="240" w:lineRule="auto"/>
                    <w:rPr>
                      <w:b w:val="0"/>
                      <w:bCs/>
                    </w:rPr>
                  </w:pPr>
                  <w:r>
                    <w:rPr>
                      <w:rFonts w:hint="eastAsia" w:ascii="Times New Roman" w:hAnsi="Times New Roman" w:eastAsia="宋体" w:cs="宋体"/>
                      <w:b w:val="0"/>
                      <w:bCs/>
                      <w:kern w:val="2"/>
                      <w:sz w:val="21"/>
                      <w:szCs w:val="21"/>
                      <w:lang w:bidi="ar"/>
                    </w:rPr>
                    <w:t>运输监管</w:t>
                  </w:r>
                </w:p>
              </w:tc>
              <w:tc>
                <w:tcPr>
                  <w:tcW w:w="2761" w:type="pct"/>
                  <w:shd w:val="clear" w:color="auto" w:fill="auto"/>
                  <w:vAlign w:val="center"/>
                </w:tcPr>
                <w:p w14:paraId="1C720372">
                  <w:pPr>
                    <w:pStyle w:val="33"/>
                    <w:spacing w:line="240" w:lineRule="auto"/>
                    <w:rPr>
                      <w:b w:val="0"/>
                      <w:bCs/>
                    </w:rPr>
                  </w:pPr>
                  <w:r>
                    <w:rPr>
                      <w:rFonts w:hint="eastAsia" w:ascii="Times New Roman" w:hAnsi="Times New Roman" w:eastAsia="宋体" w:cs="宋体"/>
                      <w:b w:val="0"/>
                      <w:bCs/>
                      <w:kern w:val="2"/>
                      <w:sz w:val="21"/>
                      <w:szCs w:val="21"/>
                      <w:lang w:bidi="ar"/>
                    </w:rPr>
                    <w:t>参照《重污染天气重点行业移动源应急管理技术指南》建立门禁系统和电子台账。</w:t>
                  </w:r>
                </w:p>
              </w:tc>
              <w:tc>
                <w:tcPr>
                  <w:tcW w:w="1080" w:type="pct"/>
                  <w:shd w:val="clear" w:color="auto" w:fill="auto"/>
                  <w:vAlign w:val="center"/>
                </w:tcPr>
                <w:p w14:paraId="7B834057">
                  <w:pPr>
                    <w:pStyle w:val="33"/>
                    <w:spacing w:line="240" w:lineRule="auto"/>
                    <w:rPr>
                      <w:b w:val="0"/>
                      <w:bCs/>
                      <w:sz w:val="21"/>
                    </w:rPr>
                  </w:pPr>
                  <w:r>
                    <w:rPr>
                      <w:rFonts w:hint="eastAsia"/>
                      <w:b w:val="0"/>
                      <w:bCs/>
                      <w:sz w:val="21"/>
                    </w:rPr>
                    <w:t>项目建成后，参照《重污染天气重点行业移动</w:t>
                  </w:r>
                </w:p>
                <w:p w14:paraId="7197BFE7">
                  <w:pPr>
                    <w:pStyle w:val="33"/>
                    <w:spacing w:line="240" w:lineRule="auto"/>
                    <w:rPr>
                      <w:b w:val="0"/>
                      <w:bCs/>
                    </w:rPr>
                  </w:pPr>
                  <w:r>
                    <w:rPr>
                      <w:rFonts w:hint="eastAsia"/>
                      <w:b w:val="0"/>
                      <w:bCs/>
                      <w:sz w:val="21"/>
                    </w:rPr>
                    <w:t>源应急管理技术指南》建立门禁系统和电子台账</w:t>
                  </w:r>
                </w:p>
              </w:tc>
              <w:tc>
                <w:tcPr>
                  <w:tcW w:w="429" w:type="pct"/>
                  <w:shd w:val="clear" w:color="auto" w:fill="auto"/>
                  <w:vAlign w:val="center"/>
                </w:tcPr>
                <w:p w14:paraId="68EC5AC2">
                  <w:pPr>
                    <w:pStyle w:val="33"/>
                    <w:widowControl w:val="0"/>
                    <w:spacing w:line="240" w:lineRule="auto"/>
                    <w:rPr>
                      <w:b w:val="0"/>
                      <w:bCs/>
                    </w:rPr>
                  </w:pPr>
                  <w:r>
                    <w:rPr>
                      <w:rFonts w:hint="eastAsia" w:ascii="Times New Roman" w:hAnsi="Times New Roman" w:eastAsia="宋体" w:cs="宋体"/>
                      <w:b w:val="0"/>
                      <w:bCs/>
                      <w:kern w:val="2"/>
                      <w:sz w:val="21"/>
                      <w:szCs w:val="21"/>
                      <w:lang w:bidi="ar"/>
                    </w:rPr>
                    <w:t>符合</w:t>
                  </w:r>
                </w:p>
              </w:tc>
            </w:tr>
          </w:tbl>
          <w:p w14:paraId="587B1D04">
            <w:pPr>
              <w:pStyle w:val="90"/>
              <w:spacing w:line="360" w:lineRule="auto"/>
              <w:ind w:firstLine="480" w:firstLineChars="200"/>
              <w:rPr>
                <w:rFonts w:ascii="Times New Roman" w:hAnsi="Times New Roman"/>
                <w:bCs/>
                <w:sz w:val="24"/>
              </w:rPr>
            </w:pPr>
            <w:r>
              <w:rPr>
                <w:rFonts w:hint="eastAsia" w:ascii="Times New Roman" w:hAnsi="Times New Roman"/>
                <w:bCs/>
                <w:sz w:val="24"/>
              </w:rPr>
              <w:t>综上所述，本项目按照《重污染天气重点行业应急减排措施制定技术指南（2020年修订版）》玻璃后加工企业绩效引领性指标要求进行建设。</w:t>
            </w:r>
          </w:p>
          <w:p w14:paraId="4661C563">
            <w:pPr>
              <w:pStyle w:val="90"/>
              <w:spacing w:line="360" w:lineRule="auto"/>
              <w:ind w:firstLine="482" w:firstLineChars="200"/>
              <w:rPr>
                <w:rFonts w:ascii="Times New Roman" w:hAnsi="Times New Roman"/>
                <w:b/>
                <w:bCs/>
                <w:sz w:val="24"/>
              </w:rPr>
            </w:pPr>
            <w:r>
              <w:rPr>
                <w:rFonts w:hint="eastAsia" w:ascii="Times New Roman" w:hAnsi="Times New Roman"/>
                <w:b/>
                <w:bCs/>
                <w:sz w:val="24"/>
              </w:rPr>
              <w:t>8、与濮阳市人民政府《关于印发濮阳市空气质量持续改善行动实施方案的通知》（濮政〔2024〕11号）相符性分析</w:t>
            </w:r>
          </w:p>
          <w:p w14:paraId="70703A45">
            <w:pPr>
              <w:pStyle w:val="137"/>
              <w:numPr>
                <w:ilvl w:val="0"/>
                <w:numId w:val="3"/>
              </w:numPr>
              <w:autoSpaceDE w:val="0"/>
              <w:autoSpaceDN w:val="0"/>
              <w:adjustRightInd w:val="0"/>
              <w:snapToGrid w:val="0"/>
              <w:spacing w:line="360" w:lineRule="auto"/>
              <w:ind w:firstLineChars="0"/>
              <w:jc w:val="center"/>
              <w:rPr>
                <w:b/>
                <w:bCs/>
                <w:szCs w:val="21"/>
              </w:rPr>
            </w:pPr>
            <w:r>
              <w:rPr>
                <w:rFonts w:hint="eastAsia" w:ascii="宋体" w:hAnsi="宋体"/>
                <w:b/>
                <w:bCs/>
                <w:szCs w:val="21"/>
              </w:rPr>
              <w:t>与（濮政〔</w:t>
            </w:r>
            <w:r>
              <w:rPr>
                <w:rFonts w:hint="eastAsia"/>
                <w:b/>
                <w:bCs/>
                <w:szCs w:val="21"/>
              </w:rPr>
              <w:t>2024</w:t>
            </w:r>
            <w:r>
              <w:rPr>
                <w:rFonts w:hint="eastAsia" w:ascii="宋体" w:hAnsi="宋体"/>
                <w:b/>
                <w:bCs/>
                <w:szCs w:val="21"/>
              </w:rPr>
              <w:t>〕</w:t>
            </w:r>
            <w:r>
              <w:rPr>
                <w:rFonts w:hint="eastAsia"/>
                <w:b/>
                <w:bCs/>
                <w:szCs w:val="21"/>
              </w:rPr>
              <w:t>11</w:t>
            </w:r>
            <w:r>
              <w:rPr>
                <w:rFonts w:hint="eastAsia" w:ascii="宋体" w:hAnsi="宋体"/>
                <w:b/>
                <w:bCs/>
                <w:szCs w:val="21"/>
              </w:rPr>
              <w:t>号）相符性分析</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
              <w:gridCol w:w="4175"/>
              <w:gridCol w:w="2010"/>
              <w:gridCol w:w="656"/>
            </w:tblGrid>
            <w:tr w14:paraId="2E7E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1" w:type="dxa"/>
                  <w:tcBorders>
                    <w:top w:val="single" w:color="auto" w:sz="4" w:space="0"/>
                    <w:left w:val="single" w:color="auto" w:sz="4" w:space="0"/>
                    <w:bottom w:val="single" w:color="auto" w:sz="4" w:space="0"/>
                    <w:right w:val="single" w:color="auto" w:sz="4" w:space="0"/>
                  </w:tcBorders>
                  <w:vAlign w:val="center"/>
                </w:tcPr>
                <w:p w14:paraId="2C8CD4F5">
                  <w:pPr>
                    <w:autoSpaceDE w:val="0"/>
                    <w:jc w:val="center"/>
                    <w:rPr>
                      <w:b/>
                      <w:bCs/>
                      <w:color w:val="000000"/>
                      <w:szCs w:val="21"/>
                    </w:rPr>
                  </w:pPr>
                  <w:r>
                    <w:rPr>
                      <w:b/>
                      <w:bCs/>
                      <w:color w:val="000000"/>
                    </w:rPr>
                    <w:t>序号</w:t>
                  </w:r>
                </w:p>
              </w:tc>
              <w:tc>
                <w:tcPr>
                  <w:tcW w:w="4175" w:type="dxa"/>
                  <w:tcBorders>
                    <w:top w:val="single" w:color="auto" w:sz="4" w:space="0"/>
                    <w:left w:val="single" w:color="auto" w:sz="4" w:space="0"/>
                    <w:bottom w:val="single" w:color="auto" w:sz="4" w:space="0"/>
                    <w:right w:val="single" w:color="auto" w:sz="4" w:space="0"/>
                  </w:tcBorders>
                  <w:vAlign w:val="center"/>
                </w:tcPr>
                <w:p w14:paraId="5D41DFA7">
                  <w:pPr>
                    <w:autoSpaceDE w:val="0"/>
                    <w:jc w:val="center"/>
                    <w:rPr>
                      <w:b/>
                      <w:bCs/>
                      <w:color w:val="000000"/>
                      <w:szCs w:val="21"/>
                    </w:rPr>
                  </w:pPr>
                  <w:r>
                    <w:rPr>
                      <w:b/>
                      <w:bCs/>
                      <w:color w:val="000000"/>
                    </w:rPr>
                    <w:t>濮政〔2024〕11号规定相关内容</w:t>
                  </w:r>
                </w:p>
              </w:tc>
              <w:tc>
                <w:tcPr>
                  <w:tcW w:w="2010" w:type="dxa"/>
                  <w:tcBorders>
                    <w:top w:val="single" w:color="auto" w:sz="4" w:space="0"/>
                    <w:left w:val="single" w:color="auto" w:sz="4" w:space="0"/>
                    <w:bottom w:val="single" w:color="auto" w:sz="4" w:space="0"/>
                    <w:right w:val="single" w:color="auto" w:sz="4" w:space="0"/>
                  </w:tcBorders>
                  <w:vAlign w:val="center"/>
                </w:tcPr>
                <w:p w14:paraId="4AEB7FD0">
                  <w:pPr>
                    <w:autoSpaceDE w:val="0"/>
                    <w:jc w:val="center"/>
                    <w:rPr>
                      <w:b/>
                      <w:bCs/>
                      <w:color w:val="000000"/>
                      <w:szCs w:val="21"/>
                    </w:rPr>
                  </w:pPr>
                  <w:r>
                    <w:rPr>
                      <w:b/>
                      <w:bCs/>
                      <w:color w:val="000000"/>
                    </w:rPr>
                    <w:t>本项目</w:t>
                  </w:r>
                </w:p>
              </w:tc>
              <w:tc>
                <w:tcPr>
                  <w:tcW w:w="656" w:type="dxa"/>
                  <w:tcBorders>
                    <w:top w:val="single" w:color="auto" w:sz="4" w:space="0"/>
                    <w:left w:val="single" w:color="auto" w:sz="4" w:space="0"/>
                    <w:bottom w:val="single" w:color="auto" w:sz="4" w:space="0"/>
                    <w:right w:val="single" w:color="auto" w:sz="4" w:space="0"/>
                  </w:tcBorders>
                  <w:vAlign w:val="center"/>
                </w:tcPr>
                <w:p w14:paraId="3B26BE31">
                  <w:pPr>
                    <w:autoSpaceDE w:val="0"/>
                    <w:jc w:val="center"/>
                    <w:rPr>
                      <w:b/>
                      <w:bCs/>
                      <w:color w:val="000000"/>
                      <w:szCs w:val="21"/>
                    </w:rPr>
                  </w:pPr>
                  <w:r>
                    <w:rPr>
                      <w:b/>
                      <w:bCs/>
                      <w:color w:val="000000"/>
                    </w:rPr>
                    <w:t>相符性</w:t>
                  </w:r>
                </w:p>
              </w:tc>
            </w:tr>
            <w:tr w14:paraId="5BE7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1" w:type="dxa"/>
                  <w:vMerge w:val="restart"/>
                  <w:tcBorders>
                    <w:top w:val="nil"/>
                    <w:left w:val="single" w:color="auto" w:sz="4" w:space="0"/>
                    <w:bottom w:val="single" w:color="auto" w:sz="4" w:space="0"/>
                    <w:right w:val="single" w:color="auto" w:sz="4" w:space="0"/>
                  </w:tcBorders>
                  <w:vAlign w:val="center"/>
                </w:tcPr>
                <w:p w14:paraId="72403973">
                  <w:pPr>
                    <w:autoSpaceDE w:val="0"/>
                    <w:jc w:val="center"/>
                    <w:rPr>
                      <w:color w:val="000000"/>
                      <w:szCs w:val="21"/>
                    </w:rPr>
                  </w:pPr>
                  <w:r>
                    <w:rPr>
                      <w:color w:val="000000"/>
                    </w:rPr>
                    <w:t>1</w:t>
                  </w:r>
                </w:p>
              </w:tc>
              <w:tc>
                <w:tcPr>
                  <w:tcW w:w="6841" w:type="dxa"/>
                  <w:gridSpan w:val="3"/>
                  <w:tcBorders>
                    <w:top w:val="single" w:color="auto" w:sz="4" w:space="0"/>
                    <w:left w:val="single" w:color="auto" w:sz="4" w:space="0"/>
                    <w:bottom w:val="single" w:color="auto" w:sz="4" w:space="0"/>
                    <w:right w:val="single" w:color="auto" w:sz="4" w:space="0"/>
                  </w:tcBorders>
                  <w:vAlign w:val="center"/>
                </w:tcPr>
                <w:p w14:paraId="5F286993">
                  <w:pPr>
                    <w:autoSpaceDE w:val="0"/>
                    <w:jc w:val="center"/>
                    <w:rPr>
                      <w:color w:val="000000"/>
                      <w:szCs w:val="21"/>
                    </w:rPr>
                  </w:pPr>
                  <w:r>
                    <w:rPr>
                      <w:color w:val="000000"/>
                    </w:rPr>
                    <w:t>二、优化产业结构，促进产业绿色发展：</w:t>
                  </w:r>
                </w:p>
              </w:tc>
            </w:tr>
            <w:tr w14:paraId="0417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1" w:type="dxa"/>
                  <w:vMerge w:val="continue"/>
                  <w:tcBorders>
                    <w:top w:val="nil"/>
                    <w:left w:val="single" w:color="auto" w:sz="4" w:space="0"/>
                    <w:bottom w:val="single" w:color="auto" w:sz="4" w:space="0"/>
                    <w:right w:val="single" w:color="auto" w:sz="4" w:space="0"/>
                  </w:tcBorders>
                  <w:vAlign w:val="center"/>
                </w:tcPr>
                <w:p w14:paraId="78D7EF75">
                  <w:pPr>
                    <w:widowControl/>
                    <w:jc w:val="left"/>
                    <w:rPr>
                      <w:color w:val="000000"/>
                      <w:szCs w:val="21"/>
                    </w:rPr>
                  </w:pPr>
                </w:p>
              </w:tc>
              <w:tc>
                <w:tcPr>
                  <w:tcW w:w="4175" w:type="dxa"/>
                  <w:tcBorders>
                    <w:top w:val="single" w:color="auto" w:sz="4" w:space="0"/>
                    <w:left w:val="single" w:color="auto" w:sz="4" w:space="0"/>
                    <w:bottom w:val="single" w:color="auto" w:sz="4" w:space="0"/>
                    <w:right w:val="single" w:color="auto" w:sz="4" w:space="0"/>
                  </w:tcBorders>
                  <w:vAlign w:val="center"/>
                </w:tcPr>
                <w:p w14:paraId="649105E6">
                  <w:pPr>
                    <w:autoSpaceDE w:val="0"/>
                    <w:rPr>
                      <w:color w:val="000000"/>
                      <w:szCs w:val="21"/>
                    </w:rPr>
                  </w:pPr>
                  <w:r>
                    <w:rPr>
                      <w:color w:val="000000"/>
                    </w:rPr>
                    <w:t>（三）严管严控高耗能、高排放、低水平项目。严格落实国家和河南省“两高”项目相关要求，新、改、扩建项目严格落实产业规划、产业政策、生态环境分区管控方案、规划环评、项目环评、节能审查、产能置换、重点污染物总量控制、污染物排放区域削减、碳排放达峰目标等相关要求。涉及产能置换的项目，被置换产能及其配套设施关停后，新、改、扩建项目方可投产。国家、河南省绩效分级重点行业以及涉锅炉炉窑的其他行业，新、扩建项目原则上达到环境绩效A级或国内清洁生产先进水平。</w:t>
                  </w:r>
                </w:p>
              </w:tc>
              <w:tc>
                <w:tcPr>
                  <w:tcW w:w="2010" w:type="dxa"/>
                  <w:tcBorders>
                    <w:top w:val="single" w:color="auto" w:sz="4" w:space="0"/>
                    <w:left w:val="single" w:color="auto" w:sz="4" w:space="0"/>
                    <w:bottom w:val="single" w:color="auto" w:sz="4" w:space="0"/>
                    <w:right w:val="single" w:color="auto" w:sz="4" w:space="0"/>
                  </w:tcBorders>
                  <w:vAlign w:val="center"/>
                </w:tcPr>
                <w:p w14:paraId="411480A2">
                  <w:pPr>
                    <w:autoSpaceDE w:val="0"/>
                    <w:jc w:val="center"/>
                    <w:rPr>
                      <w:color w:val="000000"/>
                      <w:szCs w:val="21"/>
                    </w:rPr>
                  </w:pPr>
                  <w:r>
                    <w:rPr>
                      <w:color w:val="000000"/>
                    </w:rPr>
                    <w:t>本项目符合国家产业政策要求，并按照</w:t>
                  </w:r>
                  <w:r>
                    <w:rPr>
                      <w:rFonts w:hint="eastAsia"/>
                      <w:color w:val="000000"/>
                    </w:rPr>
                    <w:t>玻璃后加工企业绩效引领性指标要求进行建设</w:t>
                  </w:r>
                </w:p>
              </w:tc>
              <w:tc>
                <w:tcPr>
                  <w:tcW w:w="656" w:type="dxa"/>
                  <w:tcBorders>
                    <w:top w:val="single" w:color="auto" w:sz="4" w:space="0"/>
                    <w:left w:val="single" w:color="auto" w:sz="4" w:space="0"/>
                    <w:bottom w:val="single" w:color="auto" w:sz="4" w:space="0"/>
                    <w:right w:val="single" w:color="auto" w:sz="4" w:space="0"/>
                  </w:tcBorders>
                  <w:vAlign w:val="center"/>
                </w:tcPr>
                <w:p w14:paraId="62B6B4DA">
                  <w:pPr>
                    <w:autoSpaceDE w:val="0"/>
                    <w:jc w:val="center"/>
                    <w:rPr>
                      <w:color w:val="000000"/>
                      <w:szCs w:val="21"/>
                    </w:rPr>
                  </w:pPr>
                  <w:r>
                    <w:rPr>
                      <w:color w:val="000000"/>
                    </w:rPr>
                    <w:t>相符</w:t>
                  </w:r>
                </w:p>
              </w:tc>
            </w:tr>
            <w:tr w14:paraId="3A45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1" w:type="dxa"/>
                  <w:vMerge w:val="continue"/>
                  <w:tcBorders>
                    <w:top w:val="nil"/>
                    <w:left w:val="single" w:color="auto" w:sz="4" w:space="0"/>
                    <w:bottom w:val="single" w:color="auto" w:sz="4" w:space="0"/>
                    <w:right w:val="single" w:color="auto" w:sz="4" w:space="0"/>
                  </w:tcBorders>
                  <w:vAlign w:val="center"/>
                </w:tcPr>
                <w:p w14:paraId="024367AB">
                  <w:pPr>
                    <w:widowControl/>
                    <w:jc w:val="left"/>
                    <w:rPr>
                      <w:color w:val="000000"/>
                      <w:szCs w:val="21"/>
                    </w:rPr>
                  </w:pPr>
                </w:p>
              </w:tc>
              <w:tc>
                <w:tcPr>
                  <w:tcW w:w="4175" w:type="dxa"/>
                  <w:tcBorders>
                    <w:top w:val="single" w:color="auto" w:sz="4" w:space="0"/>
                    <w:left w:val="single" w:color="auto" w:sz="4" w:space="0"/>
                    <w:bottom w:val="single" w:color="auto" w:sz="4" w:space="0"/>
                    <w:right w:val="single" w:color="auto" w:sz="4" w:space="0"/>
                  </w:tcBorders>
                  <w:vAlign w:val="center"/>
                </w:tcPr>
                <w:p w14:paraId="376B7DCB">
                  <w:pPr>
                    <w:autoSpaceDE w:val="0"/>
                    <w:rPr>
                      <w:color w:val="000000"/>
                      <w:szCs w:val="21"/>
                    </w:rPr>
                  </w:pPr>
                  <w:r>
                    <w:rPr>
                      <w:color w:val="000000"/>
                    </w:rPr>
                    <w:t>（六）优化含VOCs原辅材料和产品结构。实施源头替代工程，加大工业涂装、包装印刷和电子制造等行业低（无）VOCs含量原辅材料替代力度，对完成原辅材料替代的企业纳入“白名单”管理，在重污染天气预警期间实施自主减排。室外构筑物防护和城市道路交通标志基本使用低（无）VOCs含量涂料。严格执行涂料、油墨、胶粘剂、清洗剂VOCs含量限值标准，建立多部门联合执法机制，定期对生产企业、销售场所、使用环节进行监督检查。</w:t>
                  </w:r>
                </w:p>
              </w:tc>
              <w:tc>
                <w:tcPr>
                  <w:tcW w:w="2010" w:type="dxa"/>
                  <w:tcBorders>
                    <w:top w:val="single" w:color="auto" w:sz="4" w:space="0"/>
                    <w:left w:val="single" w:color="auto" w:sz="4" w:space="0"/>
                    <w:bottom w:val="single" w:color="auto" w:sz="4" w:space="0"/>
                    <w:right w:val="single" w:color="auto" w:sz="4" w:space="0"/>
                  </w:tcBorders>
                  <w:vAlign w:val="center"/>
                </w:tcPr>
                <w:p w14:paraId="569A69EC">
                  <w:pPr>
                    <w:autoSpaceDE w:val="0"/>
                    <w:jc w:val="center"/>
                    <w:rPr>
                      <w:color w:val="000000"/>
                      <w:szCs w:val="21"/>
                    </w:rPr>
                  </w:pPr>
                  <w:r>
                    <w:rPr>
                      <w:rFonts w:hint="eastAsia"/>
                      <w:color w:val="000000"/>
                      <w:szCs w:val="21"/>
                    </w:rPr>
                    <w:t>对照《胶粘剂挥发性有机化合物限量》（GB33372-2020），本项目使用的密封胶均属于低VOCs含量胶粘剂</w:t>
                  </w:r>
                </w:p>
              </w:tc>
              <w:tc>
                <w:tcPr>
                  <w:tcW w:w="656" w:type="dxa"/>
                  <w:tcBorders>
                    <w:top w:val="single" w:color="auto" w:sz="4" w:space="0"/>
                    <w:left w:val="single" w:color="auto" w:sz="4" w:space="0"/>
                    <w:bottom w:val="single" w:color="auto" w:sz="4" w:space="0"/>
                    <w:right w:val="single" w:color="auto" w:sz="4" w:space="0"/>
                  </w:tcBorders>
                  <w:vAlign w:val="center"/>
                </w:tcPr>
                <w:p w14:paraId="1C115C3A">
                  <w:pPr>
                    <w:autoSpaceDE w:val="0"/>
                    <w:jc w:val="center"/>
                    <w:rPr>
                      <w:color w:val="000000"/>
                      <w:szCs w:val="21"/>
                    </w:rPr>
                  </w:pPr>
                  <w:r>
                    <w:rPr>
                      <w:color w:val="000000"/>
                    </w:rPr>
                    <w:t>相符</w:t>
                  </w:r>
                </w:p>
              </w:tc>
            </w:tr>
            <w:tr w14:paraId="1E28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1" w:type="dxa"/>
                  <w:vMerge w:val="restart"/>
                  <w:tcBorders>
                    <w:top w:val="nil"/>
                    <w:left w:val="single" w:color="auto" w:sz="4" w:space="0"/>
                    <w:bottom w:val="single" w:color="auto" w:sz="4" w:space="0"/>
                    <w:right w:val="single" w:color="auto" w:sz="4" w:space="0"/>
                  </w:tcBorders>
                  <w:vAlign w:val="center"/>
                </w:tcPr>
                <w:p w14:paraId="48692273">
                  <w:pPr>
                    <w:autoSpaceDE w:val="0"/>
                    <w:jc w:val="center"/>
                    <w:rPr>
                      <w:color w:val="000000"/>
                      <w:szCs w:val="21"/>
                    </w:rPr>
                  </w:pPr>
                  <w:r>
                    <w:rPr>
                      <w:color w:val="000000"/>
                    </w:rPr>
                    <w:t>2</w:t>
                  </w:r>
                </w:p>
              </w:tc>
              <w:tc>
                <w:tcPr>
                  <w:tcW w:w="6841" w:type="dxa"/>
                  <w:gridSpan w:val="3"/>
                  <w:tcBorders>
                    <w:top w:val="single" w:color="auto" w:sz="4" w:space="0"/>
                    <w:left w:val="single" w:color="auto" w:sz="4" w:space="0"/>
                    <w:bottom w:val="single" w:color="auto" w:sz="4" w:space="0"/>
                    <w:right w:val="single" w:color="auto" w:sz="4" w:space="0"/>
                  </w:tcBorders>
                  <w:vAlign w:val="center"/>
                </w:tcPr>
                <w:p w14:paraId="187F1BAD">
                  <w:pPr>
                    <w:autoSpaceDE w:val="0"/>
                    <w:jc w:val="center"/>
                    <w:rPr>
                      <w:color w:val="000000"/>
                      <w:szCs w:val="21"/>
                    </w:rPr>
                  </w:pPr>
                  <w:r>
                    <w:rPr>
                      <w:color w:val="000000"/>
                    </w:rPr>
                    <w:t>五、强化面源污染治理，提升精细化管理水平</w:t>
                  </w:r>
                </w:p>
              </w:tc>
            </w:tr>
            <w:tr w14:paraId="7E11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1" w:type="dxa"/>
                  <w:vMerge w:val="continue"/>
                  <w:tcBorders>
                    <w:top w:val="nil"/>
                    <w:left w:val="single" w:color="auto" w:sz="4" w:space="0"/>
                    <w:bottom w:val="single" w:color="auto" w:sz="4" w:space="0"/>
                    <w:right w:val="single" w:color="auto" w:sz="4" w:space="0"/>
                  </w:tcBorders>
                  <w:vAlign w:val="center"/>
                </w:tcPr>
                <w:p w14:paraId="4D366004">
                  <w:pPr>
                    <w:widowControl/>
                    <w:jc w:val="left"/>
                    <w:rPr>
                      <w:color w:val="000000"/>
                      <w:szCs w:val="21"/>
                    </w:rPr>
                  </w:pPr>
                </w:p>
              </w:tc>
              <w:tc>
                <w:tcPr>
                  <w:tcW w:w="4175" w:type="dxa"/>
                  <w:tcBorders>
                    <w:top w:val="single" w:color="auto" w:sz="4" w:space="0"/>
                    <w:left w:val="single" w:color="auto" w:sz="4" w:space="0"/>
                    <w:bottom w:val="single" w:color="auto" w:sz="4" w:space="0"/>
                    <w:right w:val="single" w:color="auto" w:sz="4" w:space="0"/>
                  </w:tcBorders>
                  <w:vAlign w:val="center"/>
                </w:tcPr>
                <w:p w14:paraId="3827FD83">
                  <w:pPr>
                    <w:autoSpaceDE w:val="0"/>
                    <w:rPr>
                      <w:color w:val="000000"/>
                      <w:szCs w:val="21"/>
                    </w:rPr>
                  </w:pPr>
                  <w:r>
                    <w:rPr>
                      <w:color w:val="000000"/>
                    </w:rPr>
                    <w:t>（十七）深化扬尘污染综合治理。严格落实《城市房屋建筑和市政基础设施工程及道路扬尘污染防治差异化评价标准》（DBJ41/T263—2022）和《河南省房屋建筑和市政基础设施工程扬尘治理监控平台数据接入标准》（DBJ41/T267—2022）等扬尘治理标准要求，加强施工围挡、车辆冲洗、湿法作业、密闭运输、地面硬化、物料覆盖等精细化管理。市政道路、水务等线性工程实行分段施工，逐步推动5000平方米以上建筑工地安装在线监测和视频监控设施，并接入当地监管平台。将防治扬尘污染费用纳入工程造价。持续开展城市清洁行动，强化道路扬尘综合整治，对长期未开发的建设裸地进行排查整治。到2025年年底前，市城区主次干道机械化清扫率达到90%以上。</w:t>
                  </w:r>
                </w:p>
              </w:tc>
              <w:tc>
                <w:tcPr>
                  <w:tcW w:w="2010" w:type="dxa"/>
                  <w:tcBorders>
                    <w:top w:val="single" w:color="auto" w:sz="4" w:space="0"/>
                    <w:left w:val="single" w:color="auto" w:sz="4" w:space="0"/>
                    <w:bottom w:val="single" w:color="auto" w:sz="4" w:space="0"/>
                    <w:right w:val="single" w:color="auto" w:sz="4" w:space="0"/>
                  </w:tcBorders>
                  <w:vAlign w:val="center"/>
                </w:tcPr>
                <w:p w14:paraId="6A96F3B8">
                  <w:pPr>
                    <w:autoSpaceDE w:val="0"/>
                    <w:jc w:val="center"/>
                    <w:rPr>
                      <w:color w:val="000000"/>
                      <w:szCs w:val="21"/>
                    </w:rPr>
                  </w:pPr>
                  <w:r>
                    <w:rPr>
                      <w:rFonts w:hint="eastAsia"/>
                      <w:color w:val="000000"/>
                      <w:szCs w:val="21"/>
                    </w:rPr>
                    <w:t>本项目租用现有厂房，仅进行设备安装，不进行建筑施工</w:t>
                  </w:r>
                </w:p>
              </w:tc>
              <w:tc>
                <w:tcPr>
                  <w:tcW w:w="656" w:type="dxa"/>
                  <w:tcBorders>
                    <w:top w:val="single" w:color="auto" w:sz="4" w:space="0"/>
                    <w:left w:val="single" w:color="auto" w:sz="4" w:space="0"/>
                    <w:bottom w:val="single" w:color="auto" w:sz="4" w:space="0"/>
                    <w:right w:val="single" w:color="auto" w:sz="4" w:space="0"/>
                  </w:tcBorders>
                  <w:vAlign w:val="center"/>
                </w:tcPr>
                <w:p w14:paraId="5130C203">
                  <w:pPr>
                    <w:autoSpaceDE w:val="0"/>
                    <w:jc w:val="center"/>
                    <w:rPr>
                      <w:color w:val="000000"/>
                      <w:szCs w:val="21"/>
                    </w:rPr>
                  </w:pPr>
                  <w:r>
                    <w:rPr>
                      <w:color w:val="000000"/>
                    </w:rPr>
                    <w:t>相符</w:t>
                  </w:r>
                </w:p>
              </w:tc>
            </w:tr>
            <w:tr w14:paraId="78AB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1" w:type="dxa"/>
                  <w:vMerge w:val="restart"/>
                  <w:tcBorders>
                    <w:top w:val="nil"/>
                    <w:left w:val="single" w:color="auto" w:sz="4" w:space="0"/>
                    <w:bottom w:val="single" w:color="auto" w:sz="4" w:space="0"/>
                    <w:right w:val="single" w:color="auto" w:sz="4" w:space="0"/>
                  </w:tcBorders>
                  <w:vAlign w:val="center"/>
                </w:tcPr>
                <w:p w14:paraId="3731F8CD">
                  <w:pPr>
                    <w:autoSpaceDE w:val="0"/>
                    <w:jc w:val="center"/>
                    <w:rPr>
                      <w:color w:val="000000"/>
                      <w:szCs w:val="21"/>
                    </w:rPr>
                  </w:pPr>
                  <w:r>
                    <w:rPr>
                      <w:color w:val="000000"/>
                    </w:rPr>
                    <w:t>3</w:t>
                  </w:r>
                </w:p>
              </w:tc>
              <w:tc>
                <w:tcPr>
                  <w:tcW w:w="6841" w:type="dxa"/>
                  <w:gridSpan w:val="3"/>
                  <w:tcBorders>
                    <w:top w:val="single" w:color="auto" w:sz="4" w:space="0"/>
                    <w:left w:val="single" w:color="auto" w:sz="4" w:space="0"/>
                    <w:bottom w:val="single" w:color="auto" w:sz="4" w:space="0"/>
                    <w:right w:val="single" w:color="auto" w:sz="4" w:space="0"/>
                  </w:tcBorders>
                  <w:vAlign w:val="center"/>
                </w:tcPr>
                <w:p w14:paraId="64FB2779">
                  <w:pPr>
                    <w:autoSpaceDE w:val="0"/>
                    <w:jc w:val="center"/>
                    <w:rPr>
                      <w:color w:val="000000"/>
                      <w:szCs w:val="21"/>
                    </w:rPr>
                  </w:pPr>
                  <w:r>
                    <w:rPr>
                      <w:color w:val="000000"/>
                    </w:rPr>
                    <w:t>六、加强多污染物减排，降低VOCs和氮氧化物排放强度</w:t>
                  </w:r>
                </w:p>
              </w:tc>
            </w:tr>
            <w:tr w14:paraId="45C1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1" w:type="dxa"/>
                  <w:vMerge w:val="continue"/>
                  <w:tcBorders>
                    <w:top w:val="nil"/>
                    <w:left w:val="single" w:color="auto" w:sz="4" w:space="0"/>
                    <w:bottom w:val="single" w:color="auto" w:sz="4" w:space="0"/>
                    <w:right w:val="single" w:color="auto" w:sz="4" w:space="0"/>
                  </w:tcBorders>
                  <w:vAlign w:val="center"/>
                </w:tcPr>
                <w:p w14:paraId="014B8DC2">
                  <w:pPr>
                    <w:widowControl/>
                    <w:jc w:val="left"/>
                    <w:rPr>
                      <w:color w:val="000000"/>
                      <w:szCs w:val="21"/>
                    </w:rPr>
                  </w:pPr>
                </w:p>
              </w:tc>
              <w:tc>
                <w:tcPr>
                  <w:tcW w:w="4175" w:type="dxa"/>
                  <w:tcBorders>
                    <w:top w:val="single" w:color="auto" w:sz="4" w:space="0"/>
                    <w:left w:val="single" w:color="auto" w:sz="4" w:space="0"/>
                    <w:bottom w:val="single" w:color="auto" w:sz="4" w:space="0"/>
                    <w:right w:val="single" w:color="auto" w:sz="4" w:space="0"/>
                  </w:tcBorders>
                  <w:vAlign w:val="center"/>
                </w:tcPr>
                <w:p w14:paraId="3505E634">
                  <w:pPr>
                    <w:autoSpaceDE w:val="0"/>
                    <w:rPr>
                      <w:color w:val="000000"/>
                      <w:szCs w:val="21"/>
                    </w:rPr>
                  </w:pPr>
                  <w:r>
                    <w:rPr>
                      <w:color w:val="000000"/>
                    </w:rPr>
                    <w:t>（二十）加强VOCs全流程综合治理。按照“应收尽收、分质收集”原则，将无组织排放转变为有组织排放进行集中治理。含VOCs有机废水储罐、装置区集水井（池）有机废气应密闭收集处理，企业污水处理场排放的高浓度有机废气应单独收集处理。依据废气排放特征，配套建设适宜高效治理设施，加强治理设施运行维护。企业生产设施开停车、检维修期间，按照要求及时收集处理退料、清洗、吹扫等作业产生的VOCs废气。企业不得将火炬燃烧装置作为日常大气污染处理设施。规范开展VOCs泄漏检测与修复工作，定期开展储罐部件密封性检测，石化、化工行业集中的重点工业园区，2024年年底前，建立统一的LDAR（泄漏检测与修复）信息管理平台。2025年年底前，挥发性有机液体储罐基本使用低泄漏的储罐呼吸阀、紧急泄压阀；汽车罐车基本使用自封式快速接头。</w:t>
                  </w:r>
                </w:p>
              </w:tc>
              <w:tc>
                <w:tcPr>
                  <w:tcW w:w="2010" w:type="dxa"/>
                  <w:tcBorders>
                    <w:top w:val="single" w:color="auto" w:sz="4" w:space="0"/>
                    <w:left w:val="single" w:color="auto" w:sz="4" w:space="0"/>
                    <w:bottom w:val="single" w:color="auto" w:sz="4" w:space="0"/>
                    <w:right w:val="single" w:color="auto" w:sz="4" w:space="0"/>
                  </w:tcBorders>
                  <w:vAlign w:val="center"/>
                </w:tcPr>
                <w:p w14:paraId="621F3A44">
                  <w:pPr>
                    <w:autoSpaceDE w:val="0"/>
                    <w:jc w:val="center"/>
                    <w:rPr>
                      <w:color w:val="000000"/>
                      <w:szCs w:val="21"/>
                    </w:rPr>
                  </w:pPr>
                  <w:r>
                    <w:rPr>
                      <w:iCs/>
                      <w:color w:val="000000"/>
                    </w:rPr>
                    <w:t>本项目</w:t>
                  </w:r>
                  <w:r>
                    <w:rPr>
                      <w:rFonts w:hint="eastAsia"/>
                      <w:bCs/>
                      <w:iCs/>
                      <w:color w:val="000000"/>
                    </w:rPr>
                    <w:t>营运期废气主要为中空工序有机废气，中空工序有机废气经收集后进入活性炭吸附-脱附+催化燃烧装置处理达标后由15m高排气筒排放；VOCs可以实现高效处理</w:t>
                  </w:r>
                </w:p>
              </w:tc>
              <w:tc>
                <w:tcPr>
                  <w:tcW w:w="656" w:type="dxa"/>
                  <w:tcBorders>
                    <w:top w:val="single" w:color="auto" w:sz="4" w:space="0"/>
                    <w:left w:val="single" w:color="auto" w:sz="4" w:space="0"/>
                    <w:bottom w:val="single" w:color="auto" w:sz="4" w:space="0"/>
                    <w:right w:val="single" w:color="auto" w:sz="4" w:space="0"/>
                  </w:tcBorders>
                  <w:vAlign w:val="center"/>
                </w:tcPr>
                <w:p w14:paraId="6373D41A">
                  <w:pPr>
                    <w:autoSpaceDE w:val="0"/>
                    <w:jc w:val="center"/>
                    <w:rPr>
                      <w:color w:val="000000"/>
                      <w:szCs w:val="21"/>
                    </w:rPr>
                  </w:pPr>
                  <w:r>
                    <w:rPr>
                      <w:color w:val="000000"/>
                    </w:rPr>
                    <w:t>相符</w:t>
                  </w:r>
                </w:p>
              </w:tc>
            </w:tr>
          </w:tbl>
          <w:p w14:paraId="56239FD2">
            <w:pPr>
              <w:spacing w:line="360" w:lineRule="auto"/>
              <w:ind w:firstLine="480" w:firstLineChars="200"/>
              <w:rPr>
                <w:szCs w:val="21"/>
              </w:rPr>
            </w:pPr>
            <w:r>
              <w:rPr>
                <w:rFonts w:hint="eastAsia" w:ascii="宋体" w:hAnsi="宋体"/>
                <w:color w:val="000000"/>
                <w:sz w:val="24"/>
              </w:rPr>
              <w:t>根据上表分析，本项目建设符合《关于印发濮阳市空气质量持续改善行动实施方案的通知》（濮政〔</w:t>
            </w:r>
            <w:r>
              <w:rPr>
                <w:rFonts w:hint="eastAsia"/>
                <w:color w:val="000000"/>
                <w:sz w:val="24"/>
              </w:rPr>
              <w:t>2024</w:t>
            </w:r>
            <w:r>
              <w:rPr>
                <w:rFonts w:hint="eastAsia" w:ascii="宋体" w:hAnsi="宋体"/>
                <w:color w:val="000000"/>
                <w:sz w:val="24"/>
              </w:rPr>
              <w:t>〕</w:t>
            </w:r>
            <w:r>
              <w:rPr>
                <w:rFonts w:hint="eastAsia"/>
                <w:color w:val="000000"/>
                <w:sz w:val="24"/>
              </w:rPr>
              <w:t>11</w:t>
            </w:r>
            <w:r>
              <w:rPr>
                <w:rFonts w:hint="eastAsia" w:ascii="宋体" w:hAnsi="宋体"/>
                <w:color w:val="000000"/>
                <w:sz w:val="24"/>
              </w:rPr>
              <w:t>号）相关要求。</w:t>
            </w:r>
          </w:p>
          <w:p w14:paraId="3E5031DD">
            <w:pPr>
              <w:pStyle w:val="90"/>
              <w:spacing w:line="360" w:lineRule="auto"/>
              <w:ind w:firstLine="480" w:firstLineChars="200"/>
              <w:rPr>
                <w:rFonts w:ascii="Times New Roman" w:hAnsi="Times New Roman"/>
                <w:bCs/>
                <w:sz w:val="24"/>
              </w:rPr>
            </w:pPr>
          </w:p>
          <w:p w14:paraId="4AC89D3E">
            <w:pPr>
              <w:pStyle w:val="90"/>
              <w:spacing w:line="360" w:lineRule="auto"/>
              <w:ind w:firstLine="480" w:firstLineChars="200"/>
              <w:rPr>
                <w:rFonts w:ascii="Times New Roman" w:hAnsi="Times New Roman"/>
                <w:bCs/>
                <w:sz w:val="24"/>
              </w:rPr>
            </w:pPr>
          </w:p>
          <w:p w14:paraId="016E17CD">
            <w:pPr>
              <w:pStyle w:val="90"/>
              <w:spacing w:line="360" w:lineRule="auto"/>
              <w:ind w:firstLine="480" w:firstLineChars="200"/>
              <w:rPr>
                <w:rFonts w:ascii="Times New Roman" w:hAnsi="Times New Roman"/>
                <w:bCs/>
                <w:sz w:val="24"/>
              </w:rPr>
            </w:pPr>
          </w:p>
          <w:p w14:paraId="0B5E654B">
            <w:pPr>
              <w:pStyle w:val="90"/>
              <w:spacing w:line="360" w:lineRule="auto"/>
              <w:ind w:firstLine="480" w:firstLineChars="200"/>
              <w:rPr>
                <w:rFonts w:ascii="Times New Roman" w:hAnsi="Times New Roman"/>
                <w:bCs/>
                <w:sz w:val="24"/>
              </w:rPr>
            </w:pPr>
          </w:p>
          <w:p w14:paraId="53F498F7">
            <w:pPr>
              <w:pStyle w:val="90"/>
              <w:spacing w:line="360" w:lineRule="auto"/>
              <w:ind w:firstLine="480" w:firstLineChars="200"/>
              <w:rPr>
                <w:rFonts w:ascii="Times New Roman" w:hAnsi="Times New Roman"/>
                <w:bCs/>
                <w:sz w:val="24"/>
              </w:rPr>
            </w:pPr>
          </w:p>
          <w:p w14:paraId="67D0D8AB">
            <w:pPr>
              <w:pStyle w:val="90"/>
              <w:spacing w:line="360" w:lineRule="auto"/>
              <w:ind w:firstLine="480" w:firstLineChars="200"/>
              <w:rPr>
                <w:rFonts w:ascii="Times New Roman" w:hAnsi="Times New Roman"/>
                <w:bCs/>
                <w:sz w:val="24"/>
              </w:rPr>
            </w:pPr>
          </w:p>
          <w:p w14:paraId="0B22DC9A">
            <w:pPr>
              <w:pStyle w:val="90"/>
              <w:spacing w:line="360" w:lineRule="auto"/>
              <w:ind w:firstLine="480" w:firstLineChars="200"/>
              <w:rPr>
                <w:rFonts w:ascii="Times New Roman" w:hAnsi="Times New Roman"/>
                <w:bCs/>
                <w:sz w:val="24"/>
              </w:rPr>
            </w:pPr>
          </w:p>
          <w:p w14:paraId="1ECFD0B1">
            <w:pPr>
              <w:pStyle w:val="90"/>
              <w:spacing w:line="360" w:lineRule="auto"/>
              <w:ind w:firstLine="480" w:firstLineChars="200"/>
              <w:rPr>
                <w:rFonts w:ascii="Times New Roman" w:hAnsi="Times New Roman"/>
                <w:bCs/>
                <w:sz w:val="24"/>
              </w:rPr>
            </w:pPr>
          </w:p>
          <w:p w14:paraId="5EC9E830">
            <w:pPr>
              <w:pStyle w:val="90"/>
              <w:spacing w:line="360" w:lineRule="auto"/>
              <w:ind w:firstLine="480" w:firstLineChars="200"/>
              <w:rPr>
                <w:rFonts w:ascii="Times New Roman" w:hAnsi="Times New Roman"/>
                <w:bCs/>
                <w:sz w:val="24"/>
              </w:rPr>
            </w:pPr>
          </w:p>
          <w:p w14:paraId="4952FD34">
            <w:pPr>
              <w:pStyle w:val="90"/>
              <w:spacing w:line="360" w:lineRule="auto"/>
              <w:ind w:firstLine="480" w:firstLineChars="200"/>
              <w:rPr>
                <w:rFonts w:ascii="Times New Roman" w:hAnsi="Times New Roman"/>
                <w:bCs/>
                <w:sz w:val="24"/>
              </w:rPr>
            </w:pPr>
          </w:p>
          <w:p w14:paraId="30F53DDF">
            <w:pPr>
              <w:pStyle w:val="90"/>
              <w:spacing w:line="360" w:lineRule="auto"/>
              <w:ind w:firstLine="480" w:firstLineChars="200"/>
              <w:rPr>
                <w:rFonts w:ascii="Times New Roman" w:hAnsi="Times New Roman"/>
                <w:bCs/>
                <w:sz w:val="24"/>
              </w:rPr>
            </w:pPr>
          </w:p>
          <w:p w14:paraId="5F23A6AB">
            <w:pPr>
              <w:pStyle w:val="90"/>
              <w:spacing w:line="360" w:lineRule="auto"/>
              <w:ind w:firstLine="480" w:firstLineChars="200"/>
              <w:rPr>
                <w:rFonts w:ascii="Times New Roman" w:hAnsi="Times New Roman"/>
                <w:bCs/>
                <w:sz w:val="24"/>
              </w:rPr>
            </w:pPr>
          </w:p>
          <w:p w14:paraId="14B72F3F">
            <w:pPr>
              <w:pStyle w:val="90"/>
              <w:spacing w:line="360" w:lineRule="auto"/>
              <w:ind w:firstLine="480" w:firstLineChars="200"/>
              <w:rPr>
                <w:rFonts w:ascii="Times New Roman" w:hAnsi="Times New Roman"/>
                <w:bCs/>
                <w:sz w:val="24"/>
              </w:rPr>
            </w:pPr>
          </w:p>
        </w:tc>
      </w:tr>
    </w:tbl>
    <w:p w14:paraId="4C80377D">
      <w:pPr>
        <w:spacing w:line="360" w:lineRule="auto"/>
        <w:outlineLvl w:val="0"/>
        <w:rPr>
          <w:rFonts w:eastAsia="黑体"/>
          <w:sz w:val="30"/>
        </w:rPr>
        <w:sectPr>
          <w:footerReference r:id="rId3" w:type="default"/>
          <w:pgSz w:w="11906" w:h="16838"/>
          <w:pgMar w:top="1701" w:right="1531" w:bottom="1701" w:left="1531" w:header="851" w:footer="1134" w:gutter="0"/>
          <w:pgNumType w:start="1"/>
          <w:cols w:space="720" w:num="1"/>
          <w:docGrid w:linePitch="312" w:charSpace="0"/>
        </w:sectPr>
      </w:pPr>
    </w:p>
    <w:p w14:paraId="60A49B18">
      <w:pPr>
        <w:pStyle w:val="34"/>
      </w:pPr>
      <w:bookmarkStart w:id="1" w:name="_Toc157673385"/>
      <w:r>
        <w:rPr>
          <w:rFonts w:hint="eastAsia"/>
        </w:rPr>
        <w:t>二、建设项目工程分析</w:t>
      </w:r>
      <w:bookmarkEnd w:id="1"/>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0B2D02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76" w:hRule="atLeast"/>
          <w:jc w:val="center"/>
        </w:trPr>
        <w:tc>
          <w:tcPr>
            <w:tcW w:w="823" w:type="dxa"/>
            <w:vAlign w:val="center"/>
          </w:tcPr>
          <w:p w14:paraId="5546149C">
            <w:pPr>
              <w:pStyle w:val="75"/>
              <w:jc w:val="center"/>
              <w:rPr>
                <w:color w:val="auto"/>
              </w:rPr>
            </w:pPr>
            <w:r>
              <w:rPr>
                <w:rFonts w:hint="eastAsia"/>
                <w:color w:val="auto"/>
              </w:rPr>
              <w:t>建设内容</w:t>
            </w:r>
          </w:p>
        </w:tc>
        <w:tc>
          <w:tcPr>
            <w:tcW w:w="8161" w:type="dxa"/>
          </w:tcPr>
          <w:p w14:paraId="1D26A16F">
            <w:pPr>
              <w:spacing w:line="360" w:lineRule="auto"/>
              <w:ind w:firstLine="482" w:firstLineChars="200"/>
              <w:rPr>
                <w:b/>
                <w:bCs/>
                <w:sz w:val="24"/>
              </w:rPr>
            </w:pPr>
            <w:r>
              <w:rPr>
                <w:b/>
                <w:bCs/>
                <w:sz w:val="24"/>
              </w:rPr>
              <w:t>1、项目由来</w:t>
            </w:r>
          </w:p>
          <w:p w14:paraId="3B5E077D">
            <w:pPr>
              <w:spacing w:line="360" w:lineRule="auto"/>
              <w:ind w:firstLine="480" w:firstLineChars="200"/>
              <w:rPr>
                <w:bCs/>
                <w:sz w:val="24"/>
              </w:rPr>
            </w:pPr>
            <w:r>
              <w:rPr>
                <w:rFonts w:hint="eastAsia"/>
                <w:bCs/>
                <w:sz w:val="24"/>
              </w:rPr>
              <w:t>濮阳天和玻璃有限责任公司（以下简称“本公司”）成立于2021年10月，《濮阳天和玻璃有限责任公司年加工30万平方米钢化玻璃、30万平方米中空玻璃项目环境影响报告表》于2022年10月14日取得清丰县环境保护局的批复，批复文号：清环审〔2022〕20号，原审批项目位于河南省濮阳市清丰县城关镇产业集聚区建设路东侧001号。</w:t>
            </w:r>
            <w:r>
              <w:rPr>
                <w:rFonts w:hint="eastAsia"/>
                <w:bCs/>
                <w:sz w:val="24"/>
                <w:u w:val="single"/>
              </w:rPr>
              <w:t>本公司在取得环评批复后，在原审批项目建设过程中，因租用厂房无法满足项目需求，企业建设中止后拟重新选址，原审批项目仅建设部分生产设施，一直未竣工投产，也未取得排污许可证和未进行竣工环境保护验收。</w:t>
            </w:r>
          </w:p>
          <w:p w14:paraId="2611CB8C">
            <w:pPr>
              <w:spacing w:line="360" w:lineRule="auto"/>
              <w:ind w:firstLine="480" w:firstLineChars="200"/>
              <w:rPr>
                <w:bCs/>
                <w:sz w:val="24"/>
              </w:rPr>
            </w:pPr>
            <w:r>
              <w:rPr>
                <w:rFonts w:hint="eastAsia"/>
                <w:bCs/>
                <w:sz w:val="24"/>
              </w:rPr>
              <w:t>项目重新选址后，新厂址位于濮阳市清丰县先进制造业开发区106国道与单拐大道交叉口往东200米路南，根据《河南省生态环境厅办公室关于规范涉变动污染影响类项目环评与排污许可管理的通知》（豫环办〔2023〕4号）要求：“建设项目的环境影响报告书（表）经批准后、通过竣工环境保护验收前，项目的性质、规模、地点、生产工艺和环境保护措施五个因素中的一项或一项以上发生变动的，建设单位应当依据已发布的行业建设项目重大变动清单或环办环评函〔2020〕688号文件，判定是否属于重大变动。对于经判定属于重大变动的，建设单位应当依法重新报批环境影响评价文件，取得批复后纳入排污许可和竣工环境保护验收管理。”由于原审批项目未进行竣工环境保护验收，因此，项目重新选址属于验收前变动。</w:t>
            </w:r>
          </w:p>
          <w:p w14:paraId="39F00D9E">
            <w:pPr>
              <w:spacing w:line="360" w:lineRule="auto"/>
              <w:ind w:firstLine="480" w:firstLineChars="200"/>
              <w:rPr>
                <w:bCs/>
                <w:sz w:val="24"/>
                <w:u w:val="single"/>
              </w:rPr>
            </w:pPr>
            <w:r>
              <w:rPr>
                <w:rFonts w:hint="eastAsia"/>
                <w:bCs/>
                <w:sz w:val="24"/>
                <w:u w:val="single"/>
              </w:rPr>
              <w:t>依据《污染影响类建设项目重大变动清单（试行）》，判定项目重新选址属于重大变动，应重新报批环境影响评价文件。项目变动情况具体见下表：</w:t>
            </w:r>
          </w:p>
          <w:p w14:paraId="07E577BB">
            <w:pPr>
              <w:pStyle w:val="137"/>
              <w:numPr>
                <w:ilvl w:val="0"/>
                <w:numId w:val="4"/>
              </w:numPr>
              <w:spacing w:line="360" w:lineRule="auto"/>
              <w:ind w:firstLineChars="0"/>
              <w:jc w:val="center"/>
              <w:rPr>
                <w:b/>
                <w:bCs/>
                <w:u w:val="single"/>
              </w:rPr>
            </w:pPr>
            <w:r>
              <w:rPr>
                <w:rFonts w:hint="eastAsia"/>
                <w:b/>
                <w:bCs/>
                <w:u w:val="single"/>
              </w:rPr>
              <w:t>项目变动情况与《污染影响类建设项目重大变动清单（试行）》对照分析</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2233"/>
              <w:gridCol w:w="567"/>
              <w:gridCol w:w="1169"/>
              <w:gridCol w:w="1889"/>
              <w:gridCol w:w="915"/>
              <w:gridCol w:w="696"/>
            </w:tblGrid>
            <w:tr w14:paraId="502A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658" w:type="dxa"/>
                  <w:gridSpan w:val="2"/>
                  <w:vAlign w:val="center"/>
                </w:tcPr>
                <w:p w14:paraId="1F357FA7">
                  <w:pPr>
                    <w:jc w:val="center"/>
                    <w:rPr>
                      <w:b/>
                      <w:bCs/>
                      <w:u w:val="single"/>
                    </w:rPr>
                  </w:pPr>
                  <w:r>
                    <w:rPr>
                      <w:rFonts w:hint="eastAsia"/>
                      <w:b/>
                      <w:bCs/>
                      <w:u w:val="single"/>
                    </w:rPr>
                    <w:t>判断依据</w:t>
                  </w:r>
                </w:p>
              </w:tc>
              <w:tc>
                <w:tcPr>
                  <w:tcW w:w="1736" w:type="dxa"/>
                  <w:gridSpan w:val="2"/>
                  <w:vAlign w:val="center"/>
                </w:tcPr>
                <w:p w14:paraId="56EE1141">
                  <w:pPr>
                    <w:jc w:val="center"/>
                    <w:rPr>
                      <w:b/>
                      <w:bCs/>
                      <w:u w:val="single"/>
                    </w:rPr>
                  </w:pPr>
                  <w:r>
                    <w:rPr>
                      <w:rFonts w:hint="eastAsia"/>
                      <w:b/>
                      <w:bCs/>
                      <w:u w:val="single"/>
                    </w:rPr>
                    <w:t>原环评及批复内容</w:t>
                  </w:r>
                </w:p>
              </w:tc>
              <w:tc>
                <w:tcPr>
                  <w:tcW w:w="1889" w:type="dxa"/>
                  <w:vAlign w:val="center"/>
                </w:tcPr>
                <w:p w14:paraId="2C14A638">
                  <w:pPr>
                    <w:jc w:val="center"/>
                    <w:rPr>
                      <w:b/>
                      <w:bCs/>
                      <w:u w:val="single"/>
                    </w:rPr>
                  </w:pPr>
                  <w:r>
                    <w:rPr>
                      <w:rFonts w:hint="eastAsia"/>
                      <w:b/>
                      <w:bCs/>
                      <w:u w:val="single"/>
                    </w:rPr>
                    <w:t>变动后建设内容</w:t>
                  </w:r>
                </w:p>
              </w:tc>
              <w:tc>
                <w:tcPr>
                  <w:tcW w:w="915" w:type="dxa"/>
                  <w:vAlign w:val="center"/>
                </w:tcPr>
                <w:p w14:paraId="37023907">
                  <w:pPr>
                    <w:jc w:val="center"/>
                    <w:rPr>
                      <w:b/>
                      <w:bCs/>
                      <w:u w:val="single"/>
                    </w:rPr>
                  </w:pPr>
                  <w:r>
                    <w:rPr>
                      <w:rFonts w:hint="eastAsia"/>
                      <w:b/>
                      <w:bCs/>
                      <w:u w:val="single"/>
                    </w:rPr>
                    <w:t>变动情况</w:t>
                  </w:r>
                </w:p>
              </w:tc>
              <w:tc>
                <w:tcPr>
                  <w:tcW w:w="696" w:type="dxa"/>
                  <w:vAlign w:val="center"/>
                </w:tcPr>
                <w:p w14:paraId="5D6492C0">
                  <w:pPr>
                    <w:jc w:val="center"/>
                    <w:rPr>
                      <w:b/>
                      <w:bCs/>
                      <w:u w:val="single"/>
                    </w:rPr>
                  </w:pPr>
                  <w:r>
                    <w:rPr>
                      <w:rFonts w:hint="eastAsia"/>
                      <w:b/>
                      <w:bCs/>
                      <w:u w:val="single"/>
                    </w:rPr>
                    <w:t>是否属于重大变动</w:t>
                  </w:r>
                </w:p>
              </w:tc>
            </w:tr>
            <w:tr w14:paraId="034D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425" w:type="dxa"/>
                  <w:vAlign w:val="center"/>
                </w:tcPr>
                <w:p w14:paraId="3084A6A2">
                  <w:pPr>
                    <w:jc w:val="center"/>
                    <w:rPr>
                      <w:bCs/>
                      <w:u w:val="single"/>
                    </w:rPr>
                  </w:pPr>
                  <w:r>
                    <w:rPr>
                      <w:bCs/>
                      <w:u w:val="single"/>
                    </w:rPr>
                    <w:t>性质</w:t>
                  </w:r>
                </w:p>
              </w:tc>
              <w:tc>
                <w:tcPr>
                  <w:tcW w:w="2233" w:type="dxa"/>
                  <w:vAlign w:val="center"/>
                </w:tcPr>
                <w:p w14:paraId="67DB349E">
                  <w:pPr>
                    <w:rPr>
                      <w:bCs/>
                      <w:u w:val="single"/>
                    </w:rPr>
                  </w:pPr>
                  <w:r>
                    <w:rPr>
                      <w:rFonts w:hint="eastAsia"/>
                      <w:bCs/>
                      <w:u w:val="single"/>
                    </w:rPr>
                    <w:t>1.建设项目开发、使用功能发生变化的</w:t>
                  </w:r>
                </w:p>
              </w:tc>
              <w:tc>
                <w:tcPr>
                  <w:tcW w:w="1736" w:type="dxa"/>
                  <w:gridSpan w:val="2"/>
                  <w:vAlign w:val="center"/>
                </w:tcPr>
                <w:p w14:paraId="6504C132">
                  <w:pPr>
                    <w:jc w:val="center"/>
                    <w:rPr>
                      <w:bCs/>
                      <w:u w:val="single"/>
                    </w:rPr>
                  </w:pPr>
                  <w:r>
                    <w:rPr>
                      <w:rFonts w:hint="eastAsia"/>
                      <w:bCs/>
                      <w:u w:val="single"/>
                    </w:rPr>
                    <w:t>C3042特种玻璃制造</w:t>
                  </w:r>
                </w:p>
              </w:tc>
              <w:tc>
                <w:tcPr>
                  <w:tcW w:w="1889" w:type="dxa"/>
                  <w:vAlign w:val="center"/>
                </w:tcPr>
                <w:p w14:paraId="47A3C182">
                  <w:pPr>
                    <w:jc w:val="center"/>
                    <w:rPr>
                      <w:bCs/>
                      <w:u w:val="single"/>
                    </w:rPr>
                  </w:pPr>
                  <w:r>
                    <w:rPr>
                      <w:rFonts w:hint="eastAsia"/>
                      <w:bCs/>
                      <w:u w:val="single"/>
                    </w:rPr>
                    <w:t>C3042特种玻璃制造</w:t>
                  </w:r>
                </w:p>
              </w:tc>
              <w:tc>
                <w:tcPr>
                  <w:tcW w:w="915" w:type="dxa"/>
                  <w:vAlign w:val="center"/>
                </w:tcPr>
                <w:p w14:paraId="0CD29E1A">
                  <w:pPr>
                    <w:jc w:val="center"/>
                    <w:rPr>
                      <w:bCs/>
                      <w:u w:val="single"/>
                    </w:rPr>
                  </w:pPr>
                  <w:r>
                    <w:rPr>
                      <w:bCs/>
                      <w:u w:val="single"/>
                    </w:rPr>
                    <w:t>无变化</w:t>
                  </w:r>
                </w:p>
              </w:tc>
              <w:tc>
                <w:tcPr>
                  <w:tcW w:w="696" w:type="dxa"/>
                  <w:vAlign w:val="center"/>
                </w:tcPr>
                <w:p w14:paraId="45F10307">
                  <w:pPr>
                    <w:jc w:val="center"/>
                    <w:rPr>
                      <w:bCs/>
                      <w:u w:val="single"/>
                    </w:rPr>
                  </w:pPr>
                  <w:r>
                    <w:rPr>
                      <w:bCs/>
                      <w:u w:val="single"/>
                    </w:rPr>
                    <w:t>否</w:t>
                  </w:r>
                </w:p>
              </w:tc>
            </w:tr>
            <w:tr w14:paraId="381A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3" w:hRule="atLeast"/>
                <w:jc w:val="center"/>
              </w:trPr>
              <w:tc>
                <w:tcPr>
                  <w:tcW w:w="425" w:type="dxa"/>
                  <w:vAlign w:val="center"/>
                </w:tcPr>
                <w:p w14:paraId="18A019B6">
                  <w:pPr>
                    <w:jc w:val="center"/>
                    <w:rPr>
                      <w:bCs/>
                      <w:u w:val="single"/>
                    </w:rPr>
                  </w:pPr>
                  <w:r>
                    <w:rPr>
                      <w:bCs/>
                      <w:u w:val="single"/>
                    </w:rPr>
                    <w:t>规模</w:t>
                  </w:r>
                </w:p>
              </w:tc>
              <w:tc>
                <w:tcPr>
                  <w:tcW w:w="2233" w:type="dxa"/>
                  <w:vAlign w:val="center"/>
                </w:tcPr>
                <w:p w14:paraId="7EF4B5A5">
                  <w:pPr>
                    <w:rPr>
                      <w:bCs/>
                      <w:u w:val="single"/>
                    </w:rPr>
                  </w:pPr>
                  <w:r>
                    <w:rPr>
                      <w:rFonts w:hint="eastAsia"/>
                      <w:bCs/>
                      <w:u w:val="single"/>
                    </w:rPr>
                    <w:t>2.生产、处置或储存能力增大30%及以上的。</w:t>
                  </w:r>
                </w:p>
                <w:p w14:paraId="60C16C46">
                  <w:pPr>
                    <w:rPr>
                      <w:bCs/>
                      <w:u w:val="single"/>
                    </w:rPr>
                  </w:pPr>
                  <w:r>
                    <w:rPr>
                      <w:rFonts w:hint="eastAsia"/>
                      <w:bCs/>
                      <w:u w:val="single"/>
                    </w:rPr>
                    <w:t>3.生产、处置或储存能力增大，导致废水第一类污染物排放量增加的。</w:t>
                  </w:r>
                </w:p>
                <w:p w14:paraId="01757DA5">
                  <w:pPr>
                    <w:rPr>
                      <w:bCs/>
                      <w:u w:val="single"/>
                    </w:rPr>
                  </w:pPr>
                  <w:r>
                    <w:rPr>
                      <w:rFonts w:hint="eastAsia"/>
                      <w:bCs/>
                      <w:u w:val="single"/>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736" w:type="dxa"/>
                  <w:gridSpan w:val="2"/>
                  <w:vAlign w:val="center"/>
                </w:tcPr>
                <w:p w14:paraId="17D36B7D">
                  <w:pPr>
                    <w:jc w:val="center"/>
                    <w:rPr>
                      <w:bCs/>
                      <w:u w:val="single"/>
                    </w:rPr>
                  </w:pPr>
                  <w:r>
                    <w:rPr>
                      <w:bCs/>
                      <w:u w:val="single"/>
                    </w:rPr>
                    <w:t>项目位于环境质量不达标区</w:t>
                  </w:r>
                  <w:r>
                    <w:rPr>
                      <w:rFonts w:hint="eastAsia"/>
                      <w:bCs/>
                      <w:u w:val="single"/>
                    </w:rPr>
                    <w:t>，年产30万平方米钢化玻璃、30万平方米中空玻璃</w:t>
                  </w:r>
                </w:p>
              </w:tc>
              <w:tc>
                <w:tcPr>
                  <w:tcW w:w="1889" w:type="dxa"/>
                  <w:vAlign w:val="center"/>
                </w:tcPr>
                <w:p w14:paraId="4B0A408C">
                  <w:pPr>
                    <w:jc w:val="center"/>
                    <w:rPr>
                      <w:bCs/>
                      <w:u w:val="single"/>
                    </w:rPr>
                  </w:pPr>
                  <w:r>
                    <w:rPr>
                      <w:rFonts w:hint="eastAsia"/>
                      <w:bCs/>
                      <w:u w:val="single"/>
                    </w:rPr>
                    <w:t>项目位于环境质量不达标区，年产30万平方米钢化玻璃、30万平方米中空玻璃</w:t>
                  </w:r>
                </w:p>
              </w:tc>
              <w:tc>
                <w:tcPr>
                  <w:tcW w:w="915" w:type="dxa"/>
                  <w:vAlign w:val="center"/>
                </w:tcPr>
                <w:p w14:paraId="15C5BB71">
                  <w:pPr>
                    <w:jc w:val="center"/>
                    <w:rPr>
                      <w:bCs/>
                      <w:u w:val="single"/>
                    </w:rPr>
                  </w:pPr>
                  <w:r>
                    <w:rPr>
                      <w:bCs/>
                      <w:u w:val="single"/>
                    </w:rPr>
                    <w:t>无变化</w:t>
                  </w:r>
                </w:p>
              </w:tc>
              <w:tc>
                <w:tcPr>
                  <w:tcW w:w="696" w:type="dxa"/>
                  <w:vAlign w:val="center"/>
                </w:tcPr>
                <w:p w14:paraId="0C8957FE">
                  <w:pPr>
                    <w:jc w:val="center"/>
                    <w:rPr>
                      <w:bCs/>
                      <w:u w:val="single"/>
                    </w:rPr>
                  </w:pPr>
                  <w:r>
                    <w:rPr>
                      <w:bCs/>
                      <w:u w:val="single"/>
                    </w:rPr>
                    <w:t>否</w:t>
                  </w:r>
                </w:p>
              </w:tc>
            </w:tr>
            <w:tr w14:paraId="38F8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25" w:type="dxa"/>
                  <w:vAlign w:val="center"/>
                </w:tcPr>
                <w:p w14:paraId="27FF2FCF">
                  <w:pPr>
                    <w:jc w:val="center"/>
                    <w:rPr>
                      <w:bCs/>
                      <w:u w:val="single"/>
                    </w:rPr>
                  </w:pPr>
                  <w:r>
                    <w:rPr>
                      <w:rFonts w:hint="eastAsia"/>
                      <w:bCs/>
                      <w:u w:val="single"/>
                    </w:rPr>
                    <w:t>地点</w:t>
                  </w:r>
                </w:p>
              </w:tc>
              <w:tc>
                <w:tcPr>
                  <w:tcW w:w="2233" w:type="dxa"/>
                  <w:vAlign w:val="center"/>
                </w:tcPr>
                <w:p w14:paraId="0CEDDD2A">
                  <w:pPr>
                    <w:rPr>
                      <w:bCs/>
                      <w:u w:val="single"/>
                    </w:rPr>
                  </w:pPr>
                  <w:r>
                    <w:rPr>
                      <w:rFonts w:hint="eastAsia"/>
                      <w:bCs/>
                      <w:u w:val="single"/>
                    </w:rPr>
                    <w:t>5.重新选址；在原厂址附近调整（包括总平面布置变化）导致环境防护距离范围变化且新增敏感点的。</w:t>
                  </w:r>
                </w:p>
              </w:tc>
              <w:tc>
                <w:tcPr>
                  <w:tcW w:w="1736" w:type="dxa"/>
                  <w:gridSpan w:val="2"/>
                  <w:vAlign w:val="center"/>
                </w:tcPr>
                <w:p w14:paraId="108F42D2">
                  <w:pPr>
                    <w:jc w:val="center"/>
                    <w:rPr>
                      <w:bCs/>
                      <w:u w:val="single"/>
                    </w:rPr>
                  </w:pPr>
                  <w:r>
                    <w:rPr>
                      <w:rFonts w:hint="eastAsia"/>
                      <w:bCs/>
                      <w:u w:val="single"/>
                    </w:rPr>
                    <w:t>濮阳市清丰县城关镇产业集聚区建设路东侧001号</w:t>
                  </w:r>
                </w:p>
              </w:tc>
              <w:tc>
                <w:tcPr>
                  <w:tcW w:w="1889" w:type="dxa"/>
                  <w:vAlign w:val="center"/>
                </w:tcPr>
                <w:p w14:paraId="02BC5DF0">
                  <w:pPr>
                    <w:jc w:val="center"/>
                    <w:rPr>
                      <w:bCs/>
                      <w:u w:val="single"/>
                    </w:rPr>
                  </w:pPr>
                  <w:r>
                    <w:rPr>
                      <w:rFonts w:hint="eastAsia"/>
                      <w:bCs/>
                      <w:u w:val="single"/>
                    </w:rPr>
                    <w:t>濮阳市清丰县先进制造业开发区106国道与单拐大道交叉口往东200米路南</w:t>
                  </w:r>
                </w:p>
              </w:tc>
              <w:tc>
                <w:tcPr>
                  <w:tcW w:w="915" w:type="dxa"/>
                  <w:vAlign w:val="center"/>
                </w:tcPr>
                <w:p w14:paraId="08A2C4FC">
                  <w:pPr>
                    <w:jc w:val="center"/>
                    <w:rPr>
                      <w:bCs/>
                      <w:u w:val="single"/>
                    </w:rPr>
                  </w:pPr>
                  <w:r>
                    <w:rPr>
                      <w:bCs/>
                      <w:u w:val="single"/>
                    </w:rPr>
                    <w:t>重新选址</w:t>
                  </w:r>
                </w:p>
              </w:tc>
              <w:tc>
                <w:tcPr>
                  <w:tcW w:w="696" w:type="dxa"/>
                  <w:vAlign w:val="center"/>
                </w:tcPr>
                <w:p w14:paraId="25F18595">
                  <w:pPr>
                    <w:jc w:val="center"/>
                    <w:rPr>
                      <w:bCs/>
                      <w:u w:val="single"/>
                    </w:rPr>
                  </w:pPr>
                  <w:r>
                    <w:rPr>
                      <w:bCs/>
                      <w:u w:val="single"/>
                    </w:rPr>
                    <w:t>是</w:t>
                  </w:r>
                </w:p>
              </w:tc>
            </w:tr>
            <w:tr w14:paraId="5897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1" w:hRule="atLeast"/>
                <w:jc w:val="center"/>
              </w:trPr>
              <w:tc>
                <w:tcPr>
                  <w:tcW w:w="425" w:type="dxa"/>
                  <w:vAlign w:val="center"/>
                </w:tcPr>
                <w:p w14:paraId="5175756B">
                  <w:pPr>
                    <w:jc w:val="center"/>
                    <w:rPr>
                      <w:bCs/>
                      <w:u w:val="single"/>
                    </w:rPr>
                  </w:pPr>
                  <w:r>
                    <w:rPr>
                      <w:rFonts w:hint="eastAsia"/>
                      <w:bCs/>
                      <w:u w:val="single"/>
                    </w:rPr>
                    <w:t>生产工艺</w:t>
                  </w:r>
                </w:p>
              </w:tc>
              <w:tc>
                <w:tcPr>
                  <w:tcW w:w="2233" w:type="dxa"/>
                  <w:vAlign w:val="center"/>
                </w:tcPr>
                <w:p w14:paraId="5372354E">
                  <w:pPr>
                    <w:rPr>
                      <w:bCs/>
                      <w:u w:val="single"/>
                    </w:rPr>
                  </w:pPr>
                  <w:r>
                    <w:rPr>
                      <w:rFonts w:hint="eastAsia"/>
                      <w:bCs/>
                      <w:u w:val="single"/>
                    </w:rPr>
                    <w:t>6.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p w14:paraId="71DA74DB">
                  <w:pPr>
                    <w:rPr>
                      <w:bCs/>
                      <w:u w:val="single"/>
                    </w:rPr>
                  </w:pPr>
                  <w:r>
                    <w:rPr>
                      <w:rFonts w:hint="eastAsia"/>
                      <w:bCs/>
                      <w:u w:val="single"/>
                    </w:rPr>
                    <w:t>7.物料运输、装卸、贮存方式变化，导致大气污染物无组织排放量增加10%及以上的。</w:t>
                  </w:r>
                </w:p>
              </w:tc>
              <w:tc>
                <w:tcPr>
                  <w:tcW w:w="1736" w:type="dxa"/>
                  <w:gridSpan w:val="2"/>
                  <w:vAlign w:val="center"/>
                </w:tcPr>
                <w:p w14:paraId="1655CC1B">
                  <w:pPr>
                    <w:rPr>
                      <w:bCs/>
                      <w:u w:val="single"/>
                    </w:rPr>
                  </w:pPr>
                  <w:r>
                    <w:rPr>
                      <w:rFonts w:hint="eastAsia"/>
                      <w:bCs/>
                      <w:u w:val="single"/>
                    </w:rPr>
                    <w:t>钢化玻璃生产工艺：玻璃原片→切割→磨边→清洗→钢化→钢化玻璃；中空玻璃生产工艺：钢化玻璃/玻璃原片→铺间隔框→铺胶→固定→封胶→中空玻璃</w:t>
                  </w:r>
                </w:p>
              </w:tc>
              <w:tc>
                <w:tcPr>
                  <w:tcW w:w="1889" w:type="dxa"/>
                  <w:vAlign w:val="center"/>
                </w:tcPr>
                <w:p w14:paraId="1A0C45CA">
                  <w:pPr>
                    <w:rPr>
                      <w:bCs/>
                      <w:u w:val="single"/>
                    </w:rPr>
                  </w:pPr>
                  <w:r>
                    <w:rPr>
                      <w:rFonts w:hint="eastAsia"/>
                      <w:bCs/>
                      <w:u w:val="single"/>
                    </w:rPr>
                    <w:t>钢化玻璃生产工艺：玻璃原片→切割→磨边→清洗→钢化→钢化玻璃；中空玻璃生产工艺：钢化玻璃/玻璃原片→铝隔条折弯→切割→灌装干燥剂→涂胶→固定→封胶→中空玻璃</w:t>
                  </w:r>
                </w:p>
              </w:tc>
              <w:tc>
                <w:tcPr>
                  <w:tcW w:w="915" w:type="dxa"/>
                  <w:vAlign w:val="center"/>
                </w:tcPr>
                <w:p w14:paraId="422C01E6">
                  <w:pPr>
                    <w:jc w:val="center"/>
                    <w:rPr>
                      <w:bCs/>
                      <w:u w:val="single"/>
                    </w:rPr>
                  </w:pPr>
                  <w:r>
                    <w:rPr>
                      <w:bCs/>
                      <w:u w:val="single"/>
                    </w:rPr>
                    <w:t>生产工艺未变化</w:t>
                  </w:r>
                  <w:r>
                    <w:rPr>
                      <w:rFonts w:hint="eastAsia"/>
                      <w:bCs/>
                      <w:u w:val="single"/>
                    </w:rPr>
                    <w:t>，</w:t>
                  </w:r>
                  <w:r>
                    <w:rPr>
                      <w:bCs/>
                      <w:u w:val="single"/>
                    </w:rPr>
                    <w:t>中空玻璃的</w:t>
                  </w:r>
                  <w:r>
                    <w:rPr>
                      <w:rFonts w:hint="eastAsia"/>
                      <w:bCs/>
                      <w:u w:val="single"/>
                    </w:rPr>
                    <w:t>铺间隔框工艺进行了细化，未新增排放污染物种类，未新增污染物排放量</w:t>
                  </w:r>
                </w:p>
              </w:tc>
              <w:tc>
                <w:tcPr>
                  <w:tcW w:w="696" w:type="dxa"/>
                  <w:vAlign w:val="center"/>
                </w:tcPr>
                <w:p w14:paraId="66C67162">
                  <w:pPr>
                    <w:jc w:val="center"/>
                    <w:rPr>
                      <w:bCs/>
                      <w:u w:val="single"/>
                    </w:rPr>
                  </w:pPr>
                  <w:r>
                    <w:rPr>
                      <w:bCs/>
                      <w:u w:val="single"/>
                    </w:rPr>
                    <w:t>否</w:t>
                  </w:r>
                </w:p>
              </w:tc>
            </w:tr>
            <w:tr w14:paraId="0646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8" w:hRule="atLeast"/>
                <w:jc w:val="center"/>
              </w:trPr>
              <w:tc>
                <w:tcPr>
                  <w:tcW w:w="425" w:type="dxa"/>
                  <w:vMerge w:val="restart"/>
                  <w:vAlign w:val="center"/>
                </w:tcPr>
                <w:p w14:paraId="3097E935">
                  <w:pPr>
                    <w:jc w:val="center"/>
                    <w:rPr>
                      <w:bCs/>
                      <w:u w:val="single"/>
                    </w:rPr>
                  </w:pPr>
                  <w:r>
                    <w:rPr>
                      <w:rFonts w:hint="eastAsia"/>
                      <w:bCs/>
                      <w:u w:val="single"/>
                    </w:rPr>
                    <w:t>环境保护措施</w:t>
                  </w:r>
                </w:p>
              </w:tc>
              <w:tc>
                <w:tcPr>
                  <w:tcW w:w="2233" w:type="dxa"/>
                  <w:vMerge w:val="restart"/>
                  <w:vAlign w:val="center"/>
                </w:tcPr>
                <w:p w14:paraId="360ED252">
                  <w:pPr>
                    <w:rPr>
                      <w:bCs/>
                      <w:u w:val="single"/>
                    </w:rPr>
                  </w:pPr>
                  <w:r>
                    <w:rPr>
                      <w:rFonts w:hint="eastAsia"/>
                      <w:bCs/>
                      <w:u w:val="single"/>
                    </w:rPr>
                    <w:t>8.废气、废水污染防治措施变化，导致第6条中所列情形之一（废气无组织排放改为有组织排放、污染防治措施强化或改进的除外）或大气污染物无组织排放量增加10%及以上的。</w:t>
                  </w:r>
                </w:p>
                <w:p w14:paraId="143B7D7B">
                  <w:pPr>
                    <w:rPr>
                      <w:bCs/>
                      <w:u w:val="single"/>
                    </w:rPr>
                  </w:pPr>
                  <w:r>
                    <w:rPr>
                      <w:rFonts w:hint="eastAsia"/>
                      <w:bCs/>
                      <w:u w:val="single"/>
                    </w:rPr>
                    <w:t>9.新增废水直接排放口；废水由间接排放改为直接排放；废水直接排放口位置变化，导致不利环境影响加重的。</w:t>
                  </w:r>
                </w:p>
                <w:p w14:paraId="1400C778">
                  <w:pPr>
                    <w:rPr>
                      <w:bCs/>
                      <w:u w:val="single"/>
                    </w:rPr>
                  </w:pPr>
                  <w:r>
                    <w:rPr>
                      <w:rFonts w:hint="eastAsia"/>
                      <w:bCs/>
                      <w:u w:val="single"/>
                    </w:rPr>
                    <w:t>10.新增废气主要排放口（废气无组织排放改为有组织排放的除外）；主要排放口排气筒高度降低10%及以上的。</w:t>
                  </w:r>
                </w:p>
                <w:p w14:paraId="3B2960CD">
                  <w:pPr>
                    <w:rPr>
                      <w:bCs/>
                      <w:u w:val="single"/>
                    </w:rPr>
                  </w:pPr>
                  <w:r>
                    <w:rPr>
                      <w:rFonts w:hint="eastAsia"/>
                      <w:bCs/>
                      <w:u w:val="single"/>
                    </w:rPr>
                    <w:t>11.噪声、土壤或地下水污染防治措施变化，导致不利环境影响加重的。</w:t>
                  </w:r>
                </w:p>
                <w:p w14:paraId="4A8822CC">
                  <w:pPr>
                    <w:rPr>
                      <w:bCs/>
                      <w:u w:val="single"/>
                    </w:rPr>
                  </w:pPr>
                  <w:r>
                    <w:rPr>
                      <w:rFonts w:hint="eastAsia"/>
                      <w:bCs/>
                      <w:u w:val="single"/>
                    </w:rPr>
                    <w:t>12.固体废物利用处置方式由委托外单位利用处置改为自行利用处置的（自行利用处置设施单独开展环境影响评价的除外）；固体废物自行处置方式变化，导致不利环境影响加重的。</w:t>
                  </w:r>
                </w:p>
                <w:p w14:paraId="753E7E42">
                  <w:pPr>
                    <w:rPr>
                      <w:bCs/>
                      <w:u w:val="single"/>
                    </w:rPr>
                  </w:pPr>
                  <w:r>
                    <w:rPr>
                      <w:rFonts w:hint="eastAsia"/>
                      <w:bCs/>
                      <w:u w:val="single"/>
                    </w:rPr>
                    <w:t>13.事故废水暂存能力或拦截设施变化，导致环境风险防范能力弱化或降低的。</w:t>
                  </w:r>
                </w:p>
              </w:tc>
              <w:tc>
                <w:tcPr>
                  <w:tcW w:w="567" w:type="dxa"/>
                  <w:vAlign w:val="center"/>
                </w:tcPr>
                <w:p w14:paraId="44B882D1">
                  <w:pPr>
                    <w:jc w:val="center"/>
                    <w:rPr>
                      <w:bCs/>
                      <w:u w:val="single"/>
                    </w:rPr>
                  </w:pPr>
                  <w:r>
                    <w:rPr>
                      <w:bCs/>
                      <w:u w:val="single"/>
                    </w:rPr>
                    <w:t>废水</w:t>
                  </w:r>
                </w:p>
              </w:tc>
              <w:tc>
                <w:tcPr>
                  <w:tcW w:w="1169" w:type="dxa"/>
                  <w:vAlign w:val="center"/>
                </w:tcPr>
                <w:p w14:paraId="24F467BE">
                  <w:pPr>
                    <w:jc w:val="center"/>
                    <w:rPr>
                      <w:bCs/>
                      <w:u w:val="single"/>
                    </w:rPr>
                  </w:pPr>
                  <w:r>
                    <w:rPr>
                      <w:rFonts w:hint="eastAsia"/>
                      <w:bCs/>
                      <w:u w:val="single"/>
                    </w:rPr>
                    <w:t>生产废水经循环水槽收集后循环使用，定期更换，更换的生产废水和生活污水一同经隔油池+化粪池处理后，经市政管网排入清丰中州水务有限公司第二污水处理厂</w:t>
                  </w:r>
                </w:p>
              </w:tc>
              <w:tc>
                <w:tcPr>
                  <w:tcW w:w="1889" w:type="dxa"/>
                  <w:vAlign w:val="center"/>
                </w:tcPr>
                <w:p w14:paraId="54DCC6CC">
                  <w:pPr>
                    <w:jc w:val="center"/>
                    <w:rPr>
                      <w:bCs/>
                      <w:u w:val="single"/>
                    </w:rPr>
                  </w:pPr>
                  <w:r>
                    <w:rPr>
                      <w:rFonts w:hint="eastAsia"/>
                      <w:bCs/>
                      <w:u w:val="single"/>
                    </w:rPr>
                    <w:t>生产废水经循环水槽收集后循环使用，定期更换的生产废水经三级沉淀池处理后部分回用于磨边工序，剩余废水定期外排；生活污水经化粪池处理；</w:t>
                  </w:r>
                </w:p>
                <w:p w14:paraId="69E0CB13">
                  <w:pPr>
                    <w:jc w:val="center"/>
                    <w:rPr>
                      <w:bCs/>
                      <w:u w:val="single"/>
                    </w:rPr>
                  </w:pPr>
                  <w:r>
                    <w:rPr>
                      <w:rFonts w:hint="eastAsia"/>
                      <w:bCs/>
                      <w:u w:val="single"/>
                    </w:rPr>
                    <w:t>处理后的生产废水和生活污水与纯水制备浓水一起排入市政管网，经市政管网排入清丰中州水务有限公司第二污水处理厂</w:t>
                  </w:r>
                </w:p>
              </w:tc>
              <w:tc>
                <w:tcPr>
                  <w:tcW w:w="915" w:type="dxa"/>
                  <w:vAlign w:val="center"/>
                </w:tcPr>
                <w:p w14:paraId="22EEA782">
                  <w:pPr>
                    <w:jc w:val="center"/>
                    <w:rPr>
                      <w:bCs/>
                      <w:u w:val="single"/>
                    </w:rPr>
                  </w:pPr>
                  <w:r>
                    <w:rPr>
                      <w:bCs/>
                      <w:u w:val="single"/>
                    </w:rPr>
                    <w:t>生产废水治理措施强化</w:t>
                  </w:r>
                  <w:r>
                    <w:rPr>
                      <w:rFonts w:hint="eastAsia"/>
                      <w:bCs/>
                      <w:u w:val="single"/>
                    </w:rPr>
                    <w:t>；变动后厂区不设食堂，生活污水仅需化粪池预处理后排入市政管网；新增纯水制备浓水直接排入市政管网</w:t>
                  </w:r>
                </w:p>
              </w:tc>
              <w:tc>
                <w:tcPr>
                  <w:tcW w:w="696" w:type="dxa"/>
                  <w:vAlign w:val="center"/>
                </w:tcPr>
                <w:p w14:paraId="350710F6">
                  <w:pPr>
                    <w:jc w:val="center"/>
                    <w:rPr>
                      <w:bCs/>
                      <w:u w:val="single"/>
                    </w:rPr>
                  </w:pPr>
                  <w:r>
                    <w:rPr>
                      <w:bCs/>
                      <w:u w:val="single"/>
                    </w:rPr>
                    <w:t>否</w:t>
                  </w:r>
                </w:p>
              </w:tc>
            </w:tr>
            <w:tr w14:paraId="16C3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8" w:hRule="atLeast"/>
                <w:jc w:val="center"/>
              </w:trPr>
              <w:tc>
                <w:tcPr>
                  <w:tcW w:w="425" w:type="dxa"/>
                  <w:vMerge w:val="continue"/>
                  <w:vAlign w:val="center"/>
                </w:tcPr>
                <w:p w14:paraId="7BC5C306">
                  <w:pPr>
                    <w:jc w:val="center"/>
                    <w:rPr>
                      <w:bCs/>
                      <w:u w:val="single"/>
                    </w:rPr>
                  </w:pPr>
                </w:p>
              </w:tc>
              <w:tc>
                <w:tcPr>
                  <w:tcW w:w="2233" w:type="dxa"/>
                  <w:vMerge w:val="continue"/>
                  <w:vAlign w:val="center"/>
                </w:tcPr>
                <w:p w14:paraId="0B06A7DA">
                  <w:pPr>
                    <w:jc w:val="center"/>
                    <w:rPr>
                      <w:bCs/>
                      <w:u w:val="single"/>
                    </w:rPr>
                  </w:pPr>
                </w:p>
              </w:tc>
              <w:tc>
                <w:tcPr>
                  <w:tcW w:w="567" w:type="dxa"/>
                  <w:vAlign w:val="center"/>
                </w:tcPr>
                <w:p w14:paraId="0601BA9C">
                  <w:pPr>
                    <w:jc w:val="center"/>
                    <w:rPr>
                      <w:bCs/>
                      <w:u w:val="single"/>
                    </w:rPr>
                  </w:pPr>
                  <w:r>
                    <w:rPr>
                      <w:bCs/>
                      <w:u w:val="single"/>
                    </w:rPr>
                    <w:t>废气</w:t>
                  </w:r>
                </w:p>
              </w:tc>
              <w:tc>
                <w:tcPr>
                  <w:tcW w:w="1169" w:type="dxa"/>
                  <w:vAlign w:val="center"/>
                </w:tcPr>
                <w:p w14:paraId="57E68DB5">
                  <w:pPr>
                    <w:jc w:val="center"/>
                    <w:rPr>
                      <w:bCs/>
                      <w:u w:val="single"/>
                    </w:rPr>
                  </w:pPr>
                  <w:r>
                    <w:rPr>
                      <w:rFonts w:hint="eastAsia"/>
                      <w:bCs/>
                      <w:u w:val="single"/>
                    </w:rPr>
                    <w:t>中空工序有机废气经收集后引入“活性炭吸附+催化燃烧”装置处理，处理后经15m高排气筒排放；</w:t>
                  </w:r>
                </w:p>
                <w:p w14:paraId="4458D572">
                  <w:pPr>
                    <w:jc w:val="center"/>
                    <w:rPr>
                      <w:bCs/>
                      <w:u w:val="single"/>
                    </w:rPr>
                  </w:pPr>
                  <w:r>
                    <w:rPr>
                      <w:rFonts w:hint="eastAsia"/>
                      <w:bCs/>
                      <w:u w:val="single"/>
                    </w:rPr>
                    <w:t>食堂油烟经油烟净化器处理后，经独立烟道引至房顶排放</w:t>
                  </w:r>
                </w:p>
              </w:tc>
              <w:tc>
                <w:tcPr>
                  <w:tcW w:w="1889" w:type="dxa"/>
                  <w:vAlign w:val="center"/>
                </w:tcPr>
                <w:p w14:paraId="37B6B7DF">
                  <w:pPr>
                    <w:jc w:val="center"/>
                    <w:rPr>
                      <w:bCs/>
                      <w:u w:val="single"/>
                    </w:rPr>
                  </w:pPr>
                  <w:r>
                    <w:rPr>
                      <w:bCs/>
                      <w:u w:val="single"/>
                    </w:rPr>
                    <w:t>中空工序有机废气经</w:t>
                  </w:r>
                  <w:r>
                    <w:rPr>
                      <w:rFonts w:hint="eastAsia"/>
                      <w:bCs/>
                      <w:u w:val="single"/>
                    </w:rPr>
                    <w:t>收集后引入“活性炭吸附-脱附+催化燃烧”装置处理，处理后经15m高排气筒排放</w:t>
                  </w:r>
                </w:p>
              </w:tc>
              <w:tc>
                <w:tcPr>
                  <w:tcW w:w="915" w:type="dxa"/>
                  <w:vAlign w:val="center"/>
                </w:tcPr>
                <w:p w14:paraId="7510BAA4">
                  <w:pPr>
                    <w:jc w:val="center"/>
                    <w:rPr>
                      <w:bCs/>
                      <w:u w:val="single"/>
                    </w:rPr>
                  </w:pPr>
                  <w:r>
                    <w:rPr>
                      <w:bCs/>
                      <w:u w:val="single"/>
                    </w:rPr>
                    <w:t>生产工艺废气治理措施未变化</w:t>
                  </w:r>
                  <w:r>
                    <w:rPr>
                      <w:rFonts w:hint="eastAsia"/>
                      <w:bCs/>
                      <w:u w:val="single"/>
                    </w:rPr>
                    <w:t>，</w:t>
                  </w:r>
                  <w:r>
                    <w:rPr>
                      <w:bCs/>
                      <w:u w:val="single"/>
                    </w:rPr>
                    <w:t>排放方式不变</w:t>
                  </w:r>
                  <w:r>
                    <w:rPr>
                      <w:rFonts w:hint="eastAsia"/>
                      <w:bCs/>
                      <w:u w:val="single"/>
                    </w:rPr>
                    <w:t>，</w:t>
                  </w:r>
                  <w:r>
                    <w:rPr>
                      <w:bCs/>
                      <w:u w:val="single"/>
                    </w:rPr>
                    <w:t>变动后不设食堂</w:t>
                  </w:r>
                  <w:r>
                    <w:rPr>
                      <w:rFonts w:hint="eastAsia"/>
                      <w:bCs/>
                      <w:u w:val="single"/>
                    </w:rPr>
                    <w:t>，</w:t>
                  </w:r>
                  <w:r>
                    <w:rPr>
                      <w:bCs/>
                      <w:u w:val="single"/>
                    </w:rPr>
                    <w:t>无食堂油烟产生</w:t>
                  </w:r>
                </w:p>
              </w:tc>
              <w:tc>
                <w:tcPr>
                  <w:tcW w:w="696" w:type="dxa"/>
                  <w:vAlign w:val="center"/>
                </w:tcPr>
                <w:p w14:paraId="5D94E9A8">
                  <w:pPr>
                    <w:jc w:val="center"/>
                    <w:rPr>
                      <w:bCs/>
                      <w:u w:val="single"/>
                    </w:rPr>
                  </w:pPr>
                  <w:r>
                    <w:rPr>
                      <w:bCs/>
                      <w:u w:val="single"/>
                    </w:rPr>
                    <w:t>否</w:t>
                  </w:r>
                </w:p>
              </w:tc>
            </w:tr>
            <w:tr w14:paraId="5DDB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5" w:type="dxa"/>
                  <w:vMerge w:val="continue"/>
                  <w:vAlign w:val="center"/>
                </w:tcPr>
                <w:p w14:paraId="78435004">
                  <w:pPr>
                    <w:jc w:val="center"/>
                    <w:rPr>
                      <w:bCs/>
                      <w:u w:val="single"/>
                    </w:rPr>
                  </w:pPr>
                </w:p>
              </w:tc>
              <w:tc>
                <w:tcPr>
                  <w:tcW w:w="2233" w:type="dxa"/>
                  <w:vMerge w:val="continue"/>
                  <w:vAlign w:val="center"/>
                </w:tcPr>
                <w:p w14:paraId="4326ED63">
                  <w:pPr>
                    <w:jc w:val="center"/>
                    <w:rPr>
                      <w:bCs/>
                      <w:u w:val="single"/>
                    </w:rPr>
                  </w:pPr>
                </w:p>
              </w:tc>
              <w:tc>
                <w:tcPr>
                  <w:tcW w:w="567" w:type="dxa"/>
                  <w:vAlign w:val="center"/>
                </w:tcPr>
                <w:p w14:paraId="66FDDC4F">
                  <w:pPr>
                    <w:jc w:val="center"/>
                    <w:rPr>
                      <w:bCs/>
                      <w:u w:val="single"/>
                    </w:rPr>
                  </w:pPr>
                  <w:r>
                    <w:rPr>
                      <w:bCs/>
                      <w:u w:val="single"/>
                    </w:rPr>
                    <w:t>噪声</w:t>
                  </w:r>
                </w:p>
              </w:tc>
              <w:tc>
                <w:tcPr>
                  <w:tcW w:w="1169" w:type="dxa"/>
                  <w:vAlign w:val="center"/>
                </w:tcPr>
                <w:p w14:paraId="49C3CB66">
                  <w:pPr>
                    <w:jc w:val="center"/>
                    <w:rPr>
                      <w:bCs/>
                      <w:u w:val="single"/>
                    </w:rPr>
                  </w:pPr>
                  <w:r>
                    <w:rPr>
                      <w:rFonts w:hint="eastAsia"/>
                      <w:bCs/>
                      <w:u w:val="single"/>
                    </w:rPr>
                    <w:t>减震、隔声</w:t>
                  </w:r>
                </w:p>
              </w:tc>
              <w:tc>
                <w:tcPr>
                  <w:tcW w:w="1889" w:type="dxa"/>
                  <w:vAlign w:val="center"/>
                </w:tcPr>
                <w:p w14:paraId="196A6F1F">
                  <w:pPr>
                    <w:jc w:val="center"/>
                    <w:rPr>
                      <w:bCs/>
                      <w:u w:val="single"/>
                    </w:rPr>
                  </w:pPr>
                  <w:r>
                    <w:rPr>
                      <w:rFonts w:hint="eastAsia"/>
                      <w:bCs/>
                      <w:u w:val="single"/>
                    </w:rPr>
                    <w:t>减震、隔声</w:t>
                  </w:r>
                </w:p>
              </w:tc>
              <w:tc>
                <w:tcPr>
                  <w:tcW w:w="915" w:type="dxa"/>
                  <w:vAlign w:val="center"/>
                </w:tcPr>
                <w:p w14:paraId="292E6DE7">
                  <w:pPr>
                    <w:jc w:val="center"/>
                    <w:rPr>
                      <w:bCs/>
                      <w:u w:val="single"/>
                    </w:rPr>
                  </w:pPr>
                  <w:r>
                    <w:rPr>
                      <w:bCs/>
                      <w:u w:val="single"/>
                    </w:rPr>
                    <w:t>无变化</w:t>
                  </w:r>
                </w:p>
              </w:tc>
              <w:tc>
                <w:tcPr>
                  <w:tcW w:w="696" w:type="dxa"/>
                  <w:vAlign w:val="center"/>
                </w:tcPr>
                <w:p w14:paraId="73ACD93C">
                  <w:pPr>
                    <w:jc w:val="center"/>
                    <w:rPr>
                      <w:bCs/>
                      <w:u w:val="single"/>
                    </w:rPr>
                  </w:pPr>
                  <w:r>
                    <w:rPr>
                      <w:bCs/>
                      <w:u w:val="single"/>
                    </w:rPr>
                    <w:t>否</w:t>
                  </w:r>
                </w:p>
              </w:tc>
            </w:tr>
            <w:tr w14:paraId="1BA1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25" w:type="dxa"/>
                  <w:vMerge w:val="continue"/>
                  <w:vAlign w:val="center"/>
                </w:tcPr>
                <w:p w14:paraId="549AF9D7">
                  <w:pPr>
                    <w:jc w:val="center"/>
                    <w:rPr>
                      <w:bCs/>
                      <w:u w:val="single"/>
                    </w:rPr>
                  </w:pPr>
                </w:p>
              </w:tc>
              <w:tc>
                <w:tcPr>
                  <w:tcW w:w="2233" w:type="dxa"/>
                  <w:vMerge w:val="continue"/>
                  <w:vAlign w:val="center"/>
                </w:tcPr>
                <w:p w14:paraId="0E9CBAFD">
                  <w:pPr>
                    <w:jc w:val="center"/>
                    <w:rPr>
                      <w:bCs/>
                      <w:u w:val="single"/>
                    </w:rPr>
                  </w:pPr>
                </w:p>
              </w:tc>
              <w:tc>
                <w:tcPr>
                  <w:tcW w:w="567" w:type="dxa"/>
                  <w:vAlign w:val="center"/>
                </w:tcPr>
                <w:p w14:paraId="1C5E629B">
                  <w:pPr>
                    <w:jc w:val="center"/>
                    <w:rPr>
                      <w:bCs/>
                      <w:u w:val="single"/>
                    </w:rPr>
                  </w:pPr>
                  <w:r>
                    <w:rPr>
                      <w:bCs/>
                      <w:u w:val="single"/>
                    </w:rPr>
                    <w:t>固废</w:t>
                  </w:r>
                </w:p>
              </w:tc>
              <w:tc>
                <w:tcPr>
                  <w:tcW w:w="1169" w:type="dxa"/>
                  <w:vAlign w:val="center"/>
                </w:tcPr>
                <w:p w14:paraId="2A3CA1AC">
                  <w:pPr>
                    <w:jc w:val="center"/>
                    <w:rPr>
                      <w:bCs/>
                      <w:u w:val="single"/>
                    </w:rPr>
                  </w:pPr>
                  <w:r>
                    <w:rPr>
                      <w:bCs/>
                      <w:u w:val="single"/>
                    </w:rPr>
                    <w:t>设置一般固废暂存区</w:t>
                  </w:r>
                  <w:r>
                    <w:rPr>
                      <w:rFonts w:hint="eastAsia"/>
                      <w:bCs/>
                      <w:u w:val="single"/>
                    </w:rPr>
                    <w:t>和危废暂存间</w:t>
                  </w:r>
                </w:p>
              </w:tc>
              <w:tc>
                <w:tcPr>
                  <w:tcW w:w="1889" w:type="dxa"/>
                  <w:vAlign w:val="center"/>
                </w:tcPr>
                <w:p w14:paraId="6F6F0911">
                  <w:pPr>
                    <w:jc w:val="center"/>
                    <w:rPr>
                      <w:bCs/>
                      <w:u w:val="single"/>
                    </w:rPr>
                  </w:pPr>
                  <w:r>
                    <w:rPr>
                      <w:bCs/>
                      <w:u w:val="single"/>
                    </w:rPr>
                    <w:t>设置一般固废暂存区</w:t>
                  </w:r>
                  <w:r>
                    <w:rPr>
                      <w:rFonts w:hint="eastAsia"/>
                      <w:bCs/>
                      <w:u w:val="single"/>
                    </w:rPr>
                    <w:t>和危废暂存间</w:t>
                  </w:r>
                </w:p>
              </w:tc>
              <w:tc>
                <w:tcPr>
                  <w:tcW w:w="915" w:type="dxa"/>
                  <w:vAlign w:val="center"/>
                </w:tcPr>
                <w:p w14:paraId="43FC1E94">
                  <w:pPr>
                    <w:jc w:val="center"/>
                    <w:rPr>
                      <w:bCs/>
                      <w:u w:val="single"/>
                    </w:rPr>
                  </w:pPr>
                  <w:r>
                    <w:rPr>
                      <w:bCs/>
                      <w:u w:val="single"/>
                    </w:rPr>
                    <w:t>无变化</w:t>
                  </w:r>
                </w:p>
              </w:tc>
              <w:tc>
                <w:tcPr>
                  <w:tcW w:w="696" w:type="dxa"/>
                  <w:vAlign w:val="center"/>
                </w:tcPr>
                <w:p w14:paraId="23FEF328">
                  <w:pPr>
                    <w:jc w:val="center"/>
                    <w:rPr>
                      <w:bCs/>
                      <w:u w:val="single"/>
                    </w:rPr>
                  </w:pPr>
                  <w:r>
                    <w:rPr>
                      <w:bCs/>
                      <w:u w:val="single"/>
                    </w:rPr>
                    <w:t>否</w:t>
                  </w:r>
                </w:p>
              </w:tc>
            </w:tr>
            <w:tr w14:paraId="378C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425" w:type="dxa"/>
                  <w:vMerge w:val="continue"/>
                  <w:vAlign w:val="center"/>
                </w:tcPr>
                <w:p w14:paraId="6F845543">
                  <w:pPr>
                    <w:jc w:val="center"/>
                    <w:rPr>
                      <w:bCs/>
                      <w:u w:val="single"/>
                    </w:rPr>
                  </w:pPr>
                </w:p>
              </w:tc>
              <w:tc>
                <w:tcPr>
                  <w:tcW w:w="2233" w:type="dxa"/>
                  <w:vMerge w:val="continue"/>
                  <w:vAlign w:val="center"/>
                </w:tcPr>
                <w:p w14:paraId="79F79E40">
                  <w:pPr>
                    <w:jc w:val="center"/>
                    <w:rPr>
                      <w:bCs/>
                      <w:u w:val="single"/>
                    </w:rPr>
                  </w:pPr>
                </w:p>
              </w:tc>
              <w:tc>
                <w:tcPr>
                  <w:tcW w:w="567" w:type="dxa"/>
                  <w:vAlign w:val="center"/>
                </w:tcPr>
                <w:p w14:paraId="30895F83">
                  <w:pPr>
                    <w:jc w:val="center"/>
                    <w:rPr>
                      <w:bCs/>
                      <w:u w:val="single"/>
                    </w:rPr>
                  </w:pPr>
                  <w:r>
                    <w:rPr>
                      <w:bCs/>
                      <w:u w:val="single"/>
                    </w:rPr>
                    <w:t>环境风险</w:t>
                  </w:r>
                </w:p>
              </w:tc>
              <w:tc>
                <w:tcPr>
                  <w:tcW w:w="1169" w:type="dxa"/>
                  <w:vAlign w:val="center"/>
                </w:tcPr>
                <w:p w14:paraId="09FF7B4B">
                  <w:pPr>
                    <w:jc w:val="center"/>
                    <w:rPr>
                      <w:bCs/>
                      <w:u w:val="single"/>
                    </w:rPr>
                  </w:pPr>
                  <w:r>
                    <w:rPr>
                      <w:bCs/>
                      <w:u w:val="single"/>
                    </w:rPr>
                    <w:t>无</w:t>
                  </w:r>
                </w:p>
              </w:tc>
              <w:tc>
                <w:tcPr>
                  <w:tcW w:w="1889" w:type="dxa"/>
                  <w:vAlign w:val="center"/>
                </w:tcPr>
                <w:p w14:paraId="5D4C2709">
                  <w:pPr>
                    <w:jc w:val="center"/>
                    <w:rPr>
                      <w:bCs/>
                      <w:u w:val="single"/>
                    </w:rPr>
                  </w:pPr>
                  <w:r>
                    <w:rPr>
                      <w:bCs/>
                      <w:u w:val="single"/>
                    </w:rPr>
                    <w:t>胶水储存区设置防泄漏托盘或围挡等截留措施</w:t>
                  </w:r>
                  <w:r>
                    <w:rPr>
                      <w:rFonts w:hint="eastAsia"/>
                      <w:bCs/>
                      <w:u w:val="single"/>
                    </w:rPr>
                    <w:t>；危废暂存间做好“三防”措施</w:t>
                  </w:r>
                </w:p>
              </w:tc>
              <w:tc>
                <w:tcPr>
                  <w:tcW w:w="915" w:type="dxa"/>
                  <w:vAlign w:val="center"/>
                </w:tcPr>
                <w:p w14:paraId="439D11DC">
                  <w:pPr>
                    <w:jc w:val="center"/>
                    <w:rPr>
                      <w:bCs/>
                      <w:u w:val="single"/>
                    </w:rPr>
                  </w:pPr>
                  <w:r>
                    <w:rPr>
                      <w:bCs/>
                      <w:u w:val="single"/>
                    </w:rPr>
                    <w:t>风险防范措施强化</w:t>
                  </w:r>
                </w:p>
              </w:tc>
              <w:tc>
                <w:tcPr>
                  <w:tcW w:w="696" w:type="dxa"/>
                  <w:vAlign w:val="center"/>
                </w:tcPr>
                <w:p w14:paraId="757F66CD">
                  <w:pPr>
                    <w:jc w:val="center"/>
                    <w:rPr>
                      <w:bCs/>
                      <w:u w:val="single"/>
                    </w:rPr>
                  </w:pPr>
                  <w:r>
                    <w:rPr>
                      <w:bCs/>
                      <w:u w:val="single"/>
                    </w:rPr>
                    <w:t>否</w:t>
                  </w:r>
                </w:p>
              </w:tc>
            </w:tr>
          </w:tbl>
          <w:p w14:paraId="4C97D0F5">
            <w:pPr>
              <w:spacing w:line="360" w:lineRule="auto"/>
              <w:ind w:firstLine="480" w:firstLineChars="200"/>
              <w:rPr>
                <w:bCs/>
                <w:sz w:val="24"/>
              </w:rPr>
            </w:pPr>
            <w:r>
              <w:rPr>
                <w:rFonts w:hint="eastAsia"/>
                <w:bCs/>
                <w:sz w:val="24"/>
              </w:rPr>
              <w:t>本项目重新选址后，新厂址位于濮阳市清丰县先进制造业开发区106国道与单拐大道交叉口往东200米路南，本项目属于重大变动重新报批项目，建设性质为</w:t>
            </w:r>
            <w:r>
              <w:rPr>
                <w:rFonts w:hint="eastAsia"/>
                <w:bCs/>
                <w:sz w:val="24"/>
                <w:lang w:val="en-US" w:eastAsia="zh-CN"/>
              </w:rPr>
              <w:t>新建</w:t>
            </w:r>
            <w:r>
              <w:rPr>
                <w:rFonts w:hint="eastAsia"/>
                <w:bCs/>
                <w:sz w:val="24"/>
                <w:lang w:eastAsia="zh-CN"/>
              </w:rPr>
              <w:t>（</w:t>
            </w:r>
            <w:r>
              <w:rPr>
                <w:rFonts w:hint="eastAsia"/>
                <w:bCs/>
                <w:sz w:val="24"/>
              </w:rPr>
              <w:t>迁建</w:t>
            </w:r>
            <w:r>
              <w:rPr>
                <w:rFonts w:hint="eastAsia"/>
                <w:bCs/>
                <w:sz w:val="24"/>
                <w:lang w:eastAsia="zh-CN"/>
              </w:rPr>
              <w:t>）</w:t>
            </w:r>
            <w:r>
              <w:rPr>
                <w:rFonts w:hint="eastAsia"/>
                <w:bCs/>
                <w:sz w:val="24"/>
              </w:rPr>
              <w:t>，租用已建成的工业厂房进行建设，地理坐标为东经</w:t>
            </w:r>
            <w:r>
              <w:rPr>
                <w:bCs/>
                <w:sz w:val="24"/>
              </w:rPr>
              <w:t>115°7′22.877″</w:t>
            </w:r>
            <w:r>
              <w:rPr>
                <w:rFonts w:hint="eastAsia"/>
                <w:bCs/>
                <w:sz w:val="24"/>
              </w:rPr>
              <w:t>，北纬35</w:t>
            </w:r>
            <w:r>
              <w:rPr>
                <w:bCs/>
                <w:sz w:val="24"/>
              </w:rPr>
              <w:t>°</w:t>
            </w:r>
            <w:r>
              <w:rPr>
                <w:rFonts w:hint="eastAsia"/>
                <w:bCs/>
                <w:sz w:val="24"/>
              </w:rPr>
              <w:t>50</w:t>
            </w:r>
            <w:r>
              <w:rPr>
                <w:bCs/>
                <w:sz w:val="24"/>
              </w:rPr>
              <w:t>′</w:t>
            </w:r>
            <w:r>
              <w:rPr>
                <w:rFonts w:hint="eastAsia"/>
                <w:bCs/>
                <w:sz w:val="24"/>
              </w:rPr>
              <w:t>54.474</w:t>
            </w:r>
            <w:r>
              <w:rPr>
                <w:bCs/>
                <w:sz w:val="24"/>
              </w:rPr>
              <w:t>″</w:t>
            </w:r>
            <w:r>
              <w:rPr>
                <w:rFonts w:hint="eastAsia"/>
                <w:bCs/>
                <w:sz w:val="24"/>
              </w:rPr>
              <w:t>。项目重新选址后主要生产产品和产能与原审批项目一致，仍为年产30万平方米钢化玻璃、30万平方米中空玻璃。</w:t>
            </w:r>
          </w:p>
          <w:p w14:paraId="00F89F36">
            <w:pPr>
              <w:spacing w:line="360" w:lineRule="auto"/>
              <w:ind w:firstLine="480" w:firstLineChars="200"/>
              <w:rPr>
                <w:bCs/>
                <w:sz w:val="24"/>
              </w:rPr>
            </w:pPr>
            <w:r>
              <w:rPr>
                <w:bCs/>
                <w:sz w:val="24"/>
              </w:rPr>
              <w:t>根据《产业结构调整指导目录（20</w:t>
            </w:r>
            <w:r>
              <w:rPr>
                <w:rFonts w:hint="eastAsia"/>
                <w:bCs/>
                <w:sz w:val="24"/>
              </w:rPr>
              <w:t>24</w:t>
            </w:r>
            <w:r>
              <w:rPr>
                <w:bCs/>
                <w:sz w:val="24"/>
              </w:rPr>
              <w:t>年本）》，本项目</w:t>
            </w:r>
            <w:r>
              <w:rPr>
                <w:rFonts w:hint="eastAsia"/>
                <w:bCs/>
                <w:sz w:val="24"/>
              </w:rPr>
              <w:t>属于允许类，不属于鼓励类、限制类和淘汰类</w:t>
            </w:r>
            <w:r>
              <w:rPr>
                <w:bCs/>
                <w:sz w:val="24"/>
              </w:rPr>
              <w:t>，该项目已在</w:t>
            </w:r>
            <w:r>
              <w:rPr>
                <w:rFonts w:hint="eastAsia"/>
                <w:bCs/>
                <w:sz w:val="24"/>
              </w:rPr>
              <w:t>清丰县先进制造业开发区</w:t>
            </w:r>
            <w:r>
              <w:rPr>
                <w:bCs/>
                <w:sz w:val="24"/>
              </w:rPr>
              <w:t>备案，项目代码：2504-410922-04-01-185679（备案证明详见附件</w:t>
            </w:r>
            <w:r>
              <w:rPr>
                <w:rFonts w:hint="eastAsia"/>
                <w:bCs/>
                <w:sz w:val="24"/>
              </w:rPr>
              <w:t>1</w:t>
            </w:r>
            <w:r>
              <w:rPr>
                <w:bCs/>
                <w:sz w:val="24"/>
              </w:rPr>
              <w:t>）。</w:t>
            </w:r>
          </w:p>
          <w:p w14:paraId="6288D985">
            <w:pPr>
              <w:adjustRightInd w:val="0"/>
              <w:snapToGrid w:val="0"/>
              <w:spacing w:line="360" w:lineRule="auto"/>
              <w:ind w:firstLine="480" w:firstLineChars="200"/>
              <w:rPr>
                <w:bCs/>
                <w:sz w:val="24"/>
              </w:rPr>
            </w:pPr>
            <w:r>
              <w:rPr>
                <w:bCs/>
                <w:sz w:val="24"/>
              </w:rPr>
              <w:t>根据中华人民共和国国务院令第682号《建设项目环境保护管理条例》（2017年6月21日修订）、《中华人民共和国环境影响评价法》（</w:t>
            </w:r>
            <w:r>
              <w:rPr>
                <w:sz w:val="24"/>
              </w:rPr>
              <w:t>2018年12月29日修订</w:t>
            </w:r>
            <w:r>
              <w:rPr>
                <w:bCs/>
                <w:sz w:val="24"/>
              </w:rPr>
              <w:t>）和</w:t>
            </w:r>
            <w:r>
              <w:rPr>
                <w:rFonts w:hint="eastAsia"/>
                <w:bCs/>
                <w:sz w:val="24"/>
              </w:rPr>
              <w:t>生态</w:t>
            </w:r>
            <w:r>
              <w:rPr>
                <w:bCs/>
                <w:sz w:val="24"/>
              </w:rPr>
              <w:t>环境保护部令第</w:t>
            </w:r>
            <w:r>
              <w:rPr>
                <w:rFonts w:hint="eastAsia"/>
                <w:bCs/>
                <w:sz w:val="24"/>
              </w:rPr>
              <w:t>16</w:t>
            </w:r>
            <w:r>
              <w:rPr>
                <w:bCs/>
                <w:sz w:val="24"/>
              </w:rPr>
              <w:t>号《建设项目环境影响评价分类管理名录》（</w:t>
            </w:r>
            <w:r>
              <w:rPr>
                <w:rFonts w:hint="eastAsia"/>
                <w:bCs/>
                <w:sz w:val="24"/>
              </w:rPr>
              <w:t>2021年版</w:t>
            </w:r>
            <w:r>
              <w:rPr>
                <w:bCs/>
                <w:sz w:val="24"/>
              </w:rPr>
              <w:t>）等环保法律法规的相关规定，本项目属于</w:t>
            </w:r>
            <w:r>
              <w:rPr>
                <w:rFonts w:hint="eastAsia"/>
                <w:bCs/>
                <w:sz w:val="24"/>
              </w:rPr>
              <w:t>于二十七、非金属矿物制品业——57、玻璃制造304 中“特种玻璃制造”，因此，</w:t>
            </w:r>
            <w:r>
              <w:rPr>
                <w:rFonts w:hint="eastAsia"/>
                <w:sz w:val="24"/>
              </w:rPr>
              <w:t>本项目应编制环境影响报告表</w:t>
            </w:r>
            <w:r>
              <w:rPr>
                <w:sz w:val="24"/>
              </w:rPr>
              <w:t>。</w:t>
            </w:r>
            <w:r>
              <w:rPr>
                <w:bCs/>
                <w:sz w:val="24"/>
              </w:rPr>
              <w:t>为此建设方</w:t>
            </w:r>
            <w:r>
              <w:rPr>
                <w:sz w:val="24"/>
              </w:rPr>
              <w:t>委托</w:t>
            </w:r>
            <w:r>
              <w:rPr>
                <w:rFonts w:hint="eastAsia"/>
                <w:bCs/>
                <w:sz w:val="24"/>
              </w:rPr>
              <w:t>我</w:t>
            </w:r>
            <w:r>
              <w:rPr>
                <w:bCs/>
                <w:sz w:val="24"/>
              </w:rPr>
              <w:t>单位承担本</w:t>
            </w:r>
            <w:r>
              <w:rPr>
                <w:sz w:val="24"/>
              </w:rPr>
              <w:t>项目</w:t>
            </w:r>
            <w:r>
              <w:rPr>
                <w:bCs/>
                <w:sz w:val="24"/>
              </w:rPr>
              <w:t>的环境影响评价工作（委托书详见附件</w:t>
            </w:r>
            <w:r>
              <w:rPr>
                <w:rFonts w:hint="eastAsia"/>
                <w:bCs/>
                <w:sz w:val="24"/>
              </w:rPr>
              <w:t>2</w:t>
            </w:r>
            <w:r>
              <w:rPr>
                <w:bCs/>
                <w:sz w:val="24"/>
              </w:rPr>
              <w:t>），</w:t>
            </w:r>
            <w:r>
              <w:rPr>
                <w:sz w:val="24"/>
              </w:rPr>
              <w:t>我单位在现场勘察、资料分析的基础上，遵照国家环境保护法规，贯彻执行清洁生产、达标排放、总量控制的原则，本着客观、公正科学、规范的要求，编制完成了《</w:t>
            </w:r>
            <w:r>
              <w:rPr>
                <w:rFonts w:hint="eastAsia"/>
                <w:sz w:val="24"/>
              </w:rPr>
              <w:t>濮阳天和玻璃有限责任公司年产30万平方米钢化玻璃、30万平方米中空玻璃项目</w:t>
            </w:r>
            <w:r>
              <w:rPr>
                <w:sz w:val="24"/>
              </w:rPr>
              <w:t>环境影响报告表》</w:t>
            </w:r>
            <w:r>
              <w:rPr>
                <w:rFonts w:hint="eastAsia"/>
                <w:sz w:val="24"/>
              </w:rPr>
              <w:t>。</w:t>
            </w:r>
          </w:p>
          <w:p w14:paraId="155EB2E7">
            <w:pPr>
              <w:spacing w:line="360" w:lineRule="auto"/>
              <w:ind w:firstLine="482" w:firstLineChars="200"/>
              <w:rPr>
                <w:b/>
                <w:sz w:val="24"/>
              </w:rPr>
            </w:pPr>
            <w:r>
              <w:rPr>
                <w:rFonts w:hint="eastAsia"/>
                <w:b/>
                <w:sz w:val="24"/>
              </w:rPr>
              <w:t>2、建设项目组成</w:t>
            </w:r>
          </w:p>
          <w:p w14:paraId="65BEEEF8">
            <w:pPr>
              <w:widowControl/>
              <w:spacing w:line="360" w:lineRule="auto"/>
              <w:ind w:firstLine="480" w:firstLineChars="200"/>
              <w:rPr>
                <w:bCs/>
                <w:sz w:val="24"/>
              </w:rPr>
            </w:pPr>
            <w:r>
              <w:rPr>
                <w:bCs/>
                <w:sz w:val="24"/>
              </w:rPr>
              <w:t>本项目为</w:t>
            </w:r>
            <w:r>
              <w:rPr>
                <w:rFonts w:hint="eastAsia"/>
                <w:bCs/>
                <w:sz w:val="24"/>
                <w:lang w:eastAsia="zh-CN"/>
              </w:rPr>
              <w:t>因厂址变化导致重大变动后重新报批项目</w:t>
            </w:r>
            <w:r>
              <w:rPr>
                <w:bCs/>
                <w:sz w:val="24"/>
              </w:rPr>
              <w:t>，</w:t>
            </w:r>
            <w:r>
              <w:rPr>
                <w:rFonts w:hint="eastAsia"/>
                <w:bCs/>
                <w:sz w:val="24"/>
                <w:lang w:val="en-US" w:eastAsia="zh-CN"/>
              </w:rPr>
              <w:t>本</w:t>
            </w:r>
            <w:r>
              <w:rPr>
                <w:bCs/>
                <w:sz w:val="24"/>
              </w:rPr>
              <w:t>项目</w:t>
            </w:r>
            <w:r>
              <w:rPr>
                <w:rFonts w:hint="eastAsia"/>
                <w:bCs/>
                <w:sz w:val="24"/>
              </w:rPr>
              <w:t>建设</w:t>
            </w:r>
            <w:r>
              <w:rPr>
                <w:bCs/>
                <w:sz w:val="24"/>
              </w:rPr>
              <w:t>内容为：</w:t>
            </w:r>
            <w:r>
              <w:rPr>
                <w:rFonts w:hint="eastAsia"/>
                <w:bCs/>
                <w:sz w:val="24"/>
              </w:rPr>
              <w:t>主要</w:t>
            </w:r>
            <w:r>
              <w:rPr>
                <w:bCs/>
                <w:sz w:val="24"/>
              </w:rPr>
              <w:t>建设</w:t>
            </w:r>
            <w:r>
              <w:rPr>
                <w:rFonts w:hint="eastAsia"/>
                <w:bCs/>
                <w:sz w:val="24"/>
              </w:rPr>
              <w:t>1条钢化玻璃生产线，2条中空玻璃生产线，年加工生产30万平方米钢化玻璃、30万平方米中空玻璃。本项目基本情况见下表。</w:t>
            </w:r>
          </w:p>
          <w:p w14:paraId="2529F9D1">
            <w:pPr>
              <w:pStyle w:val="137"/>
              <w:numPr>
                <w:ilvl w:val="0"/>
                <w:numId w:val="4"/>
              </w:numPr>
              <w:spacing w:line="360" w:lineRule="auto"/>
              <w:ind w:firstLineChars="0"/>
              <w:jc w:val="center"/>
              <w:rPr>
                <w:b/>
                <w:bCs/>
                <w:szCs w:val="21"/>
              </w:rPr>
            </w:pPr>
            <w:r>
              <w:rPr>
                <w:b/>
                <w:bCs/>
                <w:szCs w:val="21"/>
              </w:rPr>
              <w:t>本项目基本情况一览表</w:t>
            </w:r>
          </w:p>
          <w:tbl>
            <w:tblPr>
              <w:tblStyle w:val="38"/>
              <w:tblW w:w="772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1193"/>
              <w:gridCol w:w="5800"/>
            </w:tblGrid>
            <w:tr w14:paraId="385A6F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733" w:type="dxa"/>
                  <w:vAlign w:val="center"/>
                </w:tcPr>
                <w:p w14:paraId="718EC83F">
                  <w:pPr>
                    <w:jc w:val="center"/>
                    <w:rPr>
                      <w:b/>
                      <w:bCs/>
                      <w:szCs w:val="21"/>
                    </w:rPr>
                  </w:pPr>
                  <w:r>
                    <w:rPr>
                      <w:b/>
                      <w:bCs/>
                      <w:szCs w:val="21"/>
                    </w:rPr>
                    <w:t>序号</w:t>
                  </w:r>
                </w:p>
              </w:tc>
              <w:tc>
                <w:tcPr>
                  <w:tcW w:w="1193" w:type="dxa"/>
                  <w:vAlign w:val="center"/>
                </w:tcPr>
                <w:p w14:paraId="52D4D09F">
                  <w:pPr>
                    <w:jc w:val="center"/>
                    <w:rPr>
                      <w:b/>
                      <w:bCs/>
                      <w:szCs w:val="21"/>
                    </w:rPr>
                  </w:pPr>
                  <w:r>
                    <w:rPr>
                      <w:b/>
                      <w:bCs/>
                      <w:szCs w:val="21"/>
                    </w:rPr>
                    <w:t>类别</w:t>
                  </w:r>
                </w:p>
              </w:tc>
              <w:tc>
                <w:tcPr>
                  <w:tcW w:w="5800" w:type="dxa"/>
                  <w:vAlign w:val="center"/>
                </w:tcPr>
                <w:p w14:paraId="4A5BBD12">
                  <w:pPr>
                    <w:jc w:val="center"/>
                    <w:rPr>
                      <w:b/>
                      <w:bCs/>
                      <w:szCs w:val="21"/>
                    </w:rPr>
                  </w:pPr>
                  <w:r>
                    <w:rPr>
                      <w:b/>
                      <w:bCs/>
                      <w:szCs w:val="21"/>
                    </w:rPr>
                    <w:t>基本内容</w:t>
                  </w:r>
                </w:p>
              </w:tc>
            </w:tr>
            <w:tr w14:paraId="002522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8" w:hRule="atLeast"/>
                <w:jc w:val="center"/>
              </w:trPr>
              <w:tc>
                <w:tcPr>
                  <w:tcW w:w="733" w:type="dxa"/>
                  <w:vAlign w:val="center"/>
                </w:tcPr>
                <w:p w14:paraId="3A360C52">
                  <w:pPr>
                    <w:jc w:val="center"/>
                    <w:rPr>
                      <w:bCs/>
                      <w:szCs w:val="21"/>
                    </w:rPr>
                  </w:pPr>
                  <w:r>
                    <w:rPr>
                      <w:rFonts w:hint="eastAsia"/>
                      <w:bCs/>
                      <w:szCs w:val="21"/>
                    </w:rPr>
                    <w:t>1</w:t>
                  </w:r>
                </w:p>
              </w:tc>
              <w:tc>
                <w:tcPr>
                  <w:tcW w:w="1193" w:type="dxa"/>
                  <w:vAlign w:val="center"/>
                </w:tcPr>
                <w:p w14:paraId="58D24B81">
                  <w:pPr>
                    <w:jc w:val="center"/>
                    <w:rPr>
                      <w:bCs/>
                      <w:szCs w:val="21"/>
                    </w:rPr>
                  </w:pPr>
                  <w:r>
                    <w:rPr>
                      <w:bCs/>
                      <w:szCs w:val="21"/>
                    </w:rPr>
                    <w:t>项目名称</w:t>
                  </w:r>
                </w:p>
              </w:tc>
              <w:tc>
                <w:tcPr>
                  <w:tcW w:w="5800" w:type="dxa"/>
                  <w:vAlign w:val="center"/>
                </w:tcPr>
                <w:p w14:paraId="7489B981">
                  <w:pPr>
                    <w:jc w:val="center"/>
                    <w:rPr>
                      <w:bCs/>
                      <w:szCs w:val="21"/>
                    </w:rPr>
                  </w:pPr>
                  <w:r>
                    <w:rPr>
                      <w:rFonts w:hint="eastAsia"/>
                      <w:bCs/>
                      <w:szCs w:val="21"/>
                    </w:rPr>
                    <w:t>濮阳天和玻璃有限责任公司年产30万平方米钢化玻璃、30万平方米中空玻璃项目</w:t>
                  </w:r>
                </w:p>
              </w:tc>
            </w:tr>
            <w:tr w14:paraId="21487F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733" w:type="dxa"/>
                  <w:vAlign w:val="center"/>
                </w:tcPr>
                <w:p w14:paraId="2C55BCBC">
                  <w:pPr>
                    <w:jc w:val="center"/>
                    <w:rPr>
                      <w:bCs/>
                      <w:szCs w:val="21"/>
                    </w:rPr>
                  </w:pPr>
                  <w:r>
                    <w:rPr>
                      <w:rFonts w:hint="eastAsia"/>
                      <w:bCs/>
                      <w:szCs w:val="21"/>
                    </w:rPr>
                    <w:t>2</w:t>
                  </w:r>
                </w:p>
              </w:tc>
              <w:tc>
                <w:tcPr>
                  <w:tcW w:w="1193" w:type="dxa"/>
                  <w:vAlign w:val="center"/>
                </w:tcPr>
                <w:p w14:paraId="738F778B">
                  <w:pPr>
                    <w:jc w:val="center"/>
                    <w:rPr>
                      <w:bCs/>
                      <w:szCs w:val="21"/>
                    </w:rPr>
                  </w:pPr>
                  <w:r>
                    <w:rPr>
                      <w:rFonts w:hint="eastAsia"/>
                      <w:bCs/>
                      <w:szCs w:val="21"/>
                    </w:rPr>
                    <w:t>建设</w:t>
                  </w:r>
                  <w:r>
                    <w:rPr>
                      <w:bCs/>
                      <w:szCs w:val="21"/>
                    </w:rPr>
                    <w:t>性质</w:t>
                  </w:r>
                </w:p>
              </w:tc>
              <w:tc>
                <w:tcPr>
                  <w:tcW w:w="5800" w:type="dxa"/>
                  <w:vAlign w:val="center"/>
                </w:tcPr>
                <w:p w14:paraId="77DB3904">
                  <w:pPr>
                    <w:jc w:val="center"/>
                    <w:rPr>
                      <w:rFonts w:hint="eastAsia" w:eastAsia="宋体"/>
                      <w:bCs/>
                      <w:szCs w:val="21"/>
                      <w:u w:val="single"/>
                      <w:lang w:eastAsia="zh-CN"/>
                    </w:rPr>
                  </w:pPr>
                  <w:r>
                    <w:rPr>
                      <w:rFonts w:hint="eastAsia"/>
                      <w:bCs/>
                      <w:szCs w:val="21"/>
                      <w:u w:val="single"/>
                      <w:lang w:val="en-US" w:eastAsia="zh-CN"/>
                    </w:rPr>
                    <w:t>新建（</w:t>
                  </w:r>
                  <w:r>
                    <w:rPr>
                      <w:rFonts w:hint="eastAsia"/>
                      <w:bCs/>
                      <w:szCs w:val="21"/>
                      <w:u w:val="single"/>
                    </w:rPr>
                    <w:t>迁建</w:t>
                  </w:r>
                  <w:r>
                    <w:rPr>
                      <w:rFonts w:hint="eastAsia"/>
                      <w:bCs/>
                      <w:szCs w:val="21"/>
                      <w:u w:val="single"/>
                      <w:lang w:eastAsia="zh-CN"/>
                    </w:rPr>
                    <w:t>）</w:t>
                  </w:r>
                </w:p>
              </w:tc>
            </w:tr>
            <w:tr w14:paraId="3D92E4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33" w:type="dxa"/>
                  <w:vAlign w:val="center"/>
                </w:tcPr>
                <w:p w14:paraId="7E9B9F15">
                  <w:pPr>
                    <w:adjustRightInd w:val="0"/>
                    <w:snapToGrid w:val="0"/>
                    <w:jc w:val="center"/>
                    <w:rPr>
                      <w:szCs w:val="21"/>
                    </w:rPr>
                  </w:pPr>
                  <w:r>
                    <w:rPr>
                      <w:rFonts w:hint="eastAsia"/>
                      <w:szCs w:val="21"/>
                    </w:rPr>
                    <w:t>3</w:t>
                  </w:r>
                </w:p>
              </w:tc>
              <w:tc>
                <w:tcPr>
                  <w:tcW w:w="1193" w:type="dxa"/>
                  <w:vAlign w:val="center"/>
                </w:tcPr>
                <w:p w14:paraId="5EEE1F02">
                  <w:pPr>
                    <w:jc w:val="center"/>
                    <w:rPr>
                      <w:bCs/>
                      <w:szCs w:val="21"/>
                    </w:rPr>
                  </w:pPr>
                  <w:r>
                    <w:rPr>
                      <w:bCs/>
                      <w:szCs w:val="21"/>
                    </w:rPr>
                    <w:t>建设地点</w:t>
                  </w:r>
                </w:p>
              </w:tc>
              <w:tc>
                <w:tcPr>
                  <w:tcW w:w="5800" w:type="dxa"/>
                  <w:vAlign w:val="center"/>
                </w:tcPr>
                <w:p w14:paraId="5CEF84DA">
                  <w:pPr>
                    <w:jc w:val="center"/>
                    <w:rPr>
                      <w:bCs/>
                      <w:szCs w:val="21"/>
                    </w:rPr>
                  </w:pPr>
                  <w:r>
                    <w:rPr>
                      <w:rFonts w:hint="eastAsia"/>
                      <w:bCs/>
                      <w:szCs w:val="21"/>
                    </w:rPr>
                    <w:t>河南省濮阳市清丰县先进制造业开发区106国道与单拐大道交叉口往东200米路南</w:t>
                  </w:r>
                </w:p>
              </w:tc>
            </w:tr>
            <w:tr w14:paraId="324A76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33" w:type="dxa"/>
                  <w:vAlign w:val="center"/>
                </w:tcPr>
                <w:p w14:paraId="21018FA2">
                  <w:pPr>
                    <w:adjustRightInd w:val="0"/>
                    <w:snapToGrid w:val="0"/>
                    <w:jc w:val="center"/>
                    <w:rPr>
                      <w:szCs w:val="21"/>
                    </w:rPr>
                  </w:pPr>
                  <w:r>
                    <w:rPr>
                      <w:rFonts w:hint="eastAsia"/>
                      <w:szCs w:val="21"/>
                    </w:rPr>
                    <w:t>4</w:t>
                  </w:r>
                </w:p>
              </w:tc>
              <w:tc>
                <w:tcPr>
                  <w:tcW w:w="1193" w:type="dxa"/>
                  <w:vAlign w:val="center"/>
                </w:tcPr>
                <w:p w14:paraId="65E5DDFF">
                  <w:pPr>
                    <w:jc w:val="center"/>
                    <w:rPr>
                      <w:bCs/>
                      <w:szCs w:val="21"/>
                    </w:rPr>
                  </w:pPr>
                  <w:r>
                    <w:rPr>
                      <w:bCs/>
                      <w:szCs w:val="21"/>
                    </w:rPr>
                    <w:t>建设单位</w:t>
                  </w:r>
                </w:p>
              </w:tc>
              <w:tc>
                <w:tcPr>
                  <w:tcW w:w="5800" w:type="dxa"/>
                  <w:vAlign w:val="center"/>
                </w:tcPr>
                <w:p w14:paraId="62CBC286">
                  <w:pPr>
                    <w:jc w:val="center"/>
                    <w:rPr>
                      <w:bCs/>
                      <w:szCs w:val="21"/>
                    </w:rPr>
                  </w:pPr>
                  <w:r>
                    <w:rPr>
                      <w:rFonts w:hint="eastAsia"/>
                      <w:bCs/>
                      <w:szCs w:val="21"/>
                    </w:rPr>
                    <w:t>濮阳天和玻璃有限责任公司</w:t>
                  </w:r>
                </w:p>
              </w:tc>
            </w:tr>
            <w:tr w14:paraId="25E078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33" w:type="dxa"/>
                  <w:vAlign w:val="center"/>
                </w:tcPr>
                <w:p w14:paraId="13A2FFFC">
                  <w:pPr>
                    <w:jc w:val="center"/>
                    <w:rPr>
                      <w:szCs w:val="21"/>
                    </w:rPr>
                  </w:pPr>
                  <w:r>
                    <w:rPr>
                      <w:rFonts w:hint="eastAsia"/>
                      <w:szCs w:val="21"/>
                    </w:rPr>
                    <w:t>5</w:t>
                  </w:r>
                </w:p>
              </w:tc>
              <w:tc>
                <w:tcPr>
                  <w:tcW w:w="1193" w:type="dxa"/>
                  <w:vAlign w:val="center"/>
                </w:tcPr>
                <w:p w14:paraId="34E38D7F">
                  <w:pPr>
                    <w:jc w:val="center"/>
                    <w:rPr>
                      <w:szCs w:val="21"/>
                    </w:rPr>
                  </w:pPr>
                  <w:r>
                    <w:rPr>
                      <w:szCs w:val="21"/>
                    </w:rPr>
                    <w:t>总投资</w:t>
                  </w:r>
                </w:p>
              </w:tc>
              <w:tc>
                <w:tcPr>
                  <w:tcW w:w="5800" w:type="dxa"/>
                  <w:vAlign w:val="center"/>
                </w:tcPr>
                <w:p w14:paraId="1C6D2BD3">
                  <w:pPr>
                    <w:jc w:val="center"/>
                    <w:rPr>
                      <w:szCs w:val="21"/>
                    </w:rPr>
                  </w:pPr>
                  <w:r>
                    <w:rPr>
                      <w:rFonts w:hint="eastAsia"/>
                      <w:szCs w:val="21"/>
                    </w:rPr>
                    <w:t>1000万元</w:t>
                  </w:r>
                </w:p>
              </w:tc>
            </w:tr>
            <w:tr w14:paraId="1DE80E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33" w:type="dxa"/>
                  <w:vAlign w:val="center"/>
                </w:tcPr>
                <w:p w14:paraId="0CE1C688">
                  <w:pPr>
                    <w:jc w:val="center"/>
                    <w:rPr>
                      <w:szCs w:val="21"/>
                    </w:rPr>
                  </w:pPr>
                  <w:r>
                    <w:rPr>
                      <w:rFonts w:hint="eastAsia"/>
                      <w:szCs w:val="21"/>
                    </w:rPr>
                    <w:t>6</w:t>
                  </w:r>
                </w:p>
              </w:tc>
              <w:tc>
                <w:tcPr>
                  <w:tcW w:w="1193" w:type="dxa"/>
                  <w:vAlign w:val="center"/>
                </w:tcPr>
                <w:p w14:paraId="736C795B">
                  <w:pPr>
                    <w:jc w:val="center"/>
                    <w:rPr>
                      <w:szCs w:val="21"/>
                    </w:rPr>
                  </w:pPr>
                  <w:r>
                    <w:rPr>
                      <w:szCs w:val="21"/>
                    </w:rPr>
                    <w:t>占地面积</w:t>
                  </w:r>
                </w:p>
              </w:tc>
              <w:tc>
                <w:tcPr>
                  <w:tcW w:w="5800" w:type="dxa"/>
                  <w:vAlign w:val="center"/>
                </w:tcPr>
                <w:p w14:paraId="32EF9145">
                  <w:pPr>
                    <w:jc w:val="center"/>
                    <w:rPr>
                      <w:szCs w:val="21"/>
                    </w:rPr>
                  </w:pPr>
                  <w:r>
                    <w:rPr>
                      <w:rFonts w:hint="eastAsia"/>
                    </w:rPr>
                    <w:t>5400</w:t>
                  </w:r>
                  <w:r>
                    <w:rPr>
                      <w:rFonts w:hint="eastAsia"/>
                      <w:szCs w:val="21"/>
                    </w:rPr>
                    <w:t>m</w:t>
                  </w:r>
                  <w:r>
                    <w:rPr>
                      <w:rFonts w:hint="eastAsia"/>
                      <w:szCs w:val="21"/>
                      <w:vertAlign w:val="superscript"/>
                    </w:rPr>
                    <w:t>2</w:t>
                  </w:r>
                </w:p>
              </w:tc>
            </w:tr>
            <w:tr w14:paraId="71E5A4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33" w:type="dxa"/>
                  <w:vAlign w:val="center"/>
                </w:tcPr>
                <w:p w14:paraId="6C0BBE83">
                  <w:pPr>
                    <w:jc w:val="center"/>
                    <w:rPr>
                      <w:szCs w:val="21"/>
                    </w:rPr>
                  </w:pPr>
                  <w:r>
                    <w:rPr>
                      <w:rFonts w:hint="eastAsia"/>
                      <w:szCs w:val="21"/>
                    </w:rPr>
                    <w:t>7</w:t>
                  </w:r>
                </w:p>
              </w:tc>
              <w:tc>
                <w:tcPr>
                  <w:tcW w:w="1193" w:type="dxa"/>
                  <w:vAlign w:val="center"/>
                </w:tcPr>
                <w:p w14:paraId="73A47776">
                  <w:pPr>
                    <w:jc w:val="center"/>
                    <w:rPr>
                      <w:szCs w:val="21"/>
                    </w:rPr>
                  </w:pPr>
                  <w:r>
                    <w:rPr>
                      <w:szCs w:val="21"/>
                    </w:rPr>
                    <w:t>生产规模</w:t>
                  </w:r>
                </w:p>
              </w:tc>
              <w:tc>
                <w:tcPr>
                  <w:tcW w:w="5800" w:type="dxa"/>
                  <w:vAlign w:val="center"/>
                </w:tcPr>
                <w:p w14:paraId="7633A09D">
                  <w:pPr>
                    <w:jc w:val="center"/>
                    <w:rPr>
                      <w:szCs w:val="21"/>
                    </w:rPr>
                  </w:pPr>
                  <w:r>
                    <w:rPr>
                      <w:rFonts w:hint="eastAsia"/>
                      <w:szCs w:val="21"/>
                    </w:rPr>
                    <w:t>年加工生产30万平方米钢化玻璃、30万平方米中空玻璃</w:t>
                  </w:r>
                </w:p>
              </w:tc>
            </w:tr>
            <w:tr w14:paraId="15E18A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33" w:type="dxa"/>
                  <w:vAlign w:val="center"/>
                </w:tcPr>
                <w:p w14:paraId="463AB61B">
                  <w:pPr>
                    <w:jc w:val="center"/>
                    <w:rPr>
                      <w:szCs w:val="21"/>
                    </w:rPr>
                  </w:pPr>
                  <w:r>
                    <w:rPr>
                      <w:rFonts w:hint="eastAsia"/>
                      <w:szCs w:val="21"/>
                    </w:rPr>
                    <w:t>8</w:t>
                  </w:r>
                </w:p>
              </w:tc>
              <w:tc>
                <w:tcPr>
                  <w:tcW w:w="1193" w:type="dxa"/>
                  <w:vAlign w:val="center"/>
                </w:tcPr>
                <w:p w14:paraId="05E670FC">
                  <w:pPr>
                    <w:jc w:val="center"/>
                    <w:rPr>
                      <w:szCs w:val="21"/>
                    </w:rPr>
                  </w:pPr>
                  <w:r>
                    <w:rPr>
                      <w:szCs w:val="21"/>
                    </w:rPr>
                    <w:t>劳动定员</w:t>
                  </w:r>
                </w:p>
              </w:tc>
              <w:tc>
                <w:tcPr>
                  <w:tcW w:w="5800" w:type="dxa"/>
                  <w:vAlign w:val="center"/>
                </w:tcPr>
                <w:p w14:paraId="6807A10A">
                  <w:pPr>
                    <w:jc w:val="center"/>
                    <w:rPr>
                      <w:szCs w:val="21"/>
                    </w:rPr>
                  </w:pPr>
                  <w:r>
                    <w:rPr>
                      <w:szCs w:val="21"/>
                    </w:rPr>
                    <w:t>员工</w:t>
                  </w:r>
                  <w:r>
                    <w:rPr>
                      <w:rFonts w:hint="eastAsia"/>
                      <w:szCs w:val="21"/>
                    </w:rPr>
                    <w:t>30人</w:t>
                  </w:r>
                </w:p>
              </w:tc>
            </w:tr>
            <w:tr w14:paraId="0E8C88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33" w:type="dxa"/>
                  <w:vAlign w:val="center"/>
                </w:tcPr>
                <w:p w14:paraId="7FC50C5F">
                  <w:pPr>
                    <w:jc w:val="center"/>
                    <w:rPr>
                      <w:szCs w:val="21"/>
                    </w:rPr>
                  </w:pPr>
                  <w:r>
                    <w:rPr>
                      <w:rFonts w:hint="eastAsia"/>
                      <w:szCs w:val="21"/>
                    </w:rPr>
                    <w:t>9</w:t>
                  </w:r>
                </w:p>
              </w:tc>
              <w:tc>
                <w:tcPr>
                  <w:tcW w:w="1193" w:type="dxa"/>
                  <w:vAlign w:val="center"/>
                </w:tcPr>
                <w:p w14:paraId="73EADE9C">
                  <w:pPr>
                    <w:jc w:val="center"/>
                    <w:rPr>
                      <w:szCs w:val="21"/>
                    </w:rPr>
                  </w:pPr>
                  <w:r>
                    <w:rPr>
                      <w:szCs w:val="21"/>
                    </w:rPr>
                    <w:t>工作制度</w:t>
                  </w:r>
                </w:p>
              </w:tc>
              <w:tc>
                <w:tcPr>
                  <w:tcW w:w="5800" w:type="dxa"/>
                  <w:vAlign w:val="center"/>
                </w:tcPr>
                <w:p w14:paraId="02778708">
                  <w:pPr>
                    <w:jc w:val="center"/>
                    <w:rPr>
                      <w:szCs w:val="21"/>
                    </w:rPr>
                  </w:pPr>
                  <w:r>
                    <w:rPr>
                      <w:rFonts w:hint="eastAsia"/>
                      <w:szCs w:val="21"/>
                    </w:rPr>
                    <w:t>每天工作8小时，年工作300天</w:t>
                  </w:r>
                </w:p>
              </w:tc>
            </w:tr>
          </w:tbl>
          <w:p w14:paraId="21ABE5BD">
            <w:pPr>
              <w:pStyle w:val="97"/>
              <w:autoSpaceDE/>
              <w:autoSpaceDN/>
              <w:spacing w:line="360" w:lineRule="auto"/>
              <w:ind w:firstLine="480" w:firstLineChars="200"/>
              <w:rPr>
                <w:bCs/>
                <w:sz w:val="24"/>
                <w:szCs w:val="24"/>
                <w:lang w:val="en-US"/>
              </w:rPr>
            </w:pPr>
            <w:r>
              <w:rPr>
                <w:rFonts w:hint="eastAsia"/>
                <w:bCs/>
                <w:sz w:val="24"/>
                <w:lang w:val="en-US"/>
              </w:rPr>
              <w:t>本项目组成和建设内容见下表</w:t>
            </w:r>
            <w:r>
              <w:rPr>
                <w:rFonts w:hint="eastAsia" w:ascii="Times New Roman" w:hAnsi="Times New Roman" w:cs="Times New Roman"/>
                <w:bCs/>
                <w:sz w:val="24"/>
                <w:szCs w:val="24"/>
                <w:lang w:val="en-US"/>
              </w:rPr>
              <w:t>。</w:t>
            </w:r>
          </w:p>
          <w:p w14:paraId="68820112">
            <w:pPr>
              <w:pStyle w:val="137"/>
              <w:numPr>
                <w:ilvl w:val="0"/>
                <w:numId w:val="4"/>
              </w:numPr>
              <w:spacing w:line="360" w:lineRule="auto"/>
              <w:ind w:firstLineChars="0"/>
              <w:jc w:val="center"/>
              <w:rPr>
                <w:b/>
                <w:bCs/>
                <w:szCs w:val="21"/>
              </w:rPr>
            </w:pPr>
            <w:r>
              <w:rPr>
                <w:rFonts w:hint="eastAsia"/>
                <w:b/>
                <w:bCs/>
                <w:szCs w:val="21"/>
              </w:rPr>
              <w:t>本项目组成和建设</w:t>
            </w:r>
            <w:r>
              <w:rPr>
                <w:b/>
                <w:bCs/>
                <w:szCs w:val="21"/>
              </w:rPr>
              <w:t>内容一览表</w:t>
            </w:r>
          </w:p>
          <w:tbl>
            <w:tblPr>
              <w:tblStyle w:val="38"/>
              <w:tblW w:w="754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7"/>
              <w:gridCol w:w="496"/>
              <w:gridCol w:w="1287"/>
              <w:gridCol w:w="5039"/>
            </w:tblGrid>
            <w:tr w14:paraId="4EDE04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1" w:hRule="atLeast"/>
                <w:tblHeader/>
                <w:jc w:val="center"/>
              </w:trPr>
              <w:tc>
                <w:tcPr>
                  <w:tcW w:w="727" w:type="dxa"/>
                  <w:vAlign w:val="center"/>
                </w:tcPr>
                <w:p w14:paraId="5041CCE6">
                  <w:pPr>
                    <w:adjustRightInd w:val="0"/>
                    <w:snapToGrid w:val="0"/>
                    <w:jc w:val="center"/>
                    <w:rPr>
                      <w:b/>
                      <w:bCs/>
                      <w:szCs w:val="21"/>
                    </w:rPr>
                  </w:pPr>
                  <w:r>
                    <w:rPr>
                      <w:b/>
                      <w:bCs/>
                      <w:szCs w:val="21"/>
                    </w:rPr>
                    <w:t>工程类别</w:t>
                  </w:r>
                </w:p>
              </w:tc>
              <w:tc>
                <w:tcPr>
                  <w:tcW w:w="1783" w:type="dxa"/>
                  <w:gridSpan w:val="2"/>
                  <w:vAlign w:val="center"/>
                </w:tcPr>
                <w:p w14:paraId="3DBB7CA5">
                  <w:pPr>
                    <w:adjustRightInd w:val="0"/>
                    <w:snapToGrid w:val="0"/>
                    <w:jc w:val="center"/>
                    <w:rPr>
                      <w:b/>
                      <w:bCs/>
                      <w:szCs w:val="21"/>
                    </w:rPr>
                  </w:pPr>
                  <w:r>
                    <w:rPr>
                      <w:rFonts w:hint="eastAsia"/>
                      <w:b/>
                      <w:bCs/>
                      <w:szCs w:val="21"/>
                    </w:rPr>
                    <w:t>项目</w:t>
                  </w:r>
                </w:p>
              </w:tc>
              <w:tc>
                <w:tcPr>
                  <w:tcW w:w="5039" w:type="dxa"/>
                  <w:vAlign w:val="center"/>
                </w:tcPr>
                <w:p w14:paraId="747EBC1D">
                  <w:pPr>
                    <w:adjustRightInd w:val="0"/>
                    <w:snapToGrid w:val="0"/>
                    <w:jc w:val="center"/>
                    <w:rPr>
                      <w:b/>
                      <w:bCs/>
                      <w:szCs w:val="21"/>
                    </w:rPr>
                  </w:pPr>
                  <w:r>
                    <w:rPr>
                      <w:b/>
                      <w:bCs/>
                      <w:szCs w:val="21"/>
                    </w:rPr>
                    <w:t>建设内容</w:t>
                  </w:r>
                </w:p>
              </w:tc>
            </w:tr>
            <w:tr w14:paraId="554838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727" w:type="dxa"/>
                  <w:vAlign w:val="center"/>
                </w:tcPr>
                <w:p w14:paraId="7BA272A3">
                  <w:pPr>
                    <w:adjustRightInd w:val="0"/>
                    <w:snapToGrid w:val="0"/>
                    <w:jc w:val="center"/>
                    <w:rPr>
                      <w:szCs w:val="21"/>
                    </w:rPr>
                  </w:pPr>
                  <w:r>
                    <w:rPr>
                      <w:szCs w:val="21"/>
                    </w:rPr>
                    <w:t>主体</w:t>
                  </w:r>
                </w:p>
                <w:p w14:paraId="59841239">
                  <w:pPr>
                    <w:adjustRightInd w:val="0"/>
                    <w:snapToGrid w:val="0"/>
                    <w:jc w:val="center"/>
                    <w:rPr>
                      <w:szCs w:val="21"/>
                    </w:rPr>
                  </w:pPr>
                  <w:r>
                    <w:rPr>
                      <w:szCs w:val="21"/>
                    </w:rPr>
                    <w:t>工程</w:t>
                  </w:r>
                </w:p>
              </w:tc>
              <w:tc>
                <w:tcPr>
                  <w:tcW w:w="1783" w:type="dxa"/>
                  <w:gridSpan w:val="2"/>
                  <w:vAlign w:val="center"/>
                </w:tcPr>
                <w:p w14:paraId="2F21F308">
                  <w:pPr>
                    <w:adjustRightInd w:val="0"/>
                    <w:snapToGrid w:val="0"/>
                    <w:jc w:val="center"/>
                    <w:rPr>
                      <w:szCs w:val="21"/>
                    </w:rPr>
                  </w:pPr>
                  <w:r>
                    <w:rPr>
                      <w:szCs w:val="21"/>
                    </w:rPr>
                    <w:t>生产车间</w:t>
                  </w:r>
                </w:p>
              </w:tc>
              <w:tc>
                <w:tcPr>
                  <w:tcW w:w="5039" w:type="dxa"/>
                  <w:vAlign w:val="center"/>
                </w:tcPr>
                <w:p w14:paraId="63EF5724">
                  <w:pPr>
                    <w:jc w:val="center"/>
                    <w:rPr>
                      <w:szCs w:val="21"/>
                    </w:rPr>
                  </w:pPr>
                  <w:r>
                    <w:rPr>
                      <w:rFonts w:hint="eastAsia"/>
                      <w:szCs w:val="21"/>
                    </w:rPr>
                    <w:t>租用1座单层钢结构厂房，面积</w:t>
                  </w:r>
                  <w:r>
                    <w:rPr>
                      <w:rFonts w:hint="eastAsia"/>
                    </w:rPr>
                    <w:t>5400</w:t>
                  </w:r>
                  <w:r>
                    <w:rPr>
                      <w:rFonts w:hint="eastAsia"/>
                      <w:szCs w:val="21"/>
                    </w:rPr>
                    <w:t>m</w:t>
                  </w:r>
                  <w:r>
                    <w:rPr>
                      <w:rFonts w:hint="eastAsia"/>
                      <w:szCs w:val="21"/>
                      <w:vertAlign w:val="superscript"/>
                    </w:rPr>
                    <w:t>2</w:t>
                  </w:r>
                  <w:r>
                    <w:rPr>
                      <w:rFonts w:hint="eastAsia"/>
                      <w:szCs w:val="21"/>
                    </w:rPr>
                    <w:t>，建设1条钢化玻璃生产线，2条中空玻璃生产线</w:t>
                  </w:r>
                </w:p>
              </w:tc>
            </w:tr>
            <w:tr w14:paraId="7D5060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727" w:type="dxa"/>
                  <w:vAlign w:val="center"/>
                </w:tcPr>
                <w:p w14:paraId="66B68E1D">
                  <w:pPr>
                    <w:adjustRightInd w:val="0"/>
                    <w:snapToGrid w:val="0"/>
                    <w:jc w:val="center"/>
                    <w:rPr>
                      <w:szCs w:val="21"/>
                    </w:rPr>
                  </w:pPr>
                  <w:r>
                    <w:rPr>
                      <w:szCs w:val="21"/>
                    </w:rPr>
                    <w:t>辅助工程</w:t>
                  </w:r>
                </w:p>
              </w:tc>
              <w:tc>
                <w:tcPr>
                  <w:tcW w:w="1783" w:type="dxa"/>
                  <w:gridSpan w:val="2"/>
                  <w:vAlign w:val="center"/>
                </w:tcPr>
                <w:p w14:paraId="3A75BB6D">
                  <w:pPr>
                    <w:adjustRightInd w:val="0"/>
                    <w:snapToGrid w:val="0"/>
                    <w:jc w:val="center"/>
                    <w:rPr>
                      <w:szCs w:val="21"/>
                    </w:rPr>
                  </w:pPr>
                  <w:r>
                    <w:rPr>
                      <w:szCs w:val="21"/>
                    </w:rPr>
                    <w:t>办公室</w:t>
                  </w:r>
                </w:p>
              </w:tc>
              <w:tc>
                <w:tcPr>
                  <w:tcW w:w="5039" w:type="dxa"/>
                  <w:vAlign w:val="center"/>
                </w:tcPr>
                <w:p w14:paraId="0585D58C">
                  <w:pPr>
                    <w:adjustRightInd w:val="0"/>
                    <w:snapToGrid w:val="0"/>
                    <w:jc w:val="center"/>
                    <w:rPr>
                      <w:szCs w:val="21"/>
                    </w:rPr>
                  </w:pPr>
                  <w:r>
                    <w:rPr>
                      <w:rFonts w:hint="eastAsia"/>
                      <w:szCs w:val="21"/>
                    </w:rPr>
                    <w:t>租用厂区办公室，位于厂房西北侧</w:t>
                  </w:r>
                </w:p>
              </w:tc>
            </w:tr>
            <w:tr w14:paraId="4AA04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727" w:type="dxa"/>
                  <w:vMerge w:val="restart"/>
                  <w:vAlign w:val="center"/>
                </w:tcPr>
                <w:p w14:paraId="426015A8">
                  <w:pPr>
                    <w:adjustRightInd w:val="0"/>
                    <w:snapToGrid w:val="0"/>
                    <w:jc w:val="center"/>
                    <w:rPr>
                      <w:szCs w:val="21"/>
                    </w:rPr>
                  </w:pPr>
                  <w:r>
                    <w:rPr>
                      <w:szCs w:val="21"/>
                    </w:rPr>
                    <w:t>公用工程</w:t>
                  </w:r>
                </w:p>
              </w:tc>
              <w:tc>
                <w:tcPr>
                  <w:tcW w:w="1783" w:type="dxa"/>
                  <w:gridSpan w:val="2"/>
                  <w:vAlign w:val="center"/>
                </w:tcPr>
                <w:p w14:paraId="3E717F13">
                  <w:pPr>
                    <w:adjustRightInd w:val="0"/>
                    <w:snapToGrid w:val="0"/>
                    <w:jc w:val="center"/>
                    <w:rPr>
                      <w:szCs w:val="21"/>
                    </w:rPr>
                  </w:pPr>
                  <w:r>
                    <w:rPr>
                      <w:szCs w:val="21"/>
                    </w:rPr>
                    <w:t>供水</w:t>
                  </w:r>
                </w:p>
              </w:tc>
              <w:tc>
                <w:tcPr>
                  <w:tcW w:w="5039" w:type="dxa"/>
                  <w:vAlign w:val="center"/>
                </w:tcPr>
                <w:p w14:paraId="14273A77">
                  <w:pPr>
                    <w:adjustRightInd w:val="0"/>
                    <w:snapToGrid w:val="0"/>
                    <w:jc w:val="center"/>
                    <w:rPr>
                      <w:szCs w:val="21"/>
                    </w:rPr>
                  </w:pPr>
                  <w:r>
                    <w:rPr>
                      <w:rFonts w:hint="eastAsia"/>
                      <w:szCs w:val="21"/>
                    </w:rPr>
                    <w:t>由园区供水管网供给</w:t>
                  </w:r>
                </w:p>
              </w:tc>
            </w:tr>
            <w:tr w14:paraId="09D436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727" w:type="dxa"/>
                  <w:vMerge w:val="continue"/>
                  <w:vAlign w:val="center"/>
                </w:tcPr>
                <w:p w14:paraId="0B0C7926">
                  <w:pPr>
                    <w:adjustRightInd w:val="0"/>
                    <w:snapToGrid w:val="0"/>
                    <w:jc w:val="center"/>
                    <w:rPr>
                      <w:szCs w:val="21"/>
                    </w:rPr>
                  </w:pPr>
                </w:p>
              </w:tc>
              <w:tc>
                <w:tcPr>
                  <w:tcW w:w="1783" w:type="dxa"/>
                  <w:gridSpan w:val="2"/>
                  <w:vAlign w:val="center"/>
                </w:tcPr>
                <w:p w14:paraId="322FF9A1">
                  <w:pPr>
                    <w:adjustRightInd w:val="0"/>
                    <w:snapToGrid w:val="0"/>
                    <w:jc w:val="center"/>
                    <w:rPr>
                      <w:szCs w:val="21"/>
                    </w:rPr>
                  </w:pPr>
                  <w:r>
                    <w:rPr>
                      <w:szCs w:val="21"/>
                    </w:rPr>
                    <w:t>排水</w:t>
                  </w:r>
                </w:p>
              </w:tc>
              <w:tc>
                <w:tcPr>
                  <w:tcW w:w="5039" w:type="dxa"/>
                  <w:vAlign w:val="center"/>
                </w:tcPr>
                <w:p w14:paraId="3FB5F4B6">
                  <w:pPr>
                    <w:adjustRightInd w:val="0"/>
                    <w:snapToGrid w:val="0"/>
                    <w:rPr>
                      <w:szCs w:val="21"/>
                    </w:rPr>
                  </w:pPr>
                  <w:r>
                    <w:rPr>
                      <w:rFonts w:hint="eastAsia"/>
                      <w:szCs w:val="21"/>
                    </w:rPr>
                    <w:t>磨边清洗废水经沉淀池（37.8m</w:t>
                  </w:r>
                  <w:r>
                    <w:rPr>
                      <w:rFonts w:hint="eastAsia"/>
                      <w:szCs w:val="21"/>
                      <w:vertAlign w:val="superscript"/>
                    </w:rPr>
                    <w:t>3</w:t>
                  </w:r>
                  <w:r>
                    <w:rPr>
                      <w:rFonts w:hint="eastAsia"/>
                      <w:szCs w:val="21"/>
                    </w:rPr>
                    <w:t>）处理后循环使用，定期捞渣，不外排；生活污水经化粪池处理后排入市政管网，通过市政管网排入清丰中州水务有限公司第二污水处理厂进行处理</w:t>
                  </w:r>
                </w:p>
              </w:tc>
            </w:tr>
            <w:tr w14:paraId="60EB67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727" w:type="dxa"/>
                  <w:vMerge w:val="continue"/>
                  <w:vAlign w:val="center"/>
                </w:tcPr>
                <w:p w14:paraId="006C8FD4">
                  <w:pPr>
                    <w:adjustRightInd w:val="0"/>
                    <w:snapToGrid w:val="0"/>
                    <w:jc w:val="center"/>
                    <w:rPr>
                      <w:szCs w:val="21"/>
                    </w:rPr>
                  </w:pPr>
                </w:p>
              </w:tc>
              <w:tc>
                <w:tcPr>
                  <w:tcW w:w="1783" w:type="dxa"/>
                  <w:gridSpan w:val="2"/>
                  <w:vAlign w:val="center"/>
                </w:tcPr>
                <w:p w14:paraId="086205BC">
                  <w:pPr>
                    <w:pStyle w:val="103"/>
                    <w:jc w:val="center"/>
                    <w:rPr>
                      <w:rFonts w:eastAsia="宋体"/>
                      <w:sz w:val="21"/>
                      <w:szCs w:val="21"/>
                    </w:rPr>
                  </w:pPr>
                  <w:r>
                    <w:rPr>
                      <w:rFonts w:eastAsia="宋体"/>
                      <w:sz w:val="21"/>
                      <w:szCs w:val="21"/>
                    </w:rPr>
                    <w:t>供电</w:t>
                  </w:r>
                </w:p>
              </w:tc>
              <w:tc>
                <w:tcPr>
                  <w:tcW w:w="5039" w:type="dxa"/>
                  <w:vAlign w:val="center"/>
                </w:tcPr>
                <w:p w14:paraId="12A6B3C0">
                  <w:pPr>
                    <w:pStyle w:val="103"/>
                    <w:jc w:val="center"/>
                    <w:rPr>
                      <w:rFonts w:eastAsia="宋体"/>
                      <w:sz w:val="21"/>
                      <w:szCs w:val="21"/>
                    </w:rPr>
                  </w:pPr>
                  <w:r>
                    <w:rPr>
                      <w:rFonts w:hint="eastAsia" w:eastAsia="宋体"/>
                      <w:sz w:val="21"/>
                      <w:szCs w:val="21"/>
                    </w:rPr>
                    <w:t>由园区电网统一供应</w:t>
                  </w:r>
                </w:p>
              </w:tc>
            </w:tr>
            <w:tr w14:paraId="5708F6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727" w:type="dxa"/>
                  <w:vMerge w:val="continue"/>
                  <w:vAlign w:val="center"/>
                </w:tcPr>
                <w:p w14:paraId="4D98BACB">
                  <w:pPr>
                    <w:adjustRightInd w:val="0"/>
                    <w:snapToGrid w:val="0"/>
                    <w:jc w:val="center"/>
                    <w:rPr>
                      <w:szCs w:val="21"/>
                    </w:rPr>
                  </w:pPr>
                </w:p>
              </w:tc>
              <w:tc>
                <w:tcPr>
                  <w:tcW w:w="1783" w:type="dxa"/>
                  <w:gridSpan w:val="2"/>
                  <w:vAlign w:val="center"/>
                </w:tcPr>
                <w:p w14:paraId="52D35B95">
                  <w:pPr>
                    <w:pStyle w:val="103"/>
                    <w:jc w:val="center"/>
                    <w:rPr>
                      <w:rFonts w:eastAsia="宋体"/>
                      <w:sz w:val="21"/>
                      <w:szCs w:val="21"/>
                    </w:rPr>
                  </w:pPr>
                  <w:r>
                    <w:rPr>
                      <w:rFonts w:eastAsia="宋体"/>
                      <w:sz w:val="21"/>
                      <w:szCs w:val="21"/>
                    </w:rPr>
                    <w:t>供热</w:t>
                  </w:r>
                </w:p>
              </w:tc>
              <w:tc>
                <w:tcPr>
                  <w:tcW w:w="5039" w:type="dxa"/>
                  <w:vAlign w:val="center"/>
                </w:tcPr>
                <w:p w14:paraId="4F337C06">
                  <w:pPr>
                    <w:pStyle w:val="103"/>
                    <w:jc w:val="center"/>
                    <w:rPr>
                      <w:rFonts w:eastAsia="宋体"/>
                      <w:sz w:val="21"/>
                      <w:szCs w:val="21"/>
                    </w:rPr>
                  </w:pPr>
                  <w:r>
                    <w:rPr>
                      <w:rFonts w:hint="eastAsia" w:eastAsia="宋体"/>
                      <w:sz w:val="21"/>
                      <w:szCs w:val="21"/>
                    </w:rPr>
                    <w:t>项目不设锅炉，办公室安装空调</w:t>
                  </w:r>
                </w:p>
              </w:tc>
            </w:tr>
            <w:tr w14:paraId="3C5FE9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727" w:type="dxa"/>
                  <w:vMerge w:val="restart"/>
                  <w:vAlign w:val="center"/>
                </w:tcPr>
                <w:p w14:paraId="1A75F70B">
                  <w:pPr>
                    <w:adjustRightInd w:val="0"/>
                    <w:snapToGrid w:val="0"/>
                    <w:jc w:val="center"/>
                    <w:rPr>
                      <w:szCs w:val="21"/>
                    </w:rPr>
                  </w:pPr>
                  <w:r>
                    <w:rPr>
                      <w:szCs w:val="21"/>
                    </w:rPr>
                    <w:t>环保</w:t>
                  </w:r>
                </w:p>
                <w:p w14:paraId="5E72052F">
                  <w:pPr>
                    <w:adjustRightInd w:val="0"/>
                    <w:snapToGrid w:val="0"/>
                    <w:jc w:val="center"/>
                    <w:rPr>
                      <w:szCs w:val="21"/>
                    </w:rPr>
                  </w:pPr>
                  <w:r>
                    <w:rPr>
                      <w:szCs w:val="21"/>
                    </w:rPr>
                    <w:t>工程</w:t>
                  </w:r>
                </w:p>
              </w:tc>
              <w:tc>
                <w:tcPr>
                  <w:tcW w:w="496" w:type="dxa"/>
                  <w:vMerge w:val="restart"/>
                  <w:vAlign w:val="center"/>
                </w:tcPr>
                <w:p w14:paraId="6055A375">
                  <w:pPr>
                    <w:adjustRightInd w:val="0"/>
                    <w:snapToGrid w:val="0"/>
                    <w:jc w:val="center"/>
                    <w:rPr>
                      <w:szCs w:val="21"/>
                    </w:rPr>
                  </w:pPr>
                  <w:r>
                    <w:rPr>
                      <w:szCs w:val="21"/>
                    </w:rPr>
                    <w:t>废气</w:t>
                  </w:r>
                </w:p>
              </w:tc>
              <w:tc>
                <w:tcPr>
                  <w:tcW w:w="1287" w:type="dxa"/>
                  <w:vAlign w:val="center"/>
                </w:tcPr>
                <w:p w14:paraId="5C152523">
                  <w:pPr>
                    <w:adjustRightInd w:val="0"/>
                    <w:snapToGrid w:val="0"/>
                    <w:jc w:val="center"/>
                    <w:rPr>
                      <w:szCs w:val="21"/>
                    </w:rPr>
                  </w:pPr>
                  <w:r>
                    <w:rPr>
                      <w:rFonts w:hint="eastAsia" w:hAnsi="宋体"/>
                      <w:szCs w:val="21"/>
                    </w:rPr>
                    <w:t>中空</w:t>
                  </w:r>
                  <w:r>
                    <w:rPr>
                      <w:rFonts w:hAnsi="宋体"/>
                      <w:szCs w:val="21"/>
                    </w:rPr>
                    <w:t>工艺废气</w:t>
                  </w:r>
                  <w:r>
                    <w:rPr>
                      <w:rFonts w:hint="eastAsia" w:hAnsi="宋体"/>
                      <w:szCs w:val="21"/>
                    </w:rPr>
                    <w:t>（</w:t>
                  </w:r>
                  <w:r>
                    <w:rPr>
                      <w:rFonts w:hint="eastAsia"/>
                      <w:bCs/>
                      <w:kern w:val="0"/>
                      <w:szCs w:val="21"/>
                    </w:rPr>
                    <w:t>涂胶、固定、硅酮胶搅拌混合、以及封胶过程</w:t>
                  </w:r>
                  <w:r>
                    <w:rPr>
                      <w:rFonts w:hint="eastAsia" w:hAnsi="宋体"/>
                      <w:szCs w:val="21"/>
                    </w:rPr>
                    <w:t>）</w:t>
                  </w:r>
                </w:p>
              </w:tc>
              <w:tc>
                <w:tcPr>
                  <w:tcW w:w="5039" w:type="dxa"/>
                  <w:vAlign w:val="center"/>
                </w:tcPr>
                <w:p w14:paraId="1479AB24">
                  <w:pPr>
                    <w:adjustRightInd w:val="0"/>
                    <w:snapToGrid w:val="0"/>
                    <w:rPr>
                      <w:rFonts w:hAnsi="宋体"/>
                      <w:szCs w:val="21"/>
                      <w:u w:val="single"/>
                    </w:rPr>
                  </w:pPr>
                  <w:r>
                    <w:rPr>
                      <w:rFonts w:hint="eastAsia" w:hAnsi="宋体"/>
                      <w:szCs w:val="21"/>
                      <w:u w:val="single"/>
                    </w:rPr>
                    <w:t>集气装置+活性炭吸附-脱附+催化燃烧+15m高排气筒（DA001）</w:t>
                  </w:r>
                </w:p>
              </w:tc>
            </w:tr>
            <w:tr w14:paraId="21F7A1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727" w:type="dxa"/>
                  <w:vMerge w:val="continue"/>
                  <w:vAlign w:val="center"/>
                </w:tcPr>
                <w:p w14:paraId="45A41FAB">
                  <w:pPr>
                    <w:adjustRightInd w:val="0"/>
                    <w:snapToGrid w:val="0"/>
                    <w:jc w:val="center"/>
                    <w:rPr>
                      <w:szCs w:val="21"/>
                    </w:rPr>
                  </w:pPr>
                </w:p>
              </w:tc>
              <w:tc>
                <w:tcPr>
                  <w:tcW w:w="496" w:type="dxa"/>
                  <w:vMerge w:val="continue"/>
                  <w:vAlign w:val="center"/>
                </w:tcPr>
                <w:p w14:paraId="4C733D2A">
                  <w:pPr>
                    <w:adjustRightInd w:val="0"/>
                    <w:snapToGrid w:val="0"/>
                    <w:jc w:val="center"/>
                    <w:rPr>
                      <w:szCs w:val="21"/>
                    </w:rPr>
                  </w:pPr>
                </w:p>
              </w:tc>
              <w:tc>
                <w:tcPr>
                  <w:tcW w:w="1287" w:type="dxa"/>
                  <w:vAlign w:val="center"/>
                </w:tcPr>
                <w:p w14:paraId="58C88BF0">
                  <w:pPr>
                    <w:adjustRightInd w:val="0"/>
                    <w:snapToGrid w:val="0"/>
                    <w:jc w:val="center"/>
                    <w:rPr>
                      <w:rFonts w:hAnsi="宋体"/>
                      <w:szCs w:val="21"/>
                      <w:u w:val="single"/>
                    </w:rPr>
                  </w:pPr>
                  <w:r>
                    <w:rPr>
                      <w:rFonts w:hint="eastAsia" w:hAnsi="宋体"/>
                      <w:szCs w:val="21"/>
                      <w:u w:val="single"/>
                    </w:rPr>
                    <w:t>危废暂存间废气</w:t>
                  </w:r>
                </w:p>
              </w:tc>
              <w:tc>
                <w:tcPr>
                  <w:tcW w:w="5039" w:type="dxa"/>
                  <w:vAlign w:val="center"/>
                </w:tcPr>
                <w:p w14:paraId="485A75A7">
                  <w:pPr>
                    <w:adjustRightInd w:val="0"/>
                    <w:snapToGrid w:val="0"/>
                    <w:rPr>
                      <w:rFonts w:hAnsi="宋体"/>
                      <w:szCs w:val="21"/>
                      <w:u w:val="single"/>
                    </w:rPr>
                  </w:pPr>
                  <w:r>
                    <w:rPr>
                      <w:rFonts w:hint="eastAsia" w:hAnsi="宋体"/>
                      <w:szCs w:val="21"/>
                      <w:u w:val="single"/>
                    </w:rPr>
                    <w:t>通过采取危险废物密封储存，设置集气管道并设置风阀，换气后废气进入“活性炭吸附-脱附+催化燃烧”进行处理，处理后通过15m高排气筒（DA001）排放</w:t>
                  </w:r>
                </w:p>
              </w:tc>
            </w:tr>
            <w:tr w14:paraId="2654DA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727" w:type="dxa"/>
                  <w:vMerge w:val="continue"/>
                  <w:vAlign w:val="center"/>
                </w:tcPr>
                <w:p w14:paraId="4CCE832A">
                  <w:pPr>
                    <w:adjustRightInd w:val="0"/>
                    <w:snapToGrid w:val="0"/>
                    <w:jc w:val="center"/>
                    <w:rPr>
                      <w:szCs w:val="21"/>
                    </w:rPr>
                  </w:pPr>
                </w:p>
              </w:tc>
              <w:tc>
                <w:tcPr>
                  <w:tcW w:w="496" w:type="dxa"/>
                  <w:vMerge w:val="restart"/>
                  <w:vAlign w:val="center"/>
                </w:tcPr>
                <w:p w14:paraId="2DA05F12">
                  <w:pPr>
                    <w:adjustRightInd w:val="0"/>
                    <w:snapToGrid w:val="0"/>
                    <w:jc w:val="center"/>
                    <w:rPr>
                      <w:szCs w:val="21"/>
                    </w:rPr>
                  </w:pPr>
                  <w:r>
                    <w:rPr>
                      <w:szCs w:val="21"/>
                    </w:rPr>
                    <w:t>废水</w:t>
                  </w:r>
                </w:p>
              </w:tc>
              <w:tc>
                <w:tcPr>
                  <w:tcW w:w="1287" w:type="dxa"/>
                  <w:vAlign w:val="center"/>
                </w:tcPr>
                <w:p w14:paraId="62F775F3">
                  <w:pPr>
                    <w:adjustRightInd w:val="0"/>
                    <w:snapToGrid w:val="0"/>
                    <w:jc w:val="center"/>
                    <w:rPr>
                      <w:szCs w:val="21"/>
                      <w:u w:val="single"/>
                    </w:rPr>
                  </w:pPr>
                  <w:r>
                    <w:rPr>
                      <w:rFonts w:hint="eastAsia"/>
                      <w:szCs w:val="21"/>
                      <w:u w:val="single"/>
                    </w:rPr>
                    <w:t>生产废水（磨边、清洗废水）</w:t>
                  </w:r>
                </w:p>
              </w:tc>
              <w:tc>
                <w:tcPr>
                  <w:tcW w:w="5039" w:type="dxa"/>
                  <w:vAlign w:val="center"/>
                </w:tcPr>
                <w:p w14:paraId="7D267504">
                  <w:pPr>
                    <w:adjustRightInd w:val="0"/>
                    <w:snapToGrid w:val="0"/>
                    <w:rPr>
                      <w:szCs w:val="21"/>
                      <w:u w:val="single"/>
                    </w:rPr>
                  </w:pPr>
                  <w:r>
                    <w:rPr>
                      <w:rFonts w:hint="eastAsia"/>
                      <w:szCs w:val="21"/>
                      <w:u w:val="single"/>
                    </w:rPr>
                    <w:t>磨边、清洗废水经循环水槽收集后循环使用，定期更换的生产废水经三级沉淀池（1.5m×7m×2.8m，容积29.4m</w:t>
                  </w:r>
                  <w:r>
                    <w:rPr>
                      <w:rFonts w:hint="eastAsia"/>
                      <w:szCs w:val="21"/>
                      <w:u w:val="single"/>
                      <w:vertAlign w:val="superscript"/>
                    </w:rPr>
                    <w:t>3</w:t>
                  </w:r>
                  <w:r>
                    <w:rPr>
                      <w:rFonts w:hint="eastAsia"/>
                      <w:szCs w:val="21"/>
                      <w:u w:val="single"/>
                    </w:rPr>
                    <w:t>）处理后部分回用于磨边工序，剩余废水定期外排，通过市政管网排入清丰中州水务有限公司第二污水处理厂进一步处理</w:t>
                  </w:r>
                </w:p>
              </w:tc>
            </w:tr>
            <w:tr w14:paraId="38F198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727" w:type="dxa"/>
                  <w:vMerge w:val="continue"/>
                  <w:vAlign w:val="center"/>
                </w:tcPr>
                <w:p w14:paraId="6CF3C25C">
                  <w:pPr>
                    <w:adjustRightInd w:val="0"/>
                    <w:snapToGrid w:val="0"/>
                    <w:jc w:val="center"/>
                    <w:rPr>
                      <w:szCs w:val="21"/>
                    </w:rPr>
                  </w:pPr>
                </w:p>
              </w:tc>
              <w:tc>
                <w:tcPr>
                  <w:tcW w:w="496" w:type="dxa"/>
                  <w:vMerge w:val="continue"/>
                  <w:vAlign w:val="center"/>
                </w:tcPr>
                <w:p w14:paraId="35AC1FF6">
                  <w:pPr>
                    <w:adjustRightInd w:val="0"/>
                    <w:snapToGrid w:val="0"/>
                    <w:jc w:val="center"/>
                    <w:rPr>
                      <w:szCs w:val="21"/>
                    </w:rPr>
                  </w:pPr>
                </w:p>
              </w:tc>
              <w:tc>
                <w:tcPr>
                  <w:tcW w:w="1287" w:type="dxa"/>
                  <w:vAlign w:val="center"/>
                </w:tcPr>
                <w:p w14:paraId="3B0CBCAF">
                  <w:pPr>
                    <w:adjustRightInd w:val="0"/>
                    <w:snapToGrid w:val="0"/>
                    <w:jc w:val="center"/>
                    <w:rPr>
                      <w:szCs w:val="21"/>
                      <w:u w:val="single"/>
                    </w:rPr>
                  </w:pPr>
                  <w:r>
                    <w:rPr>
                      <w:rFonts w:hint="eastAsia"/>
                      <w:szCs w:val="21"/>
                      <w:u w:val="single"/>
                    </w:rPr>
                    <w:t>纯水制备浓水</w:t>
                  </w:r>
                </w:p>
              </w:tc>
              <w:tc>
                <w:tcPr>
                  <w:tcW w:w="5039" w:type="dxa"/>
                  <w:vAlign w:val="center"/>
                </w:tcPr>
                <w:p w14:paraId="7FDF12F8">
                  <w:pPr>
                    <w:adjustRightInd w:val="0"/>
                    <w:snapToGrid w:val="0"/>
                    <w:rPr>
                      <w:szCs w:val="21"/>
                      <w:u w:val="single"/>
                    </w:rPr>
                  </w:pPr>
                  <w:r>
                    <w:rPr>
                      <w:rFonts w:hint="eastAsia"/>
                      <w:szCs w:val="21"/>
                      <w:u w:val="single"/>
                    </w:rPr>
                    <w:t>直接排入市政管网，通过市政管网排入清丰中州水务有限公司第二污水处理厂进一步处理</w:t>
                  </w:r>
                </w:p>
              </w:tc>
            </w:tr>
            <w:tr w14:paraId="169A6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727" w:type="dxa"/>
                  <w:vMerge w:val="continue"/>
                  <w:vAlign w:val="center"/>
                </w:tcPr>
                <w:p w14:paraId="4981F563">
                  <w:pPr>
                    <w:adjustRightInd w:val="0"/>
                    <w:snapToGrid w:val="0"/>
                    <w:jc w:val="center"/>
                    <w:rPr>
                      <w:szCs w:val="21"/>
                    </w:rPr>
                  </w:pPr>
                </w:p>
              </w:tc>
              <w:tc>
                <w:tcPr>
                  <w:tcW w:w="496" w:type="dxa"/>
                  <w:vMerge w:val="continue"/>
                  <w:vAlign w:val="center"/>
                </w:tcPr>
                <w:p w14:paraId="5BD2F7F1">
                  <w:pPr>
                    <w:adjustRightInd w:val="0"/>
                    <w:snapToGrid w:val="0"/>
                    <w:jc w:val="center"/>
                    <w:rPr>
                      <w:szCs w:val="21"/>
                    </w:rPr>
                  </w:pPr>
                </w:p>
              </w:tc>
              <w:tc>
                <w:tcPr>
                  <w:tcW w:w="1287" w:type="dxa"/>
                  <w:vAlign w:val="center"/>
                </w:tcPr>
                <w:p w14:paraId="7598FB05">
                  <w:pPr>
                    <w:adjustRightInd w:val="0"/>
                    <w:snapToGrid w:val="0"/>
                    <w:jc w:val="center"/>
                    <w:rPr>
                      <w:szCs w:val="21"/>
                    </w:rPr>
                  </w:pPr>
                  <w:r>
                    <w:rPr>
                      <w:rFonts w:hint="eastAsia"/>
                      <w:szCs w:val="21"/>
                    </w:rPr>
                    <w:t>生活污水</w:t>
                  </w:r>
                </w:p>
              </w:tc>
              <w:tc>
                <w:tcPr>
                  <w:tcW w:w="5039" w:type="dxa"/>
                  <w:vAlign w:val="center"/>
                </w:tcPr>
                <w:p w14:paraId="4D6B361F">
                  <w:pPr>
                    <w:adjustRightInd w:val="0"/>
                    <w:snapToGrid w:val="0"/>
                    <w:rPr>
                      <w:szCs w:val="21"/>
                    </w:rPr>
                  </w:pPr>
                  <w:r>
                    <w:rPr>
                      <w:rFonts w:hint="eastAsia"/>
                      <w:szCs w:val="21"/>
                    </w:rPr>
                    <w:t>生活污水经化粪池处理后排入市政管网，通过市政管网排入清丰中州水务有限公司第二污水处理厂进一步处理</w:t>
                  </w:r>
                </w:p>
              </w:tc>
            </w:tr>
            <w:tr w14:paraId="274944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727" w:type="dxa"/>
                  <w:vMerge w:val="continue"/>
                  <w:vAlign w:val="center"/>
                </w:tcPr>
                <w:p w14:paraId="5207DA34">
                  <w:pPr>
                    <w:adjustRightInd w:val="0"/>
                    <w:snapToGrid w:val="0"/>
                    <w:jc w:val="center"/>
                    <w:rPr>
                      <w:szCs w:val="21"/>
                    </w:rPr>
                  </w:pPr>
                </w:p>
              </w:tc>
              <w:tc>
                <w:tcPr>
                  <w:tcW w:w="1783" w:type="dxa"/>
                  <w:gridSpan w:val="2"/>
                  <w:vAlign w:val="center"/>
                </w:tcPr>
                <w:p w14:paraId="502FDED7">
                  <w:pPr>
                    <w:adjustRightInd w:val="0"/>
                    <w:snapToGrid w:val="0"/>
                    <w:jc w:val="center"/>
                    <w:rPr>
                      <w:szCs w:val="21"/>
                    </w:rPr>
                  </w:pPr>
                  <w:r>
                    <w:rPr>
                      <w:szCs w:val="21"/>
                    </w:rPr>
                    <w:t>噪声防治</w:t>
                  </w:r>
                </w:p>
              </w:tc>
              <w:tc>
                <w:tcPr>
                  <w:tcW w:w="5039" w:type="dxa"/>
                  <w:vAlign w:val="center"/>
                </w:tcPr>
                <w:p w14:paraId="2DF6DA05">
                  <w:pPr>
                    <w:adjustRightInd w:val="0"/>
                    <w:snapToGrid w:val="0"/>
                    <w:jc w:val="center"/>
                    <w:rPr>
                      <w:szCs w:val="21"/>
                    </w:rPr>
                  </w:pPr>
                  <w:r>
                    <w:rPr>
                      <w:szCs w:val="21"/>
                    </w:rPr>
                    <w:t>采取选用低噪声设备、减振、隔声等措施</w:t>
                  </w:r>
                </w:p>
              </w:tc>
            </w:tr>
            <w:tr w14:paraId="5D247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727" w:type="dxa"/>
                  <w:vMerge w:val="continue"/>
                  <w:vAlign w:val="center"/>
                </w:tcPr>
                <w:p w14:paraId="1C86E9E6">
                  <w:pPr>
                    <w:adjustRightInd w:val="0"/>
                    <w:snapToGrid w:val="0"/>
                    <w:jc w:val="center"/>
                    <w:rPr>
                      <w:szCs w:val="21"/>
                    </w:rPr>
                  </w:pPr>
                </w:p>
              </w:tc>
              <w:tc>
                <w:tcPr>
                  <w:tcW w:w="496" w:type="dxa"/>
                  <w:vMerge w:val="restart"/>
                  <w:vAlign w:val="center"/>
                </w:tcPr>
                <w:p w14:paraId="35B9AC93">
                  <w:pPr>
                    <w:adjustRightInd w:val="0"/>
                    <w:snapToGrid w:val="0"/>
                    <w:jc w:val="center"/>
                    <w:rPr>
                      <w:szCs w:val="21"/>
                    </w:rPr>
                  </w:pPr>
                  <w:r>
                    <w:rPr>
                      <w:szCs w:val="21"/>
                    </w:rPr>
                    <w:t>固废</w:t>
                  </w:r>
                </w:p>
              </w:tc>
              <w:tc>
                <w:tcPr>
                  <w:tcW w:w="1287" w:type="dxa"/>
                  <w:vAlign w:val="center"/>
                </w:tcPr>
                <w:p w14:paraId="42735984">
                  <w:pPr>
                    <w:adjustRightInd w:val="0"/>
                    <w:snapToGrid w:val="0"/>
                    <w:jc w:val="center"/>
                    <w:rPr>
                      <w:szCs w:val="21"/>
                    </w:rPr>
                  </w:pPr>
                  <w:r>
                    <w:rPr>
                      <w:szCs w:val="21"/>
                    </w:rPr>
                    <w:t>生活垃圾</w:t>
                  </w:r>
                </w:p>
              </w:tc>
              <w:tc>
                <w:tcPr>
                  <w:tcW w:w="5039" w:type="dxa"/>
                  <w:vAlign w:val="center"/>
                </w:tcPr>
                <w:p w14:paraId="3A348215">
                  <w:pPr>
                    <w:adjustRightInd w:val="0"/>
                    <w:snapToGrid w:val="0"/>
                    <w:jc w:val="center"/>
                    <w:rPr>
                      <w:szCs w:val="21"/>
                    </w:rPr>
                  </w:pPr>
                  <w:r>
                    <w:rPr>
                      <w:szCs w:val="21"/>
                    </w:rPr>
                    <w:t>生活垃圾集中收集定期由环卫部门处理</w:t>
                  </w:r>
                </w:p>
              </w:tc>
            </w:tr>
            <w:tr w14:paraId="0947CC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727" w:type="dxa"/>
                  <w:vMerge w:val="continue"/>
                  <w:vAlign w:val="center"/>
                </w:tcPr>
                <w:p w14:paraId="554989AC">
                  <w:pPr>
                    <w:adjustRightInd w:val="0"/>
                    <w:snapToGrid w:val="0"/>
                    <w:jc w:val="center"/>
                    <w:rPr>
                      <w:szCs w:val="21"/>
                    </w:rPr>
                  </w:pPr>
                </w:p>
              </w:tc>
              <w:tc>
                <w:tcPr>
                  <w:tcW w:w="496" w:type="dxa"/>
                  <w:vMerge w:val="continue"/>
                  <w:vAlign w:val="center"/>
                </w:tcPr>
                <w:p w14:paraId="544E761B">
                  <w:pPr>
                    <w:adjustRightInd w:val="0"/>
                    <w:snapToGrid w:val="0"/>
                    <w:jc w:val="center"/>
                    <w:rPr>
                      <w:szCs w:val="21"/>
                    </w:rPr>
                  </w:pPr>
                </w:p>
              </w:tc>
              <w:tc>
                <w:tcPr>
                  <w:tcW w:w="1287" w:type="dxa"/>
                  <w:vAlign w:val="center"/>
                </w:tcPr>
                <w:p w14:paraId="46DB5733">
                  <w:pPr>
                    <w:adjustRightInd w:val="0"/>
                    <w:snapToGrid w:val="0"/>
                    <w:jc w:val="center"/>
                    <w:rPr>
                      <w:szCs w:val="21"/>
                    </w:rPr>
                  </w:pPr>
                  <w:r>
                    <w:rPr>
                      <w:szCs w:val="21"/>
                    </w:rPr>
                    <w:t>废</w:t>
                  </w:r>
                  <w:r>
                    <w:rPr>
                      <w:rFonts w:hint="eastAsia"/>
                      <w:szCs w:val="21"/>
                    </w:rPr>
                    <w:t>玻璃</w:t>
                  </w:r>
                  <w:r>
                    <w:rPr>
                      <w:szCs w:val="21"/>
                    </w:rPr>
                    <w:t>边角料</w:t>
                  </w:r>
                  <w:r>
                    <w:rPr>
                      <w:rFonts w:hint="eastAsia"/>
                      <w:szCs w:val="21"/>
                    </w:rPr>
                    <w:t>、不合格品</w:t>
                  </w:r>
                </w:p>
              </w:tc>
              <w:tc>
                <w:tcPr>
                  <w:tcW w:w="5039" w:type="dxa"/>
                  <w:vMerge w:val="restart"/>
                  <w:vAlign w:val="center"/>
                </w:tcPr>
                <w:p w14:paraId="63373CBC">
                  <w:pPr>
                    <w:adjustRightInd w:val="0"/>
                    <w:snapToGrid w:val="0"/>
                    <w:jc w:val="center"/>
                    <w:rPr>
                      <w:szCs w:val="21"/>
                    </w:rPr>
                  </w:pPr>
                  <w:r>
                    <w:rPr>
                      <w:szCs w:val="21"/>
                    </w:rPr>
                    <w:t>属一般工业固废</w:t>
                  </w:r>
                  <w:r>
                    <w:rPr>
                      <w:rFonts w:hint="eastAsia"/>
                      <w:szCs w:val="21"/>
                    </w:rPr>
                    <w:t>，收集后外售综合利用或由专业公司处理处置</w:t>
                  </w:r>
                </w:p>
              </w:tc>
            </w:tr>
            <w:tr w14:paraId="1CD227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7" w:type="dxa"/>
                  <w:vMerge w:val="continue"/>
                  <w:vAlign w:val="center"/>
                </w:tcPr>
                <w:p w14:paraId="4850EB18">
                  <w:pPr>
                    <w:adjustRightInd w:val="0"/>
                    <w:snapToGrid w:val="0"/>
                    <w:jc w:val="center"/>
                    <w:rPr>
                      <w:szCs w:val="21"/>
                    </w:rPr>
                  </w:pPr>
                </w:p>
              </w:tc>
              <w:tc>
                <w:tcPr>
                  <w:tcW w:w="496" w:type="dxa"/>
                  <w:vMerge w:val="continue"/>
                  <w:vAlign w:val="center"/>
                </w:tcPr>
                <w:p w14:paraId="414150A9">
                  <w:pPr>
                    <w:adjustRightInd w:val="0"/>
                    <w:snapToGrid w:val="0"/>
                    <w:jc w:val="center"/>
                    <w:rPr>
                      <w:szCs w:val="21"/>
                    </w:rPr>
                  </w:pPr>
                </w:p>
              </w:tc>
              <w:tc>
                <w:tcPr>
                  <w:tcW w:w="1287" w:type="dxa"/>
                  <w:vAlign w:val="center"/>
                </w:tcPr>
                <w:p w14:paraId="2D8806FE">
                  <w:pPr>
                    <w:adjustRightInd w:val="0"/>
                    <w:snapToGrid w:val="0"/>
                    <w:jc w:val="center"/>
                    <w:rPr>
                      <w:szCs w:val="21"/>
                    </w:rPr>
                  </w:pPr>
                  <w:r>
                    <w:rPr>
                      <w:rFonts w:hint="eastAsia"/>
                      <w:szCs w:val="21"/>
                    </w:rPr>
                    <w:t>废铝条</w:t>
                  </w:r>
                </w:p>
              </w:tc>
              <w:tc>
                <w:tcPr>
                  <w:tcW w:w="5039" w:type="dxa"/>
                  <w:vMerge w:val="continue"/>
                  <w:vAlign w:val="center"/>
                </w:tcPr>
                <w:p w14:paraId="4FF37A32">
                  <w:pPr>
                    <w:adjustRightInd w:val="0"/>
                    <w:snapToGrid w:val="0"/>
                    <w:jc w:val="center"/>
                    <w:rPr>
                      <w:szCs w:val="21"/>
                    </w:rPr>
                  </w:pPr>
                </w:p>
              </w:tc>
            </w:tr>
            <w:tr w14:paraId="296594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727" w:type="dxa"/>
                  <w:vMerge w:val="continue"/>
                  <w:vAlign w:val="center"/>
                </w:tcPr>
                <w:p w14:paraId="57FDB2CC">
                  <w:pPr>
                    <w:adjustRightInd w:val="0"/>
                    <w:snapToGrid w:val="0"/>
                    <w:jc w:val="center"/>
                    <w:rPr>
                      <w:szCs w:val="21"/>
                    </w:rPr>
                  </w:pPr>
                </w:p>
              </w:tc>
              <w:tc>
                <w:tcPr>
                  <w:tcW w:w="496" w:type="dxa"/>
                  <w:vMerge w:val="continue"/>
                  <w:vAlign w:val="center"/>
                </w:tcPr>
                <w:p w14:paraId="5178D3A9">
                  <w:pPr>
                    <w:adjustRightInd w:val="0"/>
                    <w:snapToGrid w:val="0"/>
                    <w:jc w:val="center"/>
                    <w:rPr>
                      <w:szCs w:val="21"/>
                    </w:rPr>
                  </w:pPr>
                </w:p>
              </w:tc>
              <w:tc>
                <w:tcPr>
                  <w:tcW w:w="1287" w:type="dxa"/>
                  <w:vAlign w:val="center"/>
                </w:tcPr>
                <w:p w14:paraId="3B7D2846">
                  <w:pPr>
                    <w:adjustRightInd w:val="0"/>
                    <w:snapToGrid w:val="0"/>
                    <w:jc w:val="center"/>
                    <w:rPr>
                      <w:szCs w:val="21"/>
                    </w:rPr>
                  </w:pPr>
                  <w:r>
                    <w:rPr>
                      <w:rFonts w:hint="eastAsia"/>
                      <w:szCs w:val="21"/>
                    </w:rPr>
                    <w:t>玻璃</w:t>
                  </w:r>
                  <w:r>
                    <w:rPr>
                      <w:szCs w:val="21"/>
                    </w:rPr>
                    <w:t>沉渣</w:t>
                  </w:r>
                </w:p>
              </w:tc>
              <w:tc>
                <w:tcPr>
                  <w:tcW w:w="5039" w:type="dxa"/>
                  <w:vMerge w:val="continue"/>
                  <w:vAlign w:val="center"/>
                </w:tcPr>
                <w:p w14:paraId="6209E036">
                  <w:pPr>
                    <w:adjustRightInd w:val="0"/>
                    <w:snapToGrid w:val="0"/>
                    <w:jc w:val="center"/>
                    <w:rPr>
                      <w:szCs w:val="21"/>
                    </w:rPr>
                  </w:pPr>
                </w:p>
              </w:tc>
            </w:tr>
            <w:tr w14:paraId="4B26BF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727" w:type="dxa"/>
                  <w:vMerge w:val="continue"/>
                  <w:vAlign w:val="center"/>
                </w:tcPr>
                <w:p w14:paraId="71AF9298">
                  <w:pPr>
                    <w:adjustRightInd w:val="0"/>
                    <w:snapToGrid w:val="0"/>
                    <w:jc w:val="center"/>
                    <w:rPr>
                      <w:szCs w:val="21"/>
                    </w:rPr>
                  </w:pPr>
                </w:p>
              </w:tc>
              <w:tc>
                <w:tcPr>
                  <w:tcW w:w="496" w:type="dxa"/>
                  <w:vMerge w:val="continue"/>
                  <w:vAlign w:val="center"/>
                </w:tcPr>
                <w:p w14:paraId="5A1A68A1">
                  <w:pPr>
                    <w:adjustRightInd w:val="0"/>
                    <w:snapToGrid w:val="0"/>
                    <w:jc w:val="center"/>
                    <w:rPr>
                      <w:szCs w:val="21"/>
                    </w:rPr>
                  </w:pPr>
                </w:p>
              </w:tc>
              <w:tc>
                <w:tcPr>
                  <w:tcW w:w="1287" w:type="dxa"/>
                  <w:vAlign w:val="center"/>
                </w:tcPr>
                <w:p w14:paraId="389BC52E">
                  <w:pPr>
                    <w:adjustRightInd w:val="0"/>
                    <w:snapToGrid w:val="0"/>
                    <w:jc w:val="center"/>
                    <w:rPr>
                      <w:rFonts w:hint="eastAsia"/>
                      <w:szCs w:val="21"/>
                      <w:u w:val="single"/>
                    </w:rPr>
                  </w:pPr>
                  <w:r>
                    <w:rPr>
                      <w:rFonts w:hint="eastAsia"/>
                      <w:szCs w:val="21"/>
                      <w:u w:val="single"/>
                    </w:rPr>
                    <w:t>废滤材</w:t>
                  </w:r>
                </w:p>
              </w:tc>
              <w:tc>
                <w:tcPr>
                  <w:tcW w:w="5039" w:type="dxa"/>
                  <w:vAlign w:val="center"/>
                </w:tcPr>
                <w:p w14:paraId="36E6953F">
                  <w:pPr>
                    <w:adjustRightInd w:val="0"/>
                    <w:snapToGrid w:val="0"/>
                    <w:jc w:val="center"/>
                    <w:rPr>
                      <w:szCs w:val="21"/>
                      <w:u w:val="single"/>
                    </w:rPr>
                  </w:pPr>
                  <w:r>
                    <w:rPr>
                      <w:rFonts w:hint="eastAsia"/>
                      <w:szCs w:val="21"/>
                      <w:u w:val="single"/>
                    </w:rPr>
                    <w:t>属一般工业固废，由厂家更换回收</w:t>
                  </w:r>
                </w:p>
              </w:tc>
            </w:tr>
            <w:tr w14:paraId="41B6B6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727" w:type="dxa"/>
                  <w:vMerge w:val="continue"/>
                  <w:vAlign w:val="center"/>
                </w:tcPr>
                <w:p w14:paraId="5731A749">
                  <w:pPr>
                    <w:adjustRightInd w:val="0"/>
                    <w:snapToGrid w:val="0"/>
                    <w:jc w:val="center"/>
                    <w:rPr>
                      <w:szCs w:val="21"/>
                    </w:rPr>
                  </w:pPr>
                </w:p>
              </w:tc>
              <w:tc>
                <w:tcPr>
                  <w:tcW w:w="496" w:type="dxa"/>
                  <w:vMerge w:val="continue"/>
                  <w:vAlign w:val="center"/>
                </w:tcPr>
                <w:p w14:paraId="498651C5">
                  <w:pPr>
                    <w:adjustRightInd w:val="0"/>
                    <w:snapToGrid w:val="0"/>
                    <w:jc w:val="center"/>
                    <w:rPr>
                      <w:szCs w:val="21"/>
                    </w:rPr>
                  </w:pPr>
                </w:p>
              </w:tc>
              <w:tc>
                <w:tcPr>
                  <w:tcW w:w="1287" w:type="dxa"/>
                  <w:vAlign w:val="center"/>
                </w:tcPr>
                <w:p w14:paraId="75AA0E77">
                  <w:pPr>
                    <w:adjustRightInd w:val="0"/>
                    <w:snapToGrid w:val="0"/>
                    <w:jc w:val="center"/>
                    <w:rPr>
                      <w:rFonts w:hint="eastAsia"/>
                      <w:szCs w:val="21"/>
                      <w:u w:val="single"/>
                    </w:rPr>
                  </w:pPr>
                  <w:r>
                    <w:rPr>
                      <w:rFonts w:hint="eastAsia"/>
                      <w:szCs w:val="21"/>
                      <w:u w:val="single"/>
                    </w:rPr>
                    <w:t>未沾染胶的废胶桶</w:t>
                  </w:r>
                </w:p>
              </w:tc>
              <w:tc>
                <w:tcPr>
                  <w:tcW w:w="5039" w:type="dxa"/>
                  <w:vAlign w:val="center"/>
                </w:tcPr>
                <w:p w14:paraId="071173FA">
                  <w:pPr>
                    <w:adjustRightInd w:val="0"/>
                    <w:snapToGrid w:val="0"/>
                    <w:jc w:val="center"/>
                    <w:rPr>
                      <w:szCs w:val="21"/>
                      <w:u w:val="single"/>
                    </w:rPr>
                  </w:pPr>
                  <w:r>
                    <w:rPr>
                      <w:szCs w:val="21"/>
                      <w:u w:val="single"/>
                    </w:rPr>
                    <w:t>属于一般工业固废</w:t>
                  </w:r>
                  <w:r>
                    <w:rPr>
                      <w:rFonts w:hint="eastAsia"/>
                      <w:szCs w:val="21"/>
                      <w:u w:val="single"/>
                    </w:rPr>
                    <w:t>，</w:t>
                  </w:r>
                  <w:r>
                    <w:rPr>
                      <w:szCs w:val="21"/>
                      <w:u w:val="single"/>
                    </w:rPr>
                    <w:t>由厂家回收</w:t>
                  </w:r>
                </w:p>
              </w:tc>
            </w:tr>
            <w:tr w14:paraId="63B8F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727" w:type="dxa"/>
                  <w:vMerge w:val="continue"/>
                  <w:vAlign w:val="center"/>
                </w:tcPr>
                <w:p w14:paraId="430F0736">
                  <w:pPr>
                    <w:adjustRightInd w:val="0"/>
                    <w:snapToGrid w:val="0"/>
                    <w:jc w:val="center"/>
                    <w:rPr>
                      <w:szCs w:val="21"/>
                    </w:rPr>
                  </w:pPr>
                </w:p>
              </w:tc>
              <w:tc>
                <w:tcPr>
                  <w:tcW w:w="496" w:type="dxa"/>
                  <w:vMerge w:val="continue"/>
                  <w:vAlign w:val="center"/>
                </w:tcPr>
                <w:p w14:paraId="71EDC1AC">
                  <w:pPr>
                    <w:adjustRightInd w:val="0"/>
                    <w:snapToGrid w:val="0"/>
                    <w:jc w:val="center"/>
                    <w:rPr>
                      <w:szCs w:val="21"/>
                    </w:rPr>
                  </w:pPr>
                </w:p>
              </w:tc>
              <w:tc>
                <w:tcPr>
                  <w:tcW w:w="1287" w:type="dxa"/>
                  <w:vAlign w:val="center"/>
                </w:tcPr>
                <w:p w14:paraId="0482CA6F">
                  <w:pPr>
                    <w:adjustRightInd w:val="0"/>
                    <w:snapToGrid w:val="0"/>
                    <w:jc w:val="center"/>
                    <w:rPr>
                      <w:szCs w:val="21"/>
                      <w:u w:val="single"/>
                    </w:rPr>
                  </w:pPr>
                  <w:r>
                    <w:rPr>
                      <w:szCs w:val="21"/>
                      <w:u w:val="single"/>
                    </w:rPr>
                    <w:t>废润滑油及其包装桶</w:t>
                  </w:r>
                </w:p>
              </w:tc>
              <w:tc>
                <w:tcPr>
                  <w:tcW w:w="5039" w:type="dxa"/>
                  <w:vMerge w:val="restart"/>
                  <w:vAlign w:val="center"/>
                </w:tcPr>
                <w:p w14:paraId="3E991E0A">
                  <w:pPr>
                    <w:adjustRightInd w:val="0"/>
                    <w:snapToGrid w:val="0"/>
                    <w:jc w:val="center"/>
                    <w:rPr>
                      <w:szCs w:val="21"/>
                    </w:rPr>
                  </w:pPr>
                  <w:r>
                    <w:rPr>
                      <w:szCs w:val="21"/>
                    </w:rPr>
                    <w:t>属危险废物</w:t>
                  </w:r>
                  <w:r>
                    <w:rPr>
                      <w:rFonts w:hint="eastAsia"/>
                      <w:szCs w:val="21"/>
                    </w:rPr>
                    <w:t>，分类暂存于危废间内，定期交有资质单位回收处置</w:t>
                  </w:r>
                </w:p>
              </w:tc>
            </w:tr>
            <w:tr w14:paraId="666D75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727" w:type="dxa"/>
                  <w:vMerge w:val="continue"/>
                  <w:vAlign w:val="center"/>
                </w:tcPr>
                <w:p w14:paraId="05C36D81">
                  <w:pPr>
                    <w:adjustRightInd w:val="0"/>
                    <w:snapToGrid w:val="0"/>
                    <w:jc w:val="center"/>
                    <w:rPr>
                      <w:szCs w:val="21"/>
                    </w:rPr>
                  </w:pPr>
                </w:p>
              </w:tc>
              <w:tc>
                <w:tcPr>
                  <w:tcW w:w="496" w:type="dxa"/>
                  <w:vMerge w:val="continue"/>
                  <w:vAlign w:val="center"/>
                </w:tcPr>
                <w:p w14:paraId="419C4EA9">
                  <w:pPr>
                    <w:adjustRightInd w:val="0"/>
                    <w:snapToGrid w:val="0"/>
                    <w:jc w:val="center"/>
                    <w:rPr>
                      <w:szCs w:val="21"/>
                    </w:rPr>
                  </w:pPr>
                </w:p>
              </w:tc>
              <w:tc>
                <w:tcPr>
                  <w:tcW w:w="1287" w:type="dxa"/>
                  <w:vAlign w:val="center"/>
                </w:tcPr>
                <w:p w14:paraId="60919EDA">
                  <w:pPr>
                    <w:adjustRightInd w:val="0"/>
                    <w:snapToGrid w:val="0"/>
                    <w:jc w:val="center"/>
                    <w:rPr>
                      <w:szCs w:val="21"/>
                      <w:u w:val="single"/>
                    </w:rPr>
                  </w:pPr>
                  <w:r>
                    <w:rPr>
                      <w:szCs w:val="21"/>
                      <w:u w:val="single"/>
                    </w:rPr>
                    <w:t>沾染胶的废塑料膜和废胶桶</w:t>
                  </w:r>
                </w:p>
              </w:tc>
              <w:tc>
                <w:tcPr>
                  <w:tcW w:w="5039" w:type="dxa"/>
                  <w:vMerge w:val="continue"/>
                  <w:vAlign w:val="center"/>
                </w:tcPr>
                <w:p w14:paraId="759C34CB">
                  <w:pPr>
                    <w:adjustRightInd w:val="0"/>
                    <w:snapToGrid w:val="0"/>
                    <w:jc w:val="center"/>
                    <w:rPr>
                      <w:szCs w:val="21"/>
                    </w:rPr>
                  </w:pPr>
                </w:p>
              </w:tc>
            </w:tr>
            <w:tr w14:paraId="24A704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2" w:hRule="atLeast"/>
                <w:jc w:val="center"/>
              </w:trPr>
              <w:tc>
                <w:tcPr>
                  <w:tcW w:w="727" w:type="dxa"/>
                  <w:vMerge w:val="continue"/>
                  <w:vAlign w:val="center"/>
                </w:tcPr>
                <w:p w14:paraId="55467660">
                  <w:pPr>
                    <w:adjustRightInd w:val="0"/>
                    <w:snapToGrid w:val="0"/>
                    <w:jc w:val="center"/>
                    <w:rPr>
                      <w:szCs w:val="21"/>
                    </w:rPr>
                  </w:pPr>
                </w:p>
              </w:tc>
              <w:tc>
                <w:tcPr>
                  <w:tcW w:w="496" w:type="dxa"/>
                  <w:vMerge w:val="continue"/>
                  <w:vAlign w:val="center"/>
                </w:tcPr>
                <w:p w14:paraId="23755FCE">
                  <w:pPr>
                    <w:adjustRightInd w:val="0"/>
                    <w:snapToGrid w:val="0"/>
                    <w:jc w:val="center"/>
                    <w:rPr>
                      <w:szCs w:val="21"/>
                    </w:rPr>
                  </w:pPr>
                </w:p>
              </w:tc>
              <w:tc>
                <w:tcPr>
                  <w:tcW w:w="1287" w:type="dxa"/>
                  <w:vAlign w:val="center"/>
                </w:tcPr>
                <w:p w14:paraId="3062E2B3">
                  <w:pPr>
                    <w:adjustRightInd w:val="0"/>
                    <w:snapToGrid w:val="0"/>
                    <w:jc w:val="center"/>
                    <w:rPr>
                      <w:szCs w:val="21"/>
                    </w:rPr>
                  </w:pPr>
                  <w:r>
                    <w:rPr>
                      <w:rFonts w:hint="eastAsia"/>
                      <w:szCs w:val="21"/>
                    </w:rPr>
                    <w:t>废活性炭</w:t>
                  </w:r>
                </w:p>
              </w:tc>
              <w:tc>
                <w:tcPr>
                  <w:tcW w:w="5039" w:type="dxa"/>
                  <w:vMerge w:val="continue"/>
                  <w:vAlign w:val="center"/>
                </w:tcPr>
                <w:p w14:paraId="57F76288">
                  <w:pPr>
                    <w:adjustRightInd w:val="0"/>
                    <w:snapToGrid w:val="0"/>
                    <w:jc w:val="center"/>
                    <w:rPr>
                      <w:szCs w:val="21"/>
                    </w:rPr>
                  </w:pPr>
                </w:p>
              </w:tc>
            </w:tr>
            <w:tr w14:paraId="7C2BB5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2" w:hRule="atLeast"/>
                <w:jc w:val="center"/>
              </w:trPr>
              <w:tc>
                <w:tcPr>
                  <w:tcW w:w="727" w:type="dxa"/>
                  <w:vMerge w:val="continue"/>
                  <w:vAlign w:val="center"/>
                </w:tcPr>
                <w:p w14:paraId="5BEE0C5B">
                  <w:pPr>
                    <w:adjustRightInd w:val="0"/>
                    <w:snapToGrid w:val="0"/>
                    <w:jc w:val="center"/>
                    <w:rPr>
                      <w:szCs w:val="21"/>
                    </w:rPr>
                  </w:pPr>
                </w:p>
              </w:tc>
              <w:tc>
                <w:tcPr>
                  <w:tcW w:w="496" w:type="dxa"/>
                  <w:vMerge w:val="continue"/>
                  <w:vAlign w:val="center"/>
                </w:tcPr>
                <w:p w14:paraId="6538C33F">
                  <w:pPr>
                    <w:adjustRightInd w:val="0"/>
                    <w:snapToGrid w:val="0"/>
                    <w:jc w:val="center"/>
                    <w:rPr>
                      <w:szCs w:val="21"/>
                    </w:rPr>
                  </w:pPr>
                </w:p>
              </w:tc>
              <w:tc>
                <w:tcPr>
                  <w:tcW w:w="1287" w:type="dxa"/>
                  <w:vAlign w:val="center"/>
                </w:tcPr>
                <w:p w14:paraId="0E92A209">
                  <w:pPr>
                    <w:adjustRightInd w:val="0"/>
                    <w:snapToGrid w:val="0"/>
                    <w:jc w:val="center"/>
                    <w:rPr>
                      <w:szCs w:val="21"/>
                    </w:rPr>
                  </w:pPr>
                  <w:r>
                    <w:rPr>
                      <w:rFonts w:hint="eastAsia"/>
                      <w:szCs w:val="21"/>
                    </w:rPr>
                    <w:t>废催化剂</w:t>
                  </w:r>
                </w:p>
              </w:tc>
              <w:tc>
                <w:tcPr>
                  <w:tcW w:w="5039" w:type="dxa"/>
                  <w:vMerge w:val="continue"/>
                  <w:vAlign w:val="center"/>
                </w:tcPr>
                <w:p w14:paraId="6836A786">
                  <w:pPr>
                    <w:adjustRightInd w:val="0"/>
                    <w:snapToGrid w:val="0"/>
                    <w:jc w:val="center"/>
                    <w:rPr>
                      <w:szCs w:val="21"/>
                    </w:rPr>
                  </w:pPr>
                </w:p>
              </w:tc>
            </w:tr>
          </w:tbl>
          <w:p w14:paraId="14E9B196">
            <w:pPr>
              <w:pStyle w:val="97"/>
              <w:autoSpaceDE/>
              <w:autoSpaceDN/>
              <w:spacing w:line="360" w:lineRule="auto"/>
              <w:ind w:firstLine="482" w:firstLineChars="200"/>
              <w:rPr>
                <w:rFonts w:ascii="Times New Roman" w:hAnsi="Times New Roman" w:cs="Times New Roman"/>
                <w:b/>
                <w:bCs/>
                <w:sz w:val="24"/>
                <w:lang w:val="en-US"/>
              </w:rPr>
            </w:pPr>
            <w:r>
              <w:rPr>
                <w:rFonts w:ascii="Times New Roman" w:hAnsi="Times New Roman" w:cs="Times New Roman"/>
                <w:b/>
                <w:bCs/>
                <w:sz w:val="24"/>
                <w:lang w:val="en-US"/>
              </w:rPr>
              <w:t>3、产品方案</w:t>
            </w:r>
          </w:p>
          <w:p w14:paraId="79B5BA25">
            <w:pPr>
              <w:pStyle w:val="97"/>
              <w:autoSpaceDE/>
              <w:autoSpaceDN/>
              <w:spacing w:line="360" w:lineRule="auto"/>
              <w:ind w:firstLine="480" w:firstLineChars="200"/>
              <w:rPr>
                <w:rFonts w:ascii="Times New Roman" w:hAnsi="Times New Roman" w:cs="Times New Roman"/>
                <w:bCs/>
                <w:sz w:val="24"/>
                <w:lang w:val="en-US"/>
              </w:rPr>
            </w:pPr>
            <w:r>
              <w:rPr>
                <w:rFonts w:hint="eastAsia" w:ascii="Times New Roman" w:hAnsi="Times New Roman" w:cs="Times New Roman"/>
                <w:bCs/>
                <w:sz w:val="24"/>
                <w:lang w:val="en-US"/>
              </w:rPr>
              <w:t>本项目具体产品及产能详见下表。</w:t>
            </w:r>
          </w:p>
          <w:p w14:paraId="725E2A24">
            <w:pPr>
              <w:pStyle w:val="137"/>
              <w:numPr>
                <w:ilvl w:val="0"/>
                <w:numId w:val="4"/>
              </w:numPr>
              <w:spacing w:line="360" w:lineRule="auto"/>
              <w:ind w:firstLineChars="0"/>
              <w:jc w:val="center"/>
              <w:rPr>
                <w:b/>
                <w:bCs/>
                <w:szCs w:val="21"/>
              </w:rPr>
            </w:pPr>
            <w:r>
              <w:rPr>
                <w:b/>
                <w:bCs/>
                <w:szCs w:val="21"/>
              </w:rPr>
              <w:t>本项目</w:t>
            </w:r>
            <w:r>
              <w:rPr>
                <w:rFonts w:hint="eastAsia"/>
                <w:b/>
                <w:bCs/>
                <w:szCs w:val="21"/>
              </w:rPr>
              <w:t>产品及</w:t>
            </w:r>
            <w:r>
              <w:rPr>
                <w:b/>
                <w:bCs/>
                <w:szCs w:val="21"/>
              </w:rPr>
              <w:t>产能一览表</w:t>
            </w:r>
          </w:p>
          <w:tbl>
            <w:tblPr>
              <w:tblStyle w:val="38"/>
              <w:tblW w:w="764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8"/>
              <w:gridCol w:w="709"/>
              <w:gridCol w:w="1285"/>
              <w:gridCol w:w="1762"/>
              <w:gridCol w:w="1537"/>
              <w:gridCol w:w="1565"/>
            </w:tblGrid>
            <w:tr w14:paraId="5005F7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9" w:hRule="atLeast"/>
                <w:tblHeader/>
                <w:jc w:val="center"/>
              </w:trPr>
              <w:tc>
                <w:tcPr>
                  <w:tcW w:w="788" w:type="dxa"/>
                  <w:vMerge w:val="restart"/>
                  <w:vAlign w:val="center"/>
                </w:tcPr>
                <w:p w14:paraId="707D5E2E">
                  <w:pPr>
                    <w:adjustRightInd w:val="0"/>
                    <w:snapToGrid w:val="0"/>
                    <w:jc w:val="center"/>
                    <w:rPr>
                      <w:b/>
                      <w:szCs w:val="21"/>
                    </w:rPr>
                  </w:pPr>
                  <w:r>
                    <w:rPr>
                      <w:b/>
                      <w:szCs w:val="21"/>
                    </w:rPr>
                    <w:t>序号</w:t>
                  </w:r>
                </w:p>
              </w:tc>
              <w:tc>
                <w:tcPr>
                  <w:tcW w:w="1994" w:type="dxa"/>
                  <w:gridSpan w:val="2"/>
                  <w:vMerge w:val="restart"/>
                  <w:vAlign w:val="center"/>
                </w:tcPr>
                <w:p w14:paraId="04D17D84">
                  <w:pPr>
                    <w:adjustRightInd w:val="0"/>
                    <w:snapToGrid w:val="0"/>
                    <w:jc w:val="center"/>
                    <w:rPr>
                      <w:b/>
                      <w:szCs w:val="21"/>
                    </w:rPr>
                  </w:pPr>
                  <w:r>
                    <w:rPr>
                      <w:b/>
                      <w:szCs w:val="21"/>
                    </w:rPr>
                    <w:t>产品</w:t>
                  </w:r>
                  <w:r>
                    <w:rPr>
                      <w:rFonts w:hint="eastAsia"/>
                      <w:b/>
                      <w:szCs w:val="21"/>
                    </w:rPr>
                    <w:t>名称</w:t>
                  </w:r>
                </w:p>
              </w:tc>
              <w:tc>
                <w:tcPr>
                  <w:tcW w:w="3299" w:type="dxa"/>
                  <w:gridSpan w:val="2"/>
                </w:tcPr>
                <w:p w14:paraId="45AF5366">
                  <w:pPr>
                    <w:adjustRightInd w:val="0"/>
                    <w:snapToGrid w:val="0"/>
                    <w:jc w:val="center"/>
                    <w:rPr>
                      <w:b/>
                      <w:szCs w:val="21"/>
                    </w:rPr>
                  </w:pPr>
                  <w:r>
                    <w:rPr>
                      <w:rFonts w:hint="eastAsia"/>
                      <w:b/>
                      <w:szCs w:val="21"/>
                    </w:rPr>
                    <w:t>年产量（万m</w:t>
                  </w:r>
                  <w:r>
                    <w:rPr>
                      <w:rFonts w:hint="eastAsia"/>
                      <w:b/>
                      <w:szCs w:val="21"/>
                      <w:vertAlign w:val="superscript"/>
                    </w:rPr>
                    <w:t>2</w:t>
                  </w:r>
                  <w:r>
                    <w:rPr>
                      <w:rFonts w:hint="eastAsia"/>
                      <w:b/>
                      <w:szCs w:val="21"/>
                    </w:rPr>
                    <w:t>/a）</w:t>
                  </w:r>
                </w:p>
              </w:tc>
              <w:tc>
                <w:tcPr>
                  <w:tcW w:w="1565" w:type="dxa"/>
                  <w:vMerge w:val="restart"/>
                  <w:vAlign w:val="center"/>
                </w:tcPr>
                <w:p w14:paraId="67365C6A">
                  <w:pPr>
                    <w:adjustRightInd w:val="0"/>
                    <w:snapToGrid w:val="0"/>
                    <w:jc w:val="center"/>
                    <w:rPr>
                      <w:b/>
                      <w:szCs w:val="21"/>
                    </w:rPr>
                  </w:pPr>
                  <w:r>
                    <w:rPr>
                      <w:rFonts w:hint="eastAsia"/>
                      <w:b/>
                      <w:szCs w:val="21"/>
                    </w:rPr>
                    <w:t>备注</w:t>
                  </w:r>
                </w:p>
              </w:tc>
            </w:tr>
            <w:tr w14:paraId="1A4EF5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8" w:hRule="atLeast"/>
                <w:tblHeader/>
                <w:jc w:val="center"/>
              </w:trPr>
              <w:tc>
                <w:tcPr>
                  <w:tcW w:w="788" w:type="dxa"/>
                  <w:vMerge w:val="continue"/>
                  <w:vAlign w:val="center"/>
                </w:tcPr>
                <w:p w14:paraId="17443273">
                  <w:pPr>
                    <w:adjustRightInd w:val="0"/>
                    <w:snapToGrid w:val="0"/>
                    <w:jc w:val="center"/>
                    <w:rPr>
                      <w:b/>
                      <w:szCs w:val="21"/>
                    </w:rPr>
                  </w:pPr>
                </w:p>
              </w:tc>
              <w:tc>
                <w:tcPr>
                  <w:tcW w:w="1994" w:type="dxa"/>
                  <w:gridSpan w:val="2"/>
                  <w:vMerge w:val="continue"/>
                  <w:vAlign w:val="center"/>
                </w:tcPr>
                <w:p w14:paraId="17415074">
                  <w:pPr>
                    <w:adjustRightInd w:val="0"/>
                    <w:snapToGrid w:val="0"/>
                    <w:jc w:val="center"/>
                    <w:rPr>
                      <w:b/>
                      <w:szCs w:val="21"/>
                    </w:rPr>
                  </w:pPr>
                </w:p>
              </w:tc>
              <w:tc>
                <w:tcPr>
                  <w:tcW w:w="1762" w:type="dxa"/>
                </w:tcPr>
                <w:p w14:paraId="0CFE9218">
                  <w:pPr>
                    <w:adjustRightInd w:val="0"/>
                    <w:snapToGrid w:val="0"/>
                    <w:jc w:val="center"/>
                    <w:rPr>
                      <w:b/>
                      <w:szCs w:val="21"/>
                    </w:rPr>
                  </w:pPr>
                  <w:r>
                    <w:rPr>
                      <w:rFonts w:hint="eastAsia"/>
                      <w:b/>
                      <w:szCs w:val="21"/>
                    </w:rPr>
                    <w:t>原有项目审批</w:t>
                  </w:r>
                </w:p>
              </w:tc>
              <w:tc>
                <w:tcPr>
                  <w:tcW w:w="1537" w:type="dxa"/>
                  <w:vAlign w:val="center"/>
                </w:tcPr>
                <w:p w14:paraId="7B52C415">
                  <w:pPr>
                    <w:adjustRightInd w:val="0"/>
                    <w:snapToGrid w:val="0"/>
                    <w:jc w:val="center"/>
                    <w:rPr>
                      <w:b/>
                      <w:szCs w:val="21"/>
                    </w:rPr>
                  </w:pPr>
                  <w:r>
                    <w:rPr>
                      <w:rFonts w:hint="eastAsia"/>
                      <w:b/>
                      <w:szCs w:val="21"/>
                    </w:rPr>
                    <w:t>本项目</w:t>
                  </w:r>
                </w:p>
              </w:tc>
              <w:tc>
                <w:tcPr>
                  <w:tcW w:w="1565" w:type="dxa"/>
                  <w:vMerge w:val="continue"/>
                  <w:vAlign w:val="center"/>
                </w:tcPr>
                <w:p w14:paraId="40FB5120">
                  <w:pPr>
                    <w:adjustRightInd w:val="0"/>
                    <w:snapToGrid w:val="0"/>
                    <w:jc w:val="center"/>
                    <w:rPr>
                      <w:b/>
                      <w:szCs w:val="21"/>
                    </w:rPr>
                  </w:pPr>
                </w:p>
              </w:tc>
            </w:tr>
            <w:tr w14:paraId="0454E4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2" w:hRule="atLeast"/>
                <w:jc w:val="center"/>
              </w:trPr>
              <w:tc>
                <w:tcPr>
                  <w:tcW w:w="788" w:type="dxa"/>
                  <w:vAlign w:val="center"/>
                </w:tcPr>
                <w:p w14:paraId="01DCBEEF">
                  <w:pPr>
                    <w:widowControl/>
                    <w:jc w:val="center"/>
                    <w:rPr>
                      <w:kern w:val="0"/>
                      <w:szCs w:val="21"/>
                      <w:lang w:bidi="ar"/>
                    </w:rPr>
                  </w:pPr>
                  <w:r>
                    <w:rPr>
                      <w:kern w:val="0"/>
                      <w:szCs w:val="21"/>
                      <w:lang w:bidi="ar"/>
                    </w:rPr>
                    <w:t>1</w:t>
                  </w:r>
                </w:p>
              </w:tc>
              <w:tc>
                <w:tcPr>
                  <w:tcW w:w="1994" w:type="dxa"/>
                  <w:gridSpan w:val="2"/>
                  <w:vAlign w:val="center"/>
                </w:tcPr>
                <w:p w14:paraId="1C9B9AA1">
                  <w:pPr>
                    <w:jc w:val="center"/>
                    <w:rPr>
                      <w:szCs w:val="21"/>
                    </w:rPr>
                  </w:pPr>
                  <w:r>
                    <w:rPr>
                      <w:szCs w:val="21"/>
                    </w:rPr>
                    <w:t>钢化玻璃</w:t>
                  </w:r>
                </w:p>
              </w:tc>
              <w:tc>
                <w:tcPr>
                  <w:tcW w:w="1762" w:type="dxa"/>
                </w:tcPr>
                <w:p w14:paraId="02BB7C60">
                  <w:pPr>
                    <w:jc w:val="center"/>
                    <w:rPr>
                      <w:szCs w:val="21"/>
                    </w:rPr>
                  </w:pPr>
                  <w:r>
                    <w:rPr>
                      <w:rFonts w:hint="eastAsia"/>
                      <w:szCs w:val="21"/>
                    </w:rPr>
                    <w:t>30</w:t>
                  </w:r>
                </w:p>
              </w:tc>
              <w:tc>
                <w:tcPr>
                  <w:tcW w:w="1537" w:type="dxa"/>
                  <w:vAlign w:val="center"/>
                </w:tcPr>
                <w:p w14:paraId="378B1090">
                  <w:pPr>
                    <w:jc w:val="center"/>
                    <w:rPr>
                      <w:szCs w:val="21"/>
                    </w:rPr>
                  </w:pPr>
                  <w:r>
                    <w:rPr>
                      <w:rFonts w:hint="eastAsia"/>
                      <w:szCs w:val="21"/>
                    </w:rPr>
                    <w:t>30</w:t>
                  </w:r>
                </w:p>
              </w:tc>
              <w:tc>
                <w:tcPr>
                  <w:tcW w:w="1565" w:type="dxa"/>
                  <w:vAlign w:val="center"/>
                </w:tcPr>
                <w:p w14:paraId="42AA8731">
                  <w:pPr>
                    <w:jc w:val="center"/>
                    <w:rPr>
                      <w:szCs w:val="21"/>
                    </w:rPr>
                  </w:pPr>
                  <w:r>
                    <w:rPr>
                      <w:rFonts w:hint="eastAsia"/>
                      <w:szCs w:val="21"/>
                    </w:rPr>
                    <w:t>单层，外售</w:t>
                  </w:r>
                </w:p>
              </w:tc>
            </w:tr>
            <w:tr w14:paraId="356F32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6" w:hRule="atLeast"/>
                <w:jc w:val="center"/>
              </w:trPr>
              <w:tc>
                <w:tcPr>
                  <w:tcW w:w="788" w:type="dxa"/>
                  <w:vMerge w:val="restart"/>
                  <w:vAlign w:val="center"/>
                </w:tcPr>
                <w:p w14:paraId="04A321E6">
                  <w:pPr>
                    <w:widowControl/>
                    <w:jc w:val="center"/>
                    <w:rPr>
                      <w:kern w:val="0"/>
                      <w:szCs w:val="21"/>
                      <w:lang w:bidi="ar"/>
                    </w:rPr>
                  </w:pPr>
                  <w:r>
                    <w:rPr>
                      <w:kern w:val="0"/>
                      <w:szCs w:val="21"/>
                      <w:lang w:bidi="ar"/>
                    </w:rPr>
                    <w:t>2</w:t>
                  </w:r>
                </w:p>
              </w:tc>
              <w:tc>
                <w:tcPr>
                  <w:tcW w:w="1994" w:type="dxa"/>
                  <w:gridSpan w:val="2"/>
                  <w:vAlign w:val="center"/>
                </w:tcPr>
                <w:p w14:paraId="01575CEE">
                  <w:pPr>
                    <w:widowControl/>
                    <w:jc w:val="center"/>
                    <w:rPr>
                      <w:kern w:val="0"/>
                      <w:szCs w:val="21"/>
                      <w:lang w:bidi="ar"/>
                    </w:rPr>
                  </w:pPr>
                  <w:r>
                    <w:rPr>
                      <w:kern w:val="0"/>
                      <w:szCs w:val="21"/>
                      <w:lang w:bidi="ar"/>
                    </w:rPr>
                    <w:t>中空玻璃</w:t>
                  </w:r>
                </w:p>
              </w:tc>
              <w:tc>
                <w:tcPr>
                  <w:tcW w:w="1762" w:type="dxa"/>
                </w:tcPr>
                <w:p w14:paraId="45B809E0">
                  <w:pPr>
                    <w:widowControl/>
                    <w:jc w:val="center"/>
                    <w:rPr>
                      <w:kern w:val="0"/>
                      <w:szCs w:val="21"/>
                      <w:lang w:bidi="ar"/>
                    </w:rPr>
                  </w:pPr>
                  <w:r>
                    <w:rPr>
                      <w:rFonts w:hint="eastAsia"/>
                      <w:kern w:val="0"/>
                      <w:szCs w:val="21"/>
                      <w:lang w:bidi="ar"/>
                    </w:rPr>
                    <w:t>30</w:t>
                  </w:r>
                </w:p>
              </w:tc>
              <w:tc>
                <w:tcPr>
                  <w:tcW w:w="1537" w:type="dxa"/>
                  <w:vAlign w:val="center"/>
                </w:tcPr>
                <w:p w14:paraId="6AD572CD">
                  <w:pPr>
                    <w:widowControl/>
                    <w:jc w:val="center"/>
                    <w:rPr>
                      <w:kern w:val="0"/>
                      <w:szCs w:val="21"/>
                      <w:lang w:bidi="ar"/>
                    </w:rPr>
                  </w:pPr>
                  <w:r>
                    <w:rPr>
                      <w:rFonts w:hint="eastAsia"/>
                      <w:kern w:val="0"/>
                      <w:szCs w:val="21"/>
                      <w:lang w:bidi="ar"/>
                    </w:rPr>
                    <w:t>30</w:t>
                  </w:r>
                </w:p>
              </w:tc>
              <w:tc>
                <w:tcPr>
                  <w:tcW w:w="1565" w:type="dxa"/>
                  <w:vMerge w:val="restart"/>
                  <w:vAlign w:val="center"/>
                </w:tcPr>
                <w:p w14:paraId="3FFA37BB">
                  <w:pPr>
                    <w:jc w:val="center"/>
                    <w:rPr>
                      <w:szCs w:val="21"/>
                    </w:rPr>
                  </w:pPr>
                  <w:r>
                    <w:rPr>
                      <w:rFonts w:hint="eastAsia"/>
                      <w:szCs w:val="21"/>
                    </w:rPr>
                    <w:t>双层，外售</w:t>
                  </w:r>
                </w:p>
              </w:tc>
            </w:tr>
            <w:tr w14:paraId="7F6DCE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6" w:hRule="atLeast"/>
                <w:jc w:val="center"/>
              </w:trPr>
              <w:tc>
                <w:tcPr>
                  <w:tcW w:w="788" w:type="dxa"/>
                  <w:vMerge w:val="continue"/>
                  <w:vAlign w:val="center"/>
                </w:tcPr>
                <w:p w14:paraId="5AA3846E">
                  <w:pPr>
                    <w:widowControl/>
                    <w:jc w:val="center"/>
                    <w:rPr>
                      <w:kern w:val="0"/>
                      <w:szCs w:val="21"/>
                      <w:lang w:bidi="ar"/>
                    </w:rPr>
                  </w:pPr>
                </w:p>
              </w:tc>
              <w:tc>
                <w:tcPr>
                  <w:tcW w:w="709" w:type="dxa"/>
                  <w:vMerge w:val="restart"/>
                  <w:vAlign w:val="center"/>
                </w:tcPr>
                <w:p w14:paraId="5A46DD38">
                  <w:pPr>
                    <w:widowControl/>
                    <w:jc w:val="center"/>
                    <w:rPr>
                      <w:kern w:val="0"/>
                      <w:szCs w:val="21"/>
                      <w:u w:val="single"/>
                      <w:lang w:bidi="ar"/>
                    </w:rPr>
                  </w:pPr>
                  <w:r>
                    <w:rPr>
                      <w:rFonts w:hint="eastAsia"/>
                      <w:kern w:val="0"/>
                      <w:szCs w:val="21"/>
                      <w:u w:val="single"/>
                      <w:lang w:bidi="ar"/>
                    </w:rPr>
                    <w:t>其中</w:t>
                  </w:r>
                </w:p>
              </w:tc>
              <w:tc>
                <w:tcPr>
                  <w:tcW w:w="1284" w:type="dxa"/>
                  <w:vAlign w:val="center"/>
                </w:tcPr>
                <w:p w14:paraId="45F4208A">
                  <w:pPr>
                    <w:widowControl/>
                    <w:jc w:val="center"/>
                    <w:rPr>
                      <w:kern w:val="0"/>
                      <w:szCs w:val="21"/>
                      <w:u w:val="single"/>
                      <w:lang w:bidi="ar"/>
                    </w:rPr>
                  </w:pPr>
                  <w:r>
                    <w:rPr>
                      <w:rFonts w:hint="eastAsia"/>
                      <w:kern w:val="0"/>
                      <w:szCs w:val="21"/>
                      <w:u w:val="single"/>
                      <w:lang w:bidi="ar"/>
                    </w:rPr>
                    <w:t>普通中空</w:t>
                  </w:r>
                </w:p>
              </w:tc>
              <w:tc>
                <w:tcPr>
                  <w:tcW w:w="1762" w:type="dxa"/>
                </w:tcPr>
                <w:p w14:paraId="0DA7A293">
                  <w:pPr>
                    <w:widowControl/>
                    <w:jc w:val="center"/>
                    <w:rPr>
                      <w:kern w:val="0"/>
                      <w:szCs w:val="21"/>
                      <w:u w:val="single"/>
                      <w:lang w:bidi="ar"/>
                    </w:rPr>
                  </w:pPr>
                  <w:r>
                    <w:rPr>
                      <w:rFonts w:hint="eastAsia"/>
                      <w:kern w:val="0"/>
                      <w:szCs w:val="21"/>
                      <w:u w:val="single"/>
                      <w:lang w:bidi="ar"/>
                    </w:rPr>
                    <w:t>/</w:t>
                  </w:r>
                </w:p>
              </w:tc>
              <w:tc>
                <w:tcPr>
                  <w:tcW w:w="1537" w:type="dxa"/>
                  <w:vAlign w:val="center"/>
                </w:tcPr>
                <w:p w14:paraId="128F6968">
                  <w:pPr>
                    <w:widowControl/>
                    <w:jc w:val="center"/>
                    <w:rPr>
                      <w:kern w:val="0"/>
                      <w:szCs w:val="21"/>
                      <w:u w:val="single"/>
                      <w:lang w:bidi="ar"/>
                    </w:rPr>
                  </w:pPr>
                  <w:r>
                    <w:rPr>
                      <w:rFonts w:hint="eastAsia"/>
                      <w:kern w:val="0"/>
                      <w:szCs w:val="21"/>
                      <w:u w:val="single"/>
                      <w:lang w:bidi="ar"/>
                    </w:rPr>
                    <w:t>6</w:t>
                  </w:r>
                </w:p>
              </w:tc>
              <w:tc>
                <w:tcPr>
                  <w:tcW w:w="1565" w:type="dxa"/>
                  <w:vMerge w:val="continue"/>
                  <w:vAlign w:val="center"/>
                </w:tcPr>
                <w:p w14:paraId="0BCC77D7">
                  <w:pPr>
                    <w:jc w:val="center"/>
                    <w:rPr>
                      <w:szCs w:val="21"/>
                    </w:rPr>
                  </w:pPr>
                </w:p>
              </w:tc>
            </w:tr>
            <w:tr w14:paraId="0C7FEE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788" w:type="dxa"/>
                  <w:vMerge w:val="continue"/>
                  <w:vAlign w:val="center"/>
                </w:tcPr>
                <w:p w14:paraId="17C5D09D">
                  <w:pPr>
                    <w:widowControl/>
                    <w:jc w:val="center"/>
                    <w:rPr>
                      <w:kern w:val="0"/>
                      <w:szCs w:val="21"/>
                      <w:lang w:bidi="ar"/>
                    </w:rPr>
                  </w:pPr>
                </w:p>
              </w:tc>
              <w:tc>
                <w:tcPr>
                  <w:tcW w:w="709" w:type="dxa"/>
                  <w:vMerge w:val="continue"/>
                  <w:vAlign w:val="center"/>
                </w:tcPr>
                <w:p w14:paraId="15FE6587">
                  <w:pPr>
                    <w:widowControl/>
                    <w:jc w:val="center"/>
                    <w:rPr>
                      <w:kern w:val="0"/>
                      <w:szCs w:val="21"/>
                      <w:u w:val="single"/>
                      <w:lang w:bidi="ar"/>
                    </w:rPr>
                  </w:pPr>
                </w:p>
              </w:tc>
              <w:tc>
                <w:tcPr>
                  <w:tcW w:w="1284" w:type="dxa"/>
                  <w:vAlign w:val="center"/>
                </w:tcPr>
                <w:p w14:paraId="20EFAFCA">
                  <w:pPr>
                    <w:widowControl/>
                    <w:jc w:val="center"/>
                    <w:rPr>
                      <w:kern w:val="0"/>
                      <w:szCs w:val="21"/>
                      <w:u w:val="single"/>
                      <w:lang w:bidi="ar"/>
                    </w:rPr>
                  </w:pPr>
                  <w:r>
                    <w:rPr>
                      <w:rFonts w:hint="eastAsia"/>
                      <w:kern w:val="0"/>
                      <w:szCs w:val="21"/>
                      <w:u w:val="single"/>
                      <w:lang w:bidi="ar"/>
                    </w:rPr>
                    <w:t>钢化中空</w:t>
                  </w:r>
                </w:p>
              </w:tc>
              <w:tc>
                <w:tcPr>
                  <w:tcW w:w="1762" w:type="dxa"/>
                </w:tcPr>
                <w:p w14:paraId="1B29804D">
                  <w:pPr>
                    <w:widowControl/>
                    <w:jc w:val="center"/>
                    <w:rPr>
                      <w:kern w:val="0"/>
                      <w:szCs w:val="21"/>
                      <w:u w:val="single"/>
                      <w:lang w:bidi="ar"/>
                    </w:rPr>
                  </w:pPr>
                  <w:r>
                    <w:rPr>
                      <w:rFonts w:hint="eastAsia"/>
                      <w:kern w:val="0"/>
                      <w:szCs w:val="21"/>
                      <w:u w:val="single"/>
                      <w:lang w:bidi="ar"/>
                    </w:rPr>
                    <w:t>/</w:t>
                  </w:r>
                </w:p>
              </w:tc>
              <w:tc>
                <w:tcPr>
                  <w:tcW w:w="1537" w:type="dxa"/>
                  <w:vAlign w:val="center"/>
                </w:tcPr>
                <w:p w14:paraId="60B86CEC">
                  <w:pPr>
                    <w:widowControl/>
                    <w:jc w:val="center"/>
                    <w:rPr>
                      <w:kern w:val="0"/>
                      <w:szCs w:val="21"/>
                      <w:u w:val="single"/>
                      <w:lang w:bidi="ar"/>
                    </w:rPr>
                  </w:pPr>
                  <w:r>
                    <w:rPr>
                      <w:rFonts w:hint="eastAsia"/>
                      <w:kern w:val="0"/>
                      <w:szCs w:val="21"/>
                      <w:u w:val="single"/>
                      <w:lang w:bidi="ar"/>
                    </w:rPr>
                    <w:t>24</w:t>
                  </w:r>
                </w:p>
              </w:tc>
              <w:tc>
                <w:tcPr>
                  <w:tcW w:w="1565" w:type="dxa"/>
                  <w:vMerge w:val="continue"/>
                  <w:vAlign w:val="center"/>
                </w:tcPr>
                <w:p w14:paraId="508FBB19">
                  <w:pPr>
                    <w:jc w:val="center"/>
                    <w:rPr>
                      <w:szCs w:val="21"/>
                    </w:rPr>
                  </w:pPr>
                </w:p>
              </w:tc>
            </w:tr>
          </w:tbl>
          <w:p w14:paraId="46ACACE5">
            <w:pPr>
              <w:pStyle w:val="8"/>
              <w:spacing w:line="240" w:lineRule="auto"/>
              <w:ind w:firstLine="420"/>
              <w:rPr>
                <w:bCs/>
                <w:color w:val="auto"/>
                <w:sz w:val="21"/>
                <w:szCs w:val="21"/>
                <w:u w:val="single"/>
              </w:rPr>
            </w:pPr>
            <w:r>
              <w:rPr>
                <w:rFonts w:hint="eastAsia"/>
                <w:bCs/>
                <w:color w:val="auto"/>
                <w:sz w:val="21"/>
                <w:szCs w:val="21"/>
                <w:u w:val="single"/>
              </w:rPr>
              <w:t>注：本项目产品及产能与原审批项目一致，但原环评未对中空玻璃的产品种类和产量进行细化说明，本次评价予以细化补充。</w:t>
            </w:r>
          </w:p>
          <w:p w14:paraId="0F7808BA">
            <w:pPr>
              <w:pStyle w:val="8"/>
              <w:ind w:firstLine="482"/>
              <w:rPr>
                <w:b/>
                <w:bCs/>
                <w:color w:val="auto"/>
              </w:rPr>
            </w:pPr>
            <w:r>
              <w:rPr>
                <w:b/>
                <w:bCs/>
                <w:color w:val="auto"/>
              </w:rPr>
              <w:t>4、主要生产设备</w:t>
            </w:r>
          </w:p>
          <w:p w14:paraId="770453BA">
            <w:pPr>
              <w:pStyle w:val="8"/>
              <w:rPr>
                <w:color w:val="auto"/>
              </w:rPr>
            </w:pPr>
            <w:r>
              <w:rPr>
                <w:rFonts w:hint="eastAsia"/>
                <w:color w:val="auto"/>
              </w:rPr>
              <w:t>本项目</w:t>
            </w:r>
            <w:r>
              <w:rPr>
                <w:color w:val="auto"/>
              </w:rPr>
              <w:t>主要生产设备见下表。</w:t>
            </w:r>
          </w:p>
          <w:p w14:paraId="587922B3">
            <w:pPr>
              <w:pStyle w:val="137"/>
              <w:numPr>
                <w:ilvl w:val="0"/>
                <w:numId w:val="4"/>
              </w:numPr>
              <w:spacing w:line="360" w:lineRule="auto"/>
              <w:ind w:firstLineChars="0"/>
              <w:jc w:val="center"/>
              <w:rPr>
                <w:b/>
                <w:bCs/>
                <w:szCs w:val="21"/>
              </w:rPr>
            </w:pPr>
            <w:r>
              <w:rPr>
                <w:rFonts w:hint="eastAsia"/>
                <w:b/>
                <w:bCs/>
                <w:szCs w:val="21"/>
              </w:rPr>
              <w:t>本项目主要</w:t>
            </w:r>
            <w:r>
              <w:rPr>
                <w:b/>
                <w:bCs/>
                <w:szCs w:val="21"/>
              </w:rPr>
              <w:t>生产设备</w:t>
            </w:r>
            <w:r>
              <w:rPr>
                <w:rFonts w:hint="eastAsia"/>
                <w:b/>
                <w:bCs/>
                <w:szCs w:val="21"/>
              </w:rPr>
              <w:t>一览表</w:t>
            </w:r>
          </w:p>
          <w:tbl>
            <w:tblPr>
              <w:tblStyle w:val="38"/>
              <w:tblW w:w="775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7"/>
              <w:gridCol w:w="1973"/>
              <w:gridCol w:w="1899"/>
              <w:gridCol w:w="989"/>
              <w:gridCol w:w="1134"/>
              <w:gridCol w:w="1088"/>
            </w:tblGrid>
            <w:tr w14:paraId="6186A2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8" w:hRule="atLeast"/>
                <w:tblHeader/>
                <w:jc w:val="center"/>
              </w:trPr>
              <w:tc>
                <w:tcPr>
                  <w:tcW w:w="667" w:type="dxa"/>
                  <w:vAlign w:val="center"/>
                </w:tcPr>
                <w:p w14:paraId="76D7B303">
                  <w:pPr>
                    <w:adjustRightInd w:val="0"/>
                    <w:snapToGrid w:val="0"/>
                    <w:jc w:val="center"/>
                    <w:rPr>
                      <w:b/>
                      <w:szCs w:val="21"/>
                    </w:rPr>
                  </w:pPr>
                  <w:r>
                    <w:rPr>
                      <w:b/>
                      <w:szCs w:val="21"/>
                    </w:rPr>
                    <w:t>序号</w:t>
                  </w:r>
                </w:p>
              </w:tc>
              <w:tc>
                <w:tcPr>
                  <w:tcW w:w="1973" w:type="dxa"/>
                  <w:vAlign w:val="center"/>
                </w:tcPr>
                <w:p w14:paraId="49A099B1">
                  <w:pPr>
                    <w:adjustRightInd w:val="0"/>
                    <w:snapToGrid w:val="0"/>
                    <w:jc w:val="center"/>
                    <w:rPr>
                      <w:b/>
                      <w:szCs w:val="21"/>
                    </w:rPr>
                  </w:pPr>
                  <w:r>
                    <w:rPr>
                      <w:b/>
                      <w:szCs w:val="21"/>
                    </w:rPr>
                    <w:t>设备名称</w:t>
                  </w:r>
                </w:p>
              </w:tc>
              <w:tc>
                <w:tcPr>
                  <w:tcW w:w="1899" w:type="dxa"/>
                  <w:vAlign w:val="center"/>
                </w:tcPr>
                <w:p w14:paraId="74BAC75D">
                  <w:pPr>
                    <w:adjustRightInd w:val="0"/>
                    <w:snapToGrid w:val="0"/>
                    <w:jc w:val="center"/>
                    <w:rPr>
                      <w:b/>
                      <w:szCs w:val="21"/>
                    </w:rPr>
                  </w:pPr>
                  <w:r>
                    <w:rPr>
                      <w:rFonts w:hint="eastAsia"/>
                      <w:b/>
                      <w:szCs w:val="21"/>
                    </w:rPr>
                    <w:t>规格/型号</w:t>
                  </w:r>
                </w:p>
              </w:tc>
              <w:tc>
                <w:tcPr>
                  <w:tcW w:w="989" w:type="dxa"/>
                  <w:vAlign w:val="center"/>
                </w:tcPr>
                <w:p w14:paraId="12A1F344">
                  <w:pPr>
                    <w:adjustRightInd w:val="0"/>
                    <w:snapToGrid w:val="0"/>
                    <w:jc w:val="center"/>
                    <w:rPr>
                      <w:b/>
                      <w:szCs w:val="21"/>
                    </w:rPr>
                  </w:pPr>
                  <w:r>
                    <w:rPr>
                      <w:b/>
                      <w:szCs w:val="21"/>
                    </w:rPr>
                    <w:t>数量</w:t>
                  </w:r>
                  <w:r>
                    <w:rPr>
                      <w:rFonts w:hint="eastAsia"/>
                      <w:b/>
                      <w:szCs w:val="21"/>
                    </w:rPr>
                    <w:t>（台/套）</w:t>
                  </w:r>
                </w:p>
              </w:tc>
              <w:tc>
                <w:tcPr>
                  <w:tcW w:w="1134" w:type="dxa"/>
                  <w:vAlign w:val="center"/>
                </w:tcPr>
                <w:p w14:paraId="0C36A5DF">
                  <w:pPr>
                    <w:adjustRightInd w:val="0"/>
                    <w:snapToGrid w:val="0"/>
                    <w:jc w:val="center"/>
                    <w:rPr>
                      <w:b/>
                      <w:szCs w:val="21"/>
                    </w:rPr>
                  </w:pPr>
                  <w:r>
                    <w:rPr>
                      <w:b/>
                      <w:szCs w:val="21"/>
                    </w:rPr>
                    <w:t>备注</w:t>
                  </w:r>
                </w:p>
              </w:tc>
              <w:tc>
                <w:tcPr>
                  <w:tcW w:w="1088" w:type="dxa"/>
                  <w:vAlign w:val="center"/>
                </w:tcPr>
                <w:p w14:paraId="344C2925">
                  <w:pPr>
                    <w:adjustRightInd w:val="0"/>
                    <w:snapToGrid w:val="0"/>
                    <w:jc w:val="center"/>
                    <w:rPr>
                      <w:b/>
                      <w:szCs w:val="21"/>
                    </w:rPr>
                  </w:pPr>
                  <w:r>
                    <w:rPr>
                      <w:b/>
                      <w:szCs w:val="21"/>
                    </w:rPr>
                    <w:t>依托关系</w:t>
                  </w:r>
                </w:p>
              </w:tc>
            </w:tr>
            <w:tr w14:paraId="468898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750" w:type="dxa"/>
                  <w:gridSpan w:val="6"/>
                  <w:vAlign w:val="center"/>
                </w:tcPr>
                <w:p w14:paraId="2BB3C646">
                  <w:pPr>
                    <w:jc w:val="center"/>
                    <w:rPr>
                      <w:kern w:val="0"/>
                      <w:szCs w:val="21"/>
                      <w:lang w:bidi="ar"/>
                    </w:rPr>
                  </w:pPr>
                  <w:r>
                    <w:rPr>
                      <w:rFonts w:hint="eastAsia"/>
                      <w:kern w:val="0"/>
                      <w:szCs w:val="21"/>
                      <w:lang w:bidi="ar"/>
                    </w:rPr>
                    <w:t>切割、磨边、倒片、清洗加工工序</w:t>
                  </w:r>
                </w:p>
              </w:tc>
            </w:tr>
            <w:tr w14:paraId="7DBE1F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67" w:type="dxa"/>
                  <w:vAlign w:val="center"/>
                </w:tcPr>
                <w:p w14:paraId="30AF4AB1">
                  <w:pPr>
                    <w:widowControl/>
                    <w:jc w:val="center"/>
                    <w:textAlignment w:val="center"/>
                    <w:rPr>
                      <w:kern w:val="0"/>
                      <w:szCs w:val="21"/>
                      <w:lang w:bidi="ar"/>
                    </w:rPr>
                  </w:pPr>
                  <w:r>
                    <w:rPr>
                      <w:rFonts w:hint="eastAsia"/>
                      <w:kern w:val="0"/>
                      <w:szCs w:val="21"/>
                      <w:lang w:bidi="ar"/>
                    </w:rPr>
                    <w:t>1</w:t>
                  </w:r>
                </w:p>
              </w:tc>
              <w:tc>
                <w:tcPr>
                  <w:tcW w:w="1973" w:type="dxa"/>
                  <w:vAlign w:val="center"/>
                </w:tcPr>
                <w:p w14:paraId="4F520EC3">
                  <w:pPr>
                    <w:jc w:val="center"/>
                    <w:rPr>
                      <w:szCs w:val="21"/>
                    </w:rPr>
                  </w:pPr>
                  <w:r>
                    <w:rPr>
                      <w:szCs w:val="21"/>
                    </w:rPr>
                    <w:t>金刚石切割机</w:t>
                  </w:r>
                </w:p>
              </w:tc>
              <w:tc>
                <w:tcPr>
                  <w:tcW w:w="1899" w:type="dxa"/>
                  <w:vAlign w:val="center"/>
                </w:tcPr>
                <w:p w14:paraId="3EE76331">
                  <w:pPr>
                    <w:jc w:val="center"/>
                    <w:rPr>
                      <w:bCs/>
                      <w:szCs w:val="21"/>
                    </w:rPr>
                  </w:pPr>
                  <w:r>
                    <w:rPr>
                      <w:bCs/>
                      <w:szCs w:val="21"/>
                    </w:rPr>
                    <w:t>2440</w:t>
                  </w:r>
                  <w:r>
                    <w:rPr>
                      <w:rFonts w:hint="eastAsia"/>
                      <w:bCs/>
                      <w:szCs w:val="21"/>
                    </w:rPr>
                    <w:t>mm</w:t>
                  </w:r>
                  <w:r>
                    <w:rPr>
                      <w:bCs/>
                      <w:szCs w:val="21"/>
                    </w:rPr>
                    <w:t>*4200mm</w:t>
                  </w:r>
                </w:p>
              </w:tc>
              <w:tc>
                <w:tcPr>
                  <w:tcW w:w="989" w:type="dxa"/>
                  <w:vAlign w:val="center"/>
                </w:tcPr>
                <w:p w14:paraId="59A8656C">
                  <w:pPr>
                    <w:jc w:val="center"/>
                    <w:rPr>
                      <w:bCs/>
                      <w:szCs w:val="21"/>
                    </w:rPr>
                  </w:pPr>
                  <w:r>
                    <w:rPr>
                      <w:rFonts w:hint="eastAsia"/>
                      <w:bCs/>
                      <w:szCs w:val="21"/>
                    </w:rPr>
                    <w:t>1</w:t>
                  </w:r>
                </w:p>
              </w:tc>
              <w:tc>
                <w:tcPr>
                  <w:tcW w:w="1134" w:type="dxa"/>
                  <w:vAlign w:val="center"/>
                </w:tcPr>
                <w:p w14:paraId="003A054F">
                  <w:pPr>
                    <w:jc w:val="center"/>
                    <w:rPr>
                      <w:bCs/>
                      <w:szCs w:val="21"/>
                    </w:rPr>
                  </w:pPr>
                  <w:r>
                    <w:rPr>
                      <w:rFonts w:hint="eastAsia"/>
                      <w:bCs/>
                      <w:szCs w:val="21"/>
                    </w:rPr>
                    <w:t>用于玻璃切割</w:t>
                  </w:r>
                </w:p>
              </w:tc>
              <w:tc>
                <w:tcPr>
                  <w:tcW w:w="1088" w:type="dxa"/>
                  <w:vMerge w:val="restart"/>
                  <w:vAlign w:val="center"/>
                </w:tcPr>
                <w:p w14:paraId="0E9B892F">
                  <w:pPr>
                    <w:jc w:val="center"/>
                    <w:rPr>
                      <w:bCs/>
                      <w:szCs w:val="21"/>
                    </w:rPr>
                  </w:pPr>
                  <w:r>
                    <w:rPr>
                      <w:rFonts w:hint="eastAsia"/>
                      <w:bCs/>
                      <w:szCs w:val="21"/>
                    </w:rPr>
                    <w:t>依托现有，搬迁至新厂房</w:t>
                  </w:r>
                </w:p>
              </w:tc>
            </w:tr>
            <w:tr w14:paraId="1980B2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667" w:type="dxa"/>
                  <w:vAlign w:val="center"/>
                </w:tcPr>
                <w:p w14:paraId="21214988">
                  <w:pPr>
                    <w:widowControl/>
                    <w:jc w:val="center"/>
                    <w:textAlignment w:val="center"/>
                    <w:rPr>
                      <w:kern w:val="0"/>
                      <w:szCs w:val="21"/>
                      <w:lang w:bidi="ar"/>
                    </w:rPr>
                  </w:pPr>
                  <w:r>
                    <w:rPr>
                      <w:rFonts w:hint="eastAsia"/>
                      <w:kern w:val="0"/>
                      <w:szCs w:val="21"/>
                      <w:lang w:bidi="ar"/>
                    </w:rPr>
                    <w:t>2</w:t>
                  </w:r>
                </w:p>
              </w:tc>
              <w:tc>
                <w:tcPr>
                  <w:tcW w:w="1973" w:type="dxa"/>
                  <w:vAlign w:val="center"/>
                </w:tcPr>
                <w:p w14:paraId="786A0221">
                  <w:pPr>
                    <w:jc w:val="center"/>
                    <w:rPr>
                      <w:szCs w:val="21"/>
                    </w:rPr>
                  </w:pPr>
                  <w:r>
                    <w:rPr>
                      <w:szCs w:val="21"/>
                    </w:rPr>
                    <w:t>高速四边磨边机</w:t>
                  </w:r>
                </w:p>
              </w:tc>
              <w:tc>
                <w:tcPr>
                  <w:tcW w:w="1899" w:type="dxa"/>
                  <w:vAlign w:val="center"/>
                </w:tcPr>
                <w:p w14:paraId="7BE86BC1">
                  <w:pPr>
                    <w:jc w:val="center"/>
                    <w:rPr>
                      <w:bCs/>
                      <w:szCs w:val="21"/>
                    </w:rPr>
                  </w:pPr>
                  <w:r>
                    <w:rPr>
                      <w:bCs/>
                      <w:szCs w:val="21"/>
                    </w:rPr>
                    <w:t>JG2440</w:t>
                  </w:r>
                </w:p>
              </w:tc>
              <w:tc>
                <w:tcPr>
                  <w:tcW w:w="989" w:type="dxa"/>
                  <w:vAlign w:val="center"/>
                </w:tcPr>
                <w:p w14:paraId="490CD2E1">
                  <w:pPr>
                    <w:jc w:val="center"/>
                    <w:rPr>
                      <w:bCs/>
                      <w:szCs w:val="21"/>
                    </w:rPr>
                  </w:pPr>
                  <w:r>
                    <w:rPr>
                      <w:rFonts w:hint="eastAsia"/>
                      <w:bCs/>
                      <w:szCs w:val="21"/>
                    </w:rPr>
                    <w:t>1</w:t>
                  </w:r>
                </w:p>
              </w:tc>
              <w:tc>
                <w:tcPr>
                  <w:tcW w:w="1134" w:type="dxa"/>
                  <w:vMerge w:val="restart"/>
                  <w:vAlign w:val="center"/>
                </w:tcPr>
                <w:p w14:paraId="6380BC14">
                  <w:pPr>
                    <w:jc w:val="center"/>
                    <w:rPr>
                      <w:bCs/>
                      <w:szCs w:val="21"/>
                    </w:rPr>
                  </w:pPr>
                  <w:r>
                    <w:rPr>
                      <w:rFonts w:hint="eastAsia"/>
                      <w:bCs/>
                      <w:szCs w:val="21"/>
                    </w:rPr>
                    <w:t>用于玻璃磨边</w:t>
                  </w:r>
                </w:p>
              </w:tc>
              <w:tc>
                <w:tcPr>
                  <w:tcW w:w="1088" w:type="dxa"/>
                  <w:vMerge w:val="continue"/>
                  <w:vAlign w:val="center"/>
                </w:tcPr>
                <w:p w14:paraId="487F2C4D">
                  <w:pPr>
                    <w:jc w:val="center"/>
                    <w:rPr>
                      <w:bCs/>
                      <w:szCs w:val="21"/>
                    </w:rPr>
                  </w:pPr>
                </w:p>
              </w:tc>
            </w:tr>
            <w:tr w14:paraId="65883C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67" w:type="dxa"/>
                  <w:vAlign w:val="center"/>
                </w:tcPr>
                <w:p w14:paraId="1C09C0C6">
                  <w:pPr>
                    <w:widowControl/>
                    <w:jc w:val="center"/>
                    <w:textAlignment w:val="center"/>
                    <w:rPr>
                      <w:kern w:val="0"/>
                      <w:szCs w:val="21"/>
                      <w:lang w:bidi="ar"/>
                    </w:rPr>
                  </w:pPr>
                  <w:r>
                    <w:rPr>
                      <w:rFonts w:hint="eastAsia"/>
                      <w:kern w:val="0"/>
                      <w:szCs w:val="21"/>
                      <w:lang w:bidi="ar"/>
                    </w:rPr>
                    <w:t>3</w:t>
                  </w:r>
                </w:p>
              </w:tc>
              <w:tc>
                <w:tcPr>
                  <w:tcW w:w="1973" w:type="dxa"/>
                  <w:vAlign w:val="center"/>
                </w:tcPr>
                <w:p w14:paraId="3CA77EDE">
                  <w:pPr>
                    <w:jc w:val="center"/>
                    <w:rPr>
                      <w:szCs w:val="21"/>
                    </w:rPr>
                  </w:pPr>
                  <w:r>
                    <w:rPr>
                      <w:szCs w:val="21"/>
                    </w:rPr>
                    <w:t>直线磨边机</w:t>
                  </w:r>
                </w:p>
              </w:tc>
              <w:tc>
                <w:tcPr>
                  <w:tcW w:w="1899" w:type="dxa"/>
                  <w:vAlign w:val="center"/>
                </w:tcPr>
                <w:p w14:paraId="04575D6F">
                  <w:pPr>
                    <w:jc w:val="center"/>
                    <w:rPr>
                      <w:bCs/>
                      <w:szCs w:val="21"/>
                    </w:rPr>
                  </w:pPr>
                  <w:r>
                    <w:rPr>
                      <w:bCs/>
                      <w:szCs w:val="21"/>
                    </w:rPr>
                    <w:t>LZM2325</w:t>
                  </w:r>
                </w:p>
              </w:tc>
              <w:tc>
                <w:tcPr>
                  <w:tcW w:w="989" w:type="dxa"/>
                  <w:vAlign w:val="center"/>
                </w:tcPr>
                <w:p w14:paraId="304ECF48">
                  <w:pPr>
                    <w:jc w:val="center"/>
                    <w:rPr>
                      <w:bCs/>
                      <w:szCs w:val="21"/>
                    </w:rPr>
                  </w:pPr>
                  <w:r>
                    <w:rPr>
                      <w:rFonts w:hint="eastAsia"/>
                      <w:bCs/>
                      <w:szCs w:val="21"/>
                    </w:rPr>
                    <w:t>1</w:t>
                  </w:r>
                </w:p>
              </w:tc>
              <w:tc>
                <w:tcPr>
                  <w:tcW w:w="1134" w:type="dxa"/>
                  <w:vMerge w:val="continue"/>
                  <w:vAlign w:val="center"/>
                </w:tcPr>
                <w:p w14:paraId="4AE0B488">
                  <w:pPr>
                    <w:jc w:val="center"/>
                    <w:rPr>
                      <w:bCs/>
                      <w:szCs w:val="21"/>
                    </w:rPr>
                  </w:pPr>
                </w:p>
              </w:tc>
              <w:tc>
                <w:tcPr>
                  <w:tcW w:w="1088" w:type="dxa"/>
                  <w:vMerge w:val="continue"/>
                  <w:vAlign w:val="center"/>
                </w:tcPr>
                <w:p w14:paraId="538A0E4C">
                  <w:pPr>
                    <w:jc w:val="center"/>
                    <w:rPr>
                      <w:bCs/>
                      <w:szCs w:val="21"/>
                    </w:rPr>
                  </w:pPr>
                </w:p>
              </w:tc>
            </w:tr>
            <w:tr w14:paraId="1D7783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67" w:type="dxa"/>
                  <w:vAlign w:val="center"/>
                </w:tcPr>
                <w:p w14:paraId="375EF2B4">
                  <w:pPr>
                    <w:widowControl/>
                    <w:jc w:val="center"/>
                    <w:textAlignment w:val="center"/>
                    <w:rPr>
                      <w:kern w:val="0"/>
                      <w:szCs w:val="21"/>
                      <w:lang w:bidi="ar"/>
                    </w:rPr>
                  </w:pPr>
                  <w:r>
                    <w:rPr>
                      <w:rFonts w:hint="eastAsia"/>
                      <w:kern w:val="0"/>
                      <w:szCs w:val="21"/>
                      <w:lang w:bidi="ar"/>
                    </w:rPr>
                    <w:t>4</w:t>
                  </w:r>
                </w:p>
              </w:tc>
              <w:tc>
                <w:tcPr>
                  <w:tcW w:w="1973" w:type="dxa"/>
                  <w:vAlign w:val="center"/>
                </w:tcPr>
                <w:p w14:paraId="1D9AB791">
                  <w:pPr>
                    <w:jc w:val="center"/>
                    <w:rPr>
                      <w:szCs w:val="21"/>
                    </w:rPr>
                  </w:pPr>
                  <w:r>
                    <w:rPr>
                      <w:szCs w:val="21"/>
                    </w:rPr>
                    <w:t>玻璃上片机</w:t>
                  </w:r>
                </w:p>
              </w:tc>
              <w:tc>
                <w:tcPr>
                  <w:tcW w:w="1899" w:type="dxa"/>
                  <w:vAlign w:val="center"/>
                </w:tcPr>
                <w:p w14:paraId="776004BB">
                  <w:pPr>
                    <w:jc w:val="center"/>
                    <w:rPr>
                      <w:bCs/>
                      <w:szCs w:val="21"/>
                    </w:rPr>
                  </w:pPr>
                  <w:r>
                    <w:rPr>
                      <w:bCs/>
                      <w:szCs w:val="21"/>
                    </w:rPr>
                    <w:t>CY-CNC-4288</w:t>
                  </w:r>
                </w:p>
              </w:tc>
              <w:tc>
                <w:tcPr>
                  <w:tcW w:w="989" w:type="dxa"/>
                  <w:vAlign w:val="center"/>
                </w:tcPr>
                <w:p w14:paraId="142CD29C">
                  <w:pPr>
                    <w:jc w:val="center"/>
                    <w:rPr>
                      <w:bCs/>
                      <w:szCs w:val="21"/>
                    </w:rPr>
                  </w:pPr>
                  <w:r>
                    <w:rPr>
                      <w:rFonts w:hint="eastAsia"/>
                      <w:bCs/>
                      <w:szCs w:val="21"/>
                    </w:rPr>
                    <w:t>1</w:t>
                  </w:r>
                </w:p>
              </w:tc>
              <w:tc>
                <w:tcPr>
                  <w:tcW w:w="1134" w:type="dxa"/>
                  <w:vMerge w:val="restart"/>
                  <w:vAlign w:val="center"/>
                </w:tcPr>
                <w:p w14:paraId="5A001E20">
                  <w:pPr>
                    <w:jc w:val="center"/>
                    <w:rPr>
                      <w:bCs/>
                      <w:szCs w:val="21"/>
                    </w:rPr>
                  </w:pPr>
                  <w:r>
                    <w:rPr>
                      <w:bCs/>
                      <w:szCs w:val="21"/>
                    </w:rPr>
                    <w:t>用于玻璃</w:t>
                  </w:r>
                  <w:r>
                    <w:rPr>
                      <w:rFonts w:hint="eastAsia"/>
                      <w:bCs/>
                      <w:szCs w:val="21"/>
                    </w:rPr>
                    <w:t>上下压片、倒片</w:t>
                  </w:r>
                </w:p>
              </w:tc>
              <w:tc>
                <w:tcPr>
                  <w:tcW w:w="1088" w:type="dxa"/>
                  <w:vMerge w:val="continue"/>
                  <w:vAlign w:val="center"/>
                </w:tcPr>
                <w:p w14:paraId="59CFB997">
                  <w:pPr>
                    <w:jc w:val="center"/>
                    <w:rPr>
                      <w:bCs/>
                      <w:szCs w:val="21"/>
                    </w:rPr>
                  </w:pPr>
                </w:p>
              </w:tc>
            </w:tr>
            <w:tr w14:paraId="6223C9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67" w:type="dxa"/>
                  <w:vAlign w:val="center"/>
                </w:tcPr>
                <w:p w14:paraId="08A70CEC">
                  <w:pPr>
                    <w:widowControl/>
                    <w:jc w:val="center"/>
                    <w:textAlignment w:val="center"/>
                    <w:rPr>
                      <w:kern w:val="0"/>
                      <w:szCs w:val="21"/>
                      <w:lang w:bidi="ar"/>
                    </w:rPr>
                  </w:pPr>
                  <w:r>
                    <w:rPr>
                      <w:rFonts w:hint="eastAsia"/>
                      <w:kern w:val="0"/>
                      <w:szCs w:val="21"/>
                      <w:lang w:bidi="ar"/>
                    </w:rPr>
                    <w:t>5</w:t>
                  </w:r>
                </w:p>
              </w:tc>
              <w:tc>
                <w:tcPr>
                  <w:tcW w:w="1973" w:type="dxa"/>
                  <w:vAlign w:val="center"/>
                </w:tcPr>
                <w:p w14:paraId="7C4C0BFD">
                  <w:pPr>
                    <w:jc w:val="center"/>
                    <w:rPr>
                      <w:szCs w:val="21"/>
                    </w:rPr>
                  </w:pPr>
                  <w:r>
                    <w:rPr>
                      <w:szCs w:val="21"/>
                    </w:rPr>
                    <w:t>气</w:t>
                  </w:r>
                  <w:r>
                    <w:rPr>
                      <w:rFonts w:hint="eastAsia"/>
                      <w:szCs w:val="21"/>
                    </w:rPr>
                    <w:t>浮掰片台</w:t>
                  </w:r>
                </w:p>
              </w:tc>
              <w:tc>
                <w:tcPr>
                  <w:tcW w:w="1899" w:type="dxa"/>
                  <w:vAlign w:val="center"/>
                </w:tcPr>
                <w:p w14:paraId="2A0BBC50">
                  <w:pPr>
                    <w:jc w:val="center"/>
                    <w:rPr>
                      <w:bCs/>
                      <w:szCs w:val="21"/>
                    </w:rPr>
                  </w:pPr>
                  <w:r>
                    <w:rPr>
                      <w:bCs/>
                      <w:szCs w:val="21"/>
                    </w:rPr>
                    <w:t>CY-4288</w:t>
                  </w:r>
                </w:p>
              </w:tc>
              <w:tc>
                <w:tcPr>
                  <w:tcW w:w="989" w:type="dxa"/>
                  <w:vAlign w:val="center"/>
                </w:tcPr>
                <w:p w14:paraId="2086CB2B">
                  <w:pPr>
                    <w:jc w:val="center"/>
                    <w:rPr>
                      <w:bCs/>
                      <w:szCs w:val="21"/>
                    </w:rPr>
                  </w:pPr>
                  <w:r>
                    <w:rPr>
                      <w:rFonts w:hint="eastAsia"/>
                      <w:bCs/>
                      <w:szCs w:val="21"/>
                    </w:rPr>
                    <w:t>1</w:t>
                  </w:r>
                </w:p>
              </w:tc>
              <w:tc>
                <w:tcPr>
                  <w:tcW w:w="1134" w:type="dxa"/>
                  <w:vMerge w:val="continue"/>
                  <w:vAlign w:val="center"/>
                </w:tcPr>
                <w:p w14:paraId="3DC3EA2F">
                  <w:pPr>
                    <w:jc w:val="center"/>
                    <w:rPr>
                      <w:bCs/>
                      <w:szCs w:val="21"/>
                    </w:rPr>
                  </w:pPr>
                </w:p>
              </w:tc>
              <w:tc>
                <w:tcPr>
                  <w:tcW w:w="1088" w:type="dxa"/>
                  <w:vMerge w:val="continue"/>
                  <w:vAlign w:val="center"/>
                </w:tcPr>
                <w:p w14:paraId="7EFD458A">
                  <w:pPr>
                    <w:jc w:val="center"/>
                    <w:rPr>
                      <w:bCs/>
                      <w:szCs w:val="21"/>
                    </w:rPr>
                  </w:pPr>
                </w:p>
              </w:tc>
            </w:tr>
            <w:tr w14:paraId="34F111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67" w:type="dxa"/>
                  <w:vAlign w:val="center"/>
                </w:tcPr>
                <w:p w14:paraId="0218F4F7">
                  <w:pPr>
                    <w:widowControl/>
                    <w:jc w:val="center"/>
                    <w:textAlignment w:val="center"/>
                    <w:rPr>
                      <w:kern w:val="0"/>
                      <w:szCs w:val="21"/>
                      <w:lang w:bidi="ar"/>
                    </w:rPr>
                  </w:pPr>
                  <w:r>
                    <w:rPr>
                      <w:rFonts w:hint="eastAsia"/>
                      <w:kern w:val="0"/>
                      <w:szCs w:val="21"/>
                      <w:lang w:bidi="ar"/>
                    </w:rPr>
                    <w:t>6</w:t>
                  </w:r>
                </w:p>
              </w:tc>
              <w:tc>
                <w:tcPr>
                  <w:tcW w:w="1973" w:type="dxa"/>
                  <w:vAlign w:val="center"/>
                </w:tcPr>
                <w:p w14:paraId="72FE8FB5">
                  <w:pPr>
                    <w:jc w:val="center"/>
                    <w:rPr>
                      <w:szCs w:val="21"/>
                    </w:rPr>
                  </w:pPr>
                  <w:r>
                    <w:rPr>
                      <w:rFonts w:hint="eastAsia"/>
                      <w:szCs w:val="21"/>
                    </w:rPr>
                    <w:t>倒片机</w:t>
                  </w:r>
                </w:p>
              </w:tc>
              <w:tc>
                <w:tcPr>
                  <w:tcW w:w="1899" w:type="dxa"/>
                  <w:vAlign w:val="center"/>
                </w:tcPr>
                <w:p w14:paraId="1BE99ECA">
                  <w:pPr>
                    <w:jc w:val="center"/>
                    <w:rPr>
                      <w:bCs/>
                      <w:szCs w:val="21"/>
                    </w:rPr>
                  </w:pPr>
                  <w:r>
                    <w:rPr>
                      <w:rFonts w:hint="eastAsia"/>
                      <w:bCs/>
                      <w:szCs w:val="21"/>
                    </w:rPr>
                    <w:t>--</w:t>
                  </w:r>
                </w:p>
              </w:tc>
              <w:tc>
                <w:tcPr>
                  <w:tcW w:w="989" w:type="dxa"/>
                  <w:vAlign w:val="center"/>
                </w:tcPr>
                <w:p w14:paraId="40533EBD">
                  <w:pPr>
                    <w:jc w:val="center"/>
                    <w:rPr>
                      <w:bCs/>
                      <w:szCs w:val="21"/>
                    </w:rPr>
                  </w:pPr>
                  <w:r>
                    <w:rPr>
                      <w:rFonts w:hint="eastAsia"/>
                      <w:bCs/>
                      <w:szCs w:val="21"/>
                    </w:rPr>
                    <w:t>1</w:t>
                  </w:r>
                </w:p>
              </w:tc>
              <w:tc>
                <w:tcPr>
                  <w:tcW w:w="1134" w:type="dxa"/>
                  <w:vMerge w:val="continue"/>
                  <w:vAlign w:val="center"/>
                </w:tcPr>
                <w:p w14:paraId="5F65E12C">
                  <w:pPr>
                    <w:jc w:val="center"/>
                    <w:rPr>
                      <w:bCs/>
                      <w:szCs w:val="21"/>
                    </w:rPr>
                  </w:pPr>
                </w:p>
              </w:tc>
              <w:tc>
                <w:tcPr>
                  <w:tcW w:w="1088" w:type="dxa"/>
                  <w:vMerge w:val="continue"/>
                  <w:vAlign w:val="center"/>
                </w:tcPr>
                <w:p w14:paraId="7CABB7F1">
                  <w:pPr>
                    <w:jc w:val="center"/>
                    <w:rPr>
                      <w:bCs/>
                      <w:szCs w:val="21"/>
                    </w:rPr>
                  </w:pPr>
                </w:p>
              </w:tc>
            </w:tr>
            <w:tr w14:paraId="363341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667" w:type="dxa"/>
                  <w:vAlign w:val="center"/>
                </w:tcPr>
                <w:p w14:paraId="02BD0124">
                  <w:pPr>
                    <w:widowControl/>
                    <w:jc w:val="center"/>
                    <w:textAlignment w:val="center"/>
                    <w:rPr>
                      <w:kern w:val="0"/>
                      <w:szCs w:val="21"/>
                      <w:lang w:bidi="ar"/>
                    </w:rPr>
                  </w:pPr>
                  <w:r>
                    <w:rPr>
                      <w:rFonts w:hint="eastAsia"/>
                      <w:kern w:val="0"/>
                      <w:szCs w:val="21"/>
                      <w:lang w:bidi="ar"/>
                    </w:rPr>
                    <w:t>7</w:t>
                  </w:r>
                </w:p>
              </w:tc>
              <w:tc>
                <w:tcPr>
                  <w:tcW w:w="1973" w:type="dxa"/>
                  <w:vAlign w:val="center"/>
                </w:tcPr>
                <w:p w14:paraId="5F07CA29">
                  <w:pPr>
                    <w:jc w:val="center"/>
                    <w:rPr>
                      <w:szCs w:val="21"/>
                    </w:rPr>
                  </w:pPr>
                  <w:r>
                    <w:rPr>
                      <w:szCs w:val="21"/>
                    </w:rPr>
                    <w:t>玻璃清洗干燥机</w:t>
                  </w:r>
                </w:p>
              </w:tc>
              <w:tc>
                <w:tcPr>
                  <w:tcW w:w="1899" w:type="dxa"/>
                  <w:vAlign w:val="center"/>
                </w:tcPr>
                <w:p w14:paraId="3CCD9D0B">
                  <w:pPr>
                    <w:jc w:val="center"/>
                    <w:rPr>
                      <w:bCs/>
                      <w:szCs w:val="21"/>
                    </w:rPr>
                  </w:pPr>
                  <w:r>
                    <w:rPr>
                      <w:rFonts w:hint="eastAsia"/>
                      <w:bCs/>
                      <w:szCs w:val="21"/>
                    </w:rPr>
                    <w:t>2440</w:t>
                  </w:r>
                </w:p>
              </w:tc>
              <w:tc>
                <w:tcPr>
                  <w:tcW w:w="989" w:type="dxa"/>
                  <w:vAlign w:val="center"/>
                </w:tcPr>
                <w:p w14:paraId="267FA8D7">
                  <w:pPr>
                    <w:jc w:val="center"/>
                    <w:rPr>
                      <w:bCs/>
                      <w:szCs w:val="21"/>
                    </w:rPr>
                  </w:pPr>
                  <w:r>
                    <w:rPr>
                      <w:rFonts w:hint="eastAsia"/>
                      <w:bCs/>
                      <w:szCs w:val="21"/>
                    </w:rPr>
                    <w:t>1</w:t>
                  </w:r>
                </w:p>
              </w:tc>
              <w:tc>
                <w:tcPr>
                  <w:tcW w:w="1134" w:type="dxa"/>
                  <w:vAlign w:val="center"/>
                </w:tcPr>
                <w:p w14:paraId="5064E55A">
                  <w:pPr>
                    <w:jc w:val="center"/>
                    <w:rPr>
                      <w:bCs/>
                      <w:szCs w:val="21"/>
                    </w:rPr>
                  </w:pPr>
                  <w:r>
                    <w:rPr>
                      <w:bCs/>
                      <w:szCs w:val="21"/>
                    </w:rPr>
                    <w:t>用于玻璃清洗</w:t>
                  </w:r>
                </w:p>
              </w:tc>
              <w:tc>
                <w:tcPr>
                  <w:tcW w:w="1088" w:type="dxa"/>
                  <w:vMerge w:val="continue"/>
                  <w:vAlign w:val="center"/>
                </w:tcPr>
                <w:p w14:paraId="1B669248">
                  <w:pPr>
                    <w:jc w:val="center"/>
                    <w:rPr>
                      <w:bCs/>
                      <w:szCs w:val="21"/>
                    </w:rPr>
                  </w:pPr>
                </w:p>
              </w:tc>
            </w:tr>
            <w:tr w14:paraId="1E7B6C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667" w:type="dxa"/>
                  <w:vAlign w:val="center"/>
                </w:tcPr>
                <w:p w14:paraId="484BCD97">
                  <w:pPr>
                    <w:widowControl/>
                    <w:jc w:val="center"/>
                    <w:textAlignment w:val="center"/>
                    <w:rPr>
                      <w:kern w:val="0"/>
                      <w:szCs w:val="21"/>
                      <w:u w:val="single"/>
                      <w:lang w:bidi="ar"/>
                    </w:rPr>
                  </w:pPr>
                  <w:r>
                    <w:rPr>
                      <w:rFonts w:hint="eastAsia"/>
                      <w:kern w:val="0"/>
                      <w:szCs w:val="21"/>
                      <w:u w:val="single"/>
                      <w:lang w:bidi="ar"/>
                    </w:rPr>
                    <w:t>8</w:t>
                  </w:r>
                </w:p>
              </w:tc>
              <w:tc>
                <w:tcPr>
                  <w:tcW w:w="1973" w:type="dxa"/>
                  <w:vAlign w:val="center"/>
                </w:tcPr>
                <w:p w14:paraId="2B7FE5A8">
                  <w:pPr>
                    <w:jc w:val="center"/>
                    <w:rPr>
                      <w:szCs w:val="21"/>
                      <w:u w:val="single"/>
                    </w:rPr>
                  </w:pPr>
                  <w:r>
                    <w:rPr>
                      <w:szCs w:val="21"/>
                      <w:u w:val="single"/>
                    </w:rPr>
                    <w:t>纯水机</w:t>
                  </w:r>
                </w:p>
              </w:tc>
              <w:tc>
                <w:tcPr>
                  <w:tcW w:w="1899" w:type="dxa"/>
                  <w:vAlign w:val="center"/>
                </w:tcPr>
                <w:p w14:paraId="585FB798">
                  <w:pPr>
                    <w:jc w:val="center"/>
                    <w:rPr>
                      <w:bCs/>
                      <w:szCs w:val="21"/>
                      <w:u w:val="single"/>
                    </w:rPr>
                  </w:pPr>
                  <w:r>
                    <w:rPr>
                      <w:rFonts w:hint="eastAsia"/>
                      <w:bCs/>
                      <w:szCs w:val="21"/>
                      <w:u w:val="single"/>
                    </w:rPr>
                    <w:t>RO反渗透工艺，制水规模1t/h</w:t>
                  </w:r>
                </w:p>
              </w:tc>
              <w:tc>
                <w:tcPr>
                  <w:tcW w:w="989" w:type="dxa"/>
                  <w:vAlign w:val="center"/>
                </w:tcPr>
                <w:p w14:paraId="55FF8CF1">
                  <w:pPr>
                    <w:jc w:val="center"/>
                    <w:rPr>
                      <w:bCs/>
                      <w:szCs w:val="21"/>
                      <w:u w:val="single"/>
                    </w:rPr>
                  </w:pPr>
                  <w:r>
                    <w:rPr>
                      <w:rFonts w:hint="eastAsia"/>
                      <w:bCs/>
                      <w:szCs w:val="21"/>
                      <w:u w:val="single"/>
                    </w:rPr>
                    <w:t>1</w:t>
                  </w:r>
                </w:p>
              </w:tc>
              <w:tc>
                <w:tcPr>
                  <w:tcW w:w="1134" w:type="dxa"/>
                  <w:vAlign w:val="center"/>
                </w:tcPr>
                <w:p w14:paraId="32CA6C91">
                  <w:pPr>
                    <w:jc w:val="center"/>
                    <w:rPr>
                      <w:bCs/>
                      <w:szCs w:val="21"/>
                      <w:u w:val="single"/>
                    </w:rPr>
                  </w:pPr>
                  <w:r>
                    <w:rPr>
                      <w:bCs/>
                      <w:szCs w:val="21"/>
                      <w:u w:val="single"/>
                    </w:rPr>
                    <w:t>纯水制备</w:t>
                  </w:r>
                </w:p>
              </w:tc>
              <w:tc>
                <w:tcPr>
                  <w:tcW w:w="1088" w:type="dxa"/>
                  <w:vAlign w:val="center"/>
                </w:tcPr>
                <w:p w14:paraId="6A99FF70">
                  <w:pPr>
                    <w:jc w:val="center"/>
                    <w:rPr>
                      <w:bCs/>
                      <w:szCs w:val="21"/>
                      <w:u w:val="single"/>
                    </w:rPr>
                  </w:pPr>
                  <w:r>
                    <w:rPr>
                      <w:bCs/>
                      <w:szCs w:val="21"/>
                      <w:u w:val="single"/>
                    </w:rPr>
                    <w:t>新增</w:t>
                  </w:r>
                </w:p>
              </w:tc>
            </w:tr>
            <w:tr w14:paraId="590C93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750" w:type="dxa"/>
                  <w:gridSpan w:val="6"/>
                  <w:vAlign w:val="center"/>
                </w:tcPr>
                <w:p w14:paraId="5ADE394F">
                  <w:pPr>
                    <w:jc w:val="center"/>
                    <w:rPr>
                      <w:kern w:val="0"/>
                      <w:szCs w:val="21"/>
                      <w:lang w:bidi="ar"/>
                    </w:rPr>
                  </w:pPr>
                  <w:r>
                    <w:rPr>
                      <w:rFonts w:hint="eastAsia"/>
                      <w:kern w:val="0"/>
                      <w:szCs w:val="21"/>
                      <w:lang w:bidi="ar"/>
                    </w:rPr>
                    <w:t>钢化玻璃生产</w:t>
                  </w:r>
                </w:p>
              </w:tc>
            </w:tr>
            <w:tr w14:paraId="43EF5E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63" w:hRule="atLeast"/>
                <w:jc w:val="center"/>
              </w:trPr>
              <w:tc>
                <w:tcPr>
                  <w:tcW w:w="667" w:type="dxa"/>
                  <w:vAlign w:val="center"/>
                </w:tcPr>
                <w:p w14:paraId="6F6D0D7D">
                  <w:pPr>
                    <w:widowControl/>
                    <w:jc w:val="center"/>
                    <w:textAlignment w:val="center"/>
                    <w:rPr>
                      <w:kern w:val="0"/>
                      <w:szCs w:val="21"/>
                      <w:lang w:bidi="ar"/>
                    </w:rPr>
                  </w:pPr>
                  <w:r>
                    <w:rPr>
                      <w:rFonts w:hint="eastAsia"/>
                      <w:kern w:val="0"/>
                      <w:szCs w:val="21"/>
                      <w:lang w:bidi="ar"/>
                    </w:rPr>
                    <w:t>8</w:t>
                  </w:r>
                </w:p>
              </w:tc>
              <w:tc>
                <w:tcPr>
                  <w:tcW w:w="1973" w:type="dxa"/>
                  <w:vAlign w:val="center"/>
                </w:tcPr>
                <w:p w14:paraId="7B4CEB04">
                  <w:pPr>
                    <w:jc w:val="center"/>
                  </w:pPr>
                  <w:r>
                    <w:rPr>
                      <w:rFonts w:hint="eastAsia"/>
                    </w:rPr>
                    <w:t>钢化炉</w:t>
                  </w:r>
                </w:p>
              </w:tc>
              <w:tc>
                <w:tcPr>
                  <w:tcW w:w="1899" w:type="dxa"/>
                  <w:vAlign w:val="center"/>
                </w:tcPr>
                <w:p w14:paraId="762A2DC1">
                  <w:pPr>
                    <w:jc w:val="center"/>
                    <w:rPr>
                      <w:bCs/>
                      <w:szCs w:val="21"/>
                    </w:rPr>
                  </w:pPr>
                  <w:r>
                    <w:rPr>
                      <w:rFonts w:hint="eastAsia"/>
                      <w:bCs/>
                      <w:szCs w:val="21"/>
                    </w:rPr>
                    <w:t>阅高2440*4200</w:t>
                  </w:r>
                </w:p>
              </w:tc>
              <w:tc>
                <w:tcPr>
                  <w:tcW w:w="989" w:type="dxa"/>
                  <w:vAlign w:val="center"/>
                </w:tcPr>
                <w:p w14:paraId="771AE377">
                  <w:pPr>
                    <w:jc w:val="center"/>
                    <w:rPr>
                      <w:bCs/>
                      <w:szCs w:val="21"/>
                    </w:rPr>
                  </w:pPr>
                  <w:r>
                    <w:rPr>
                      <w:rFonts w:hint="eastAsia"/>
                      <w:bCs/>
                      <w:szCs w:val="21"/>
                    </w:rPr>
                    <w:t>1</w:t>
                  </w:r>
                </w:p>
              </w:tc>
              <w:tc>
                <w:tcPr>
                  <w:tcW w:w="1134" w:type="dxa"/>
                  <w:vAlign w:val="center"/>
                </w:tcPr>
                <w:p w14:paraId="15FB4302">
                  <w:pPr>
                    <w:jc w:val="center"/>
                    <w:rPr>
                      <w:bCs/>
                      <w:szCs w:val="21"/>
                    </w:rPr>
                  </w:pPr>
                  <w:r>
                    <w:rPr>
                      <w:rFonts w:hint="eastAsia"/>
                      <w:bCs/>
                      <w:szCs w:val="21"/>
                    </w:rPr>
                    <w:t>玻璃钢化设备，增加玻璃硬度，电加热</w:t>
                  </w:r>
                </w:p>
              </w:tc>
              <w:tc>
                <w:tcPr>
                  <w:tcW w:w="1088" w:type="dxa"/>
                  <w:vMerge w:val="restart"/>
                  <w:vAlign w:val="center"/>
                </w:tcPr>
                <w:p w14:paraId="0E6AD4AD">
                  <w:pPr>
                    <w:jc w:val="center"/>
                    <w:rPr>
                      <w:bCs/>
                      <w:szCs w:val="21"/>
                    </w:rPr>
                  </w:pPr>
                  <w:r>
                    <w:rPr>
                      <w:rFonts w:hint="eastAsia"/>
                      <w:bCs/>
                      <w:szCs w:val="21"/>
                    </w:rPr>
                    <w:t>依托现有，搬迁至新厂房</w:t>
                  </w:r>
                </w:p>
              </w:tc>
            </w:tr>
            <w:tr w14:paraId="41E1A0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67" w:type="dxa"/>
                  <w:vAlign w:val="center"/>
                </w:tcPr>
                <w:p w14:paraId="05151F60">
                  <w:pPr>
                    <w:widowControl/>
                    <w:jc w:val="center"/>
                    <w:textAlignment w:val="center"/>
                    <w:rPr>
                      <w:kern w:val="0"/>
                      <w:szCs w:val="21"/>
                      <w:lang w:bidi="ar"/>
                    </w:rPr>
                  </w:pPr>
                  <w:r>
                    <w:rPr>
                      <w:rFonts w:hint="eastAsia"/>
                      <w:kern w:val="0"/>
                      <w:szCs w:val="21"/>
                      <w:lang w:bidi="ar"/>
                    </w:rPr>
                    <w:t>9</w:t>
                  </w:r>
                </w:p>
              </w:tc>
              <w:tc>
                <w:tcPr>
                  <w:tcW w:w="1973" w:type="dxa"/>
                  <w:vAlign w:val="center"/>
                </w:tcPr>
                <w:p w14:paraId="2A35D398">
                  <w:pPr>
                    <w:jc w:val="center"/>
                  </w:pPr>
                  <w:r>
                    <w:rPr>
                      <w:rFonts w:hint="eastAsia"/>
                    </w:rPr>
                    <w:t>风机</w:t>
                  </w:r>
                </w:p>
              </w:tc>
              <w:tc>
                <w:tcPr>
                  <w:tcW w:w="1899" w:type="dxa"/>
                  <w:vAlign w:val="center"/>
                </w:tcPr>
                <w:p w14:paraId="15F9DF1B">
                  <w:pPr>
                    <w:jc w:val="center"/>
                    <w:rPr>
                      <w:bCs/>
                      <w:szCs w:val="21"/>
                    </w:rPr>
                  </w:pPr>
                  <w:r>
                    <w:rPr>
                      <w:rFonts w:hint="eastAsia"/>
                      <w:bCs/>
                      <w:szCs w:val="21"/>
                    </w:rPr>
                    <w:t>/</w:t>
                  </w:r>
                </w:p>
              </w:tc>
              <w:tc>
                <w:tcPr>
                  <w:tcW w:w="989" w:type="dxa"/>
                  <w:vAlign w:val="center"/>
                </w:tcPr>
                <w:p w14:paraId="494014EA">
                  <w:pPr>
                    <w:jc w:val="center"/>
                    <w:rPr>
                      <w:bCs/>
                      <w:szCs w:val="21"/>
                    </w:rPr>
                  </w:pPr>
                  <w:r>
                    <w:rPr>
                      <w:rFonts w:hint="eastAsia"/>
                      <w:bCs/>
                      <w:szCs w:val="21"/>
                    </w:rPr>
                    <w:t>1</w:t>
                  </w:r>
                </w:p>
              </w:tc>
              <w:tc>
                <w:tcPr>
                  <w:tcW w:w="1134" w:type="dxa"/>
                  <w:vAlign w:val="center"/>
                </w:tcPr>
                <w:p w14:paraId="6467A8CB">
                  <w:pPr>
                    <w:jc w:val="center"/>
                    <w:rPr>
                      <w:bCs/>
                      <w:szCs w:val="21"/>
                    </w:rPr>
                  </w:pPr>
                  <w:r>
                    <w:rPr>
                      <w:rFonts w:hint="eastAsia"/>
                      <w:bCs/>
                      <w:szCs w:val="21"/>
                    </w:rPr>
                    <w:t>钢化后降温</w:t>
                  </w:r>
                </w:p>
              </w:tc>
              <w:tc>
                <w:tcPr>
                  <w:tcW w:w="1088" w:type="dxa"/>
                  <w:vMerge w:val="continue"/>
                  <w:vAlign w:val="center"/>
                </w:tcPr>
                <w:p w14:paraId="71C5B0C3">
                  <w:pPr>
                    <w:jc w:val="center"/>
                    <w:rPr>
                      <w:bCs/>
                      <w:szCs w:val="21"/>
                    </w:rPr>
                  </w:pPr>
                </w:p>
              </w:tc>
            </w:tr>
            <w:tr w14:paraId="0D6E95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67" w:type="dxa"/>
                  <w:vAlign w:val="center"/>
                </w:tcPr>
                <w:p w14:paraId="7799EBC3">
                  <w:pPr>
                    <w:widowControl/>
                    <w:jc w:val="center"/>
                    <w:textAlignment w:val="center"/>
                    <w:rPr>
                      <w:kern w:val="0"/>
                      <w:szCs w:val="21"/>
                      <w:lang w:bidi="ar"/>
                    </w:rPr>
                  </w:pPr>
                  <w:r>
                    <w:rPr>
                      <w:rFonts w:hint="eastAsia"/>
                      <w:kern w:val="0"/>
                      <w:szCs w:val="21"/>
                      <w:lang w:bidi="ar"/>
                    </w:rPr>
                    <w:t>10</w:t>
                  </w:r>
                </w:p>
              </w:tc>
              <w:tc>
                <w:tcPr>
                  <w:tcW w:w="1973" w:type="dxa"/>
                  <w:vAlign w:val="center"/>
                </w:tcPr>
                <w:p w14:paraId="4CDF66BF">
                  <w:pPr>
                    <w:jc w:val="center"/>
                  </w:pPr>
                  <w:r>
                    <w:rPr>
                      <w:rFonts w:hint="eastAsia"/>
                    </w:rPr>
                    <w:t>空压机</w:t>
                  </w:r>
                </w:p>
              </w:tc>
              <w:tc>
                <w:tcPr>
                  <w:tcW w:w="1899" w:type="dxa"/>
                  <w:vAlign w:val="center"/>
                </w:tcPr>
                <w:p w14:paraId="1104CC12">
                  <w:pPr>
                    <w:jc w:val="center"/>
                    <w:rPr>
                      <w:bCs/>
                      <w:szCs w:val="21"/>
                    </w:rPr>
                  </w:pPr>
                  <w:r>
                    <w:rPr>
                      <w:rFonts w:hint="eastAsia"/>
                      <w:bCs/>
                      <w:szCs w:val="21"/>
                    </w:rPr>
                    <w:t>SD22</w:t>
                  </w:r>
                </w:p>
              </w:tc>
              <w:tc>
                <w:tcPr>
                  <w:tcW w:w="989" w:type="dxa"/>
                  <w:vAlign w:val="center"/>
                </w:tcPr>
                <w:p w14:paraId="7DB9E911">
                  <w:pPr>
                    <w:jc w:val="center"/>
                    <w:rPr>
                      <w:bCs/>
                      <w:szCs w:val="21"/>
                    </w:rPr>
                  </w:pPr>
                  <w:r>
                    <w:rPr>
                      <w:rFonts w:hint="eastAsia"/>
                      <w:bCs/>
                      <w:szCs w:val="21"/>
                    </w:rPr>
                    <w:t>1</w:t>
                  </w:r>
                </w:p>
              </w:tc>
              <w:tc>
                <w:tcPr>
                  <w:tcW w:w="1134" w:type="dxa"/>
                  <w:vAlign w:val="center"/>
                </w:tcPr>
                <w:p w14:paraId="3633F92F">
                  <w:pPr>
                    <w:jc w:val="center"/>
                    <w:rPr>
                      <w:bCs/>
                      <w:szCs w:val="21"/>
                    </w:rPr>
                  </w:pPr>
                  <w:r>
                    <w:rPr>
                      <w:rFonts w:hint="eastAsia"/>
                      <w:bCs/>
                      <w:szCs w:val="21"/>
                    </w:rPr>
                    <w:t>/</w:t>
                  </w:r>
                </w:p>
              </w:tc>
              <w:tc>
                <w:tcPr>
                  <w:tcW w:w="1088" w:type="dxa"/>
                  <w:vMerge w:val="continue"/>
                  <w:vAlign w:val="center"/>
                </w:tcPr>
                <w:p w14:paraId="2648A1C3">
                  <w:pPr>
                    <w:jc w:val="center"/>
                    <w:rPr>
                      <w:bCs/>
                      <w:szCs w:val="21"/>
                    </w:rPr>
                  </w:pPr>
                </w:p>
              </w:tc>
            </w:tr>
            <w:tr w14:paraId="0C64AB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750" w:type="dxa"/>
                  <w:gridSpan w:val="6"/>
                  <w:vAlign w:val="center"/>
                </w:tcPr>
                <w:p w14:paraId="2A156484">
                  <w:pPr>
                    <w:jc w:val="center"/>
                    <w:rPr>
                      <w:bCs/>
                      <w:szCs w:val="21"/>
                    </w:rPr>
                  </w:pPr>
                  <w:r>
                    <w:rPr>
                      <w:bCs/>
                      <w:szCs w:val="21"/>
                    </w:rPr>
                    <w:t>中空玻璃生产</w:t>
                  </w:r>
                </w:p>
              </w:tc>
            </w:tr>
            <w:tr w14:paraId="071D6E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 w:hRule="atLeast"/>
                <w:jc w:val="center"/>
              </w:trPr>
              <w:tc>
                <w:tcPr>
                  <w:tcW w:w="667" w:type="dxa"/>
                  <w:vAlign w:val="center"/>
                </w:tcPr>
                <w:p w14:paraId="4B8B4DB1">
                  <w:pPr>
                    <w:widowControl/>
                    <w:jc w:val="center"/>
                    <w:textAlignment w:val="center"/>
                    <w:rPr>
                      <w:kern w:val="0"/>
                      <w:szCs w:val="21"/>
                      <w:lang w:bidi="ar"/>
                    </w:rPr>
                  </w:pPr>
                  <w:r>
                    <w:rPr>
                      <w:rFonts w:hint="eastAsia"/>
                      <w:kern w:val="0"/>
                      <w:szCs w:val="21"/>
                      <w:lang w:bidi="ar"/>
                    </w:rPr>
                    <w:t>11</w:t>
                  </w:r>
                </w:p>
              </w:tc>
              <w:tc>
                <w:tcPr>
                  <w:tcW w:w="1973" w:type="dxa"/>
                  <w:vAlign w:val="center"/>
                </w:tcPr>
                <w:p w14:paraId="7FE5A774">
                  <w:pPr>
                    <w:jc w:val="center"/>
                    <w:rPr>
                      <w:szCs w:val="21"/>
                    </w:rPr>
                  </w:pPr>
                  <w:r>
                    <w:rPr>
                      <w:szCs w:val="21"/>
                    </w:rPr>
                    <w:t>全自动中空玻璃机</w:t>
                  </w:r>
                </w:p>
              </w:tc>
              <w:tc>
                <w:tcPr>
                  <w:tcW w:w="1899" w:type="dxa"/>
                  <w:vAlign w:val="center"/>
                </w:tcPr>
                <w:p w14:paraId="78440F95">
                  <w:pPr>
                    <w:jc w:val="center"/>
                    <w:rPr>
                      <w:bCs/>
                      <w:szCs w:val="21"/>
                    </w:rPr>
                  </w:pPr>
                  <w:r>
                    <w:rPr>
                      <w:bCs/>
                      <w:szCs w:val="21"/>
                    </w:rPr>
                    <w:t>2500mm*2000mm</w:t>
                  </w:r>
                </w:p>
              </w:tc>
              <w:tc>
                <w:tcPr>
                  <w:tcW w:w="989" w:type="dxa"/>
                  <w:vAlign w:val="center"/>
                </w:tcPr>
                <w:p w14:paraId="79EF0AB0">
                  <w:pPr>
                    <w:jc w:val="center"/>
                    <w:rPr>
                      <w:bCs/>
                      <w:szCs w:val="21"/>
                    </w:rPr>
                  </w:pPr>
                  <w:r>
                    <w:rPr>
                      <w:rFonts w:hint="eastAsia"/>
                      <w:bCs/>
                      <w:szCs w:val="21"/>
                    </w:rPr>
                    <w:t>2</w:t>
                  </w:r>
                </w:p>
              </w:tc>
              <w:tc>
                <w:tcPr>
                  <w:tcW w:w="1134" w:type="dxa"/>
                  <w:vAlign w:val="center"/>
                </w:tcPr>
                <w:p w14:paraId="5F7AD340">
                  <w:pPr>
                    <w:jc w:val="center"/>
                    <w:rPr>
                      <w:bCs/>
                      <w:szCs w:val="21"/>
                    </w:rPr>
                  </w:pPr>
                  <w:r>
                    <w:rPr>
                      <w:rFonts w:hint="eastAsia"/>
                      <w:bCs/>
                      <w:szCs w:val="21"/>
                    </w:rPr>
                    <w:t>中空打胶一体设备</w:t>
                  </w:r>
                </w:p>
              </w:tc>
              <w:tc>
                <w:tcPr>
                  <w:tcW w:w="1088" w:type="dxa"/>
                  <w:vAlign w:val="center"/>
                </w:tcPr>
                <w:p w14:paraId="43C6CEFE">
                  <w:pPr>
                    <w:jc w:val="center"/>
                    <w:rPr>
                      <w:rFonts w:hint="eastAsia" w:eastAsia="宋体"/>
                      <w:bCs/>
                      <w:szCs w:val="21"/>
                      <w:lang w:val="en-US" w:eastAsia="zh-CN"/>
                    </w:rPr>
                  </w:pPr>
                  <w:r>
                    <w:rPr>
                      <w:rFonts w:hint="eastAsia"/>
                      <w:bCs/>
                      <w:szCs w:val="21"/>
                    </w:rPr>
                    <w:t>1台依托现有，搬迁至新厂房，新增1台</w:t>
                  </w:r>
                  <w:r>
                    <w:rPr>
                      <w:rFonts w:hint="eastAsia"/>
                      <w:bCs/>
                      <w:szCs w:val="21"/>
                      <w:lang w:val="en-US" w:eastAsia="zh-CN"/>
                    </w:rPr>
                    <w:t>*</w:t>
                  </w:r>
                </w:p>
              </w:tc>
            </w:tr>
            <w:tr w14:paraId="78016B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67" w:type="dxa"/>
                  <w:vAlign w:val="center"/>
                </w:tcPr>
                <w:p w14:paraId="0B90F0B1">
                  <w:pPr>
                    <w:widowControl/>
                    <w:jc w:val="center"/>
                    <w:textAlignment w:val="center"/>
                    <w:rPr>
                      <w:kern w:val="0"/>
                      <w:szCs w:val="21"/>
                      <w:lang w:bidi="ar"/>
                    </w:rPr>
                  </w:pPr>
                  <w:r>
                    <w:rPr>
                      <w:rFonts w:hint="eastAsia"/>
                      <w:kern w:val="0"/>
                      <w:szCs w:val="21"/>
                      <w:lang w:bidi="ar"/>
                    </w:rPr>
                    <w:t>12</w:t>
                  </w:r>
                </w:p>
              </w:tc>
              <w:tc>
                <w:tcPr>
                  <w:tcW w:w="1973" w:type="dxa"/>
                  <w:vAlign w:val="center"/>
                </w:tcPr>
                <w:p w14:paraId="5D47410A">
                  <w:pPr>
                    <w:jc w:val="center"/>
                  </w:pPr>
                  <w:r>
                    <w:rPr>
                      <w:rFonts w:hint="eastAsia" w:ascii="宋体" w:hAnsi="宋体"/>
                    </w:rPr>
                    <w:t>铝条折弯机</w:t>
                  </w:r>
                </w:p>
              </w:tc>
              <w:tc>
                <w:tcPr>
                  <w:tcW w:w="1899" w:type="dxa"/>
                  <w:vAlign w:val="center"/>
                </w:tcPr>
                <w:p w14:paraId="381A3443">
                  <w:pPr>
                    <w:jc w:val="center"/>
                    <w:rPr>
                      <w:bCs/>
                      <w:szCs w:val="21"/>
                    </w:rPr>
                  </w:pPr>
                  <w:r>
                    <w:rPr>
                      <w:rFonts w:hint="eastAsia"/>
                      <w:bCs/>
                      <w:szCs w:val="21"/>
                    </w:rPr>
                    <w:t>SBM</w:t>
                  </w:r>
                </w:p>
              </w:tc>
              <w:tc>
                <w:tcPr>
                  <w:tcW w:w="989" w:type="dxa"/>
                  <w:vAlign w:val="center"/>
                </w:tcPr>
                <w:p w14:paraId="3E350526">
                  <w:pPr>
                    <w:jc w:val="center"/>
                    <w:rPr>
                      <w:bCs/>
                      <w:szCs w:val="21"/>
                    </w:rPr>
                  </w:pPr>
                  <w:r>
                    <w:rPr>
                      <w:rFonts w:hint="eastAsia"/>
                      <w:bCs/>
                      <w:szCs w:val="21"/>
                    </w:rPr>
                    <w:t>1</w:t>
                  </w:r>
                </w:p>
              </w:tc>
              <w:tc>
                <w:tcPr>
                  <w:tcW w:w="1134" w:type="dxa"/>
                  <w:vAlign w:val="center"/>
                </w:tcPr>
                <w:p w14:paraId="5A653C64">
                  <w:pPr>
                    <w:jc w:val="center"/>
                    <w:rPr>
                      <w:bCs/>
                      <w:szCs w:val="21"/>
                    </w:rPr>
                  </w:pPr>
                  <w:r>
                    <w:rPr>
                      <w:rFonts w:hint="eastAsia"/>
                      <w:bCs/>
                      <w:szCs w:val="21"/>
                    </w:rPr>
                    <w:t>折弯</w:t>
                  </w:r>
                </w:p>
              </w:tc>
              <w:tc>
                <w:tcPr>
                  <w:tcW w:w="1088" w:type="dxa"/>
                  <w:vMerge w:val="restart"/>
                  <w:vAlign w:val="center"/>
                </w:tcPr>
                <w:p w14:paraId="531C6CFB">
                  <w:pPr>
                    <w:jc w:val="center"/>
                    <w:rPr>
                      <w:bCs/>
                      <w:szCs w:val="21"/>
                    </w:rPr>
                  </w:pPr>
                  <w:r>
                    <w:rPr>
                      <w:rFonts w:hint="eastAsia"/>
                      <w:bCs/>
                      <w:szCs w:val="21"/>
                    </w:rPr>
                    <w:t>依托现有，搬迁至新厂房</w:t>
                  </w:r>
                </w:p>
              </w:tc>
            </w:tr>
            <w:tr w14:paraId="54C7E1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67" w:type="dxa"/>
                  <w:vAlign w:val="center"/>
                </w:tcPr>
                <w:p w14:paraId="68E6C8EB">
                  <w:pPr>
                    <w:widowControl/>
                    <w:jc w:val="center"/>
                    <w:textAlignment w:val="center"/>
                    <w:rPr>
                      <w:kern w:val="0"/>
                      <w:szCs w:val="21"/>
                      <w:lang w:bidi="ar"/>
                    </w:rPr>
                  </w:pPr>
                  <w:r>
                    <w:rPr>
                      <w:rFonts w:hint="eastAsia"/>
                      <w:kern w:val="0"/>
                      <w:szCs w:val="21"/>
                      <w:lang w:bidi="ar"/>
                    </w:rPr>
                    <w:t>13</w:t>
                  </w:r>
                </w:p>
              </w:tc>
              <w:tc>
                <w:tcPr>
                  <w:tcW w:w="1973" w:type="dxa"/>
                  <w:vAlign w:val="center"/>
                </w:tcPr>
                <w:p w14:paraId="2F817CAA">
                  <w:pPr>
                    <w:jc w:val="center"/>
                    <w:rPr>
                      <w:szCs w:val="21"/>
                    </w:rPr>
                  </w:pPr>
                  <w:r>
                    <w:rPr>
                      <w:szCs w:val="21"/>
                    </w:rPr>
                    <w:t>灌装机</w:t>
                  </w:r>
                </w:p>
              </w:tc>
              <w:tc>
                <w:tcPr>
                  <w:tcW w:w="1899" w:type="dxa"/>
                  <w:vAlign w:val="center"/>
                </w:tcPr>
                <w:p w14:paraId="6C26A929">
                  <w:pPr>
                    <w:jc w:val="center"/>
                    <w:rPr>
                      <w:bCs/>
                      <w:szCs w:val="21"/>
                    </w:rPr>
                  </w:pPr>
                  <w:r>
                    <w:rPr>
                      <w:rFonts w:hint="eastAsia"/>
                      <w:bCs/>
                      <w:szCs w:val="21"/>
                    </w:rPr>
                    <w:t>EMSF-S</w:t>
                  </w:r>
                </w:p>
              </w:tc>
              <w:tc>
                <w:tcPr>
                  <w:tcW w:w="989" w:type="dxa"/>
                  <w:vAlign w:val="center"/>
                </w:tcPr>
                <w:p w14:paraId="33AE712F">
                  <w:pPr>
                    <w:jc w:val="center"/>
                    <w:rPr>
                      <w:bCs/>
                      <w:szCs w:val="21"/>
                    </w:rPr>
                  </w:pPr>
                  <w:r>
                    <w:rPr>
                      <w:rFonts w:hint="eastAsia"/>
                      <w:bCs/>
                      <w:szCs w:val="21"/>
                    </w:rPr>
                    <w:t>1</w:t>
                  </w:r>
                </w:p>
              </w:tc>
              <w:tc>
                <w:tcPr>
                  <w:tcW w:w="1134" w:type="dxa"/>
                  <w:vAlign w:val="center"/>
                </w:tcPr>
                <w:p w14:paraId="5701517B">
                  <w:pPr>
                    <w:jc w:val="center"/>
                    <w:rPr>
                      <w:bCs/>
                      <w:szCs w:val="21"/>
                    </w:rPr>
                  </w:pPr>
                  <w:r>
                    <w:rPr>
                      <w:bCs/>
                      <w:szCs w:val="21"/>
                    </w:rPr>
                    <w:t>灌装</w:t>
                  </w:r>
                  <w:r>
                    <w:rPr>
                      <w:rFonts w:hint="eastAsia"/>
                      <w:bCs/>
                      <w:szCs w:val="21"/>
                    </w:rPr>
                    <w:t>干燥剂</w:t>
                  </w:r>
                </w:p>
              </w:tc>
              <w:tc>
                <w:tcPr>
                  <w:tcW w:w="1088" w:type="dxa"/>
                  <w:vMerge w:val="continue"/>
                  <w:vAlign w:val="center"/>
                </w:tcPr>
                <w:p w14:paraId="7BFA46DF">
                  <w:pPr>
                    <w:jc w:val="center"/>
                    <w:rPr>
                      <w:bCs/>
                      <w:szCs w:val="21"/>
                    </w:rPr>
                  </w:pPr>
                </w:p>
              </w:tc>
            </w:tr>
            <w:tr w14:paraId="4DE78F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67" w:type="dxa"/>
                  <w:vAlign w:val="center"/>
                </w:tcPr>
                <w:p w14:paraId="412B4850">
                  <w:pPr>
                    <w:widowControl/>
                    <w:jc w:val="center"/>
                    <w:textAlignment w:val="center"/>
                    <w:rPr>
                      <w:kern w:val="0"/>
                      <w:szCs w:val="21"/>
                      <w:lang w:bidi="ar"/>
                    </w:rPr>
                  </w:pPr>
                  <w:r>
                    <w:rPr>
                      <w:rFonts w:hint="eastAsia"/>
                      <w:kern w:val="0"/>
                      <w:szCs w:val="21"/>
                      <w:lang w:bidi="ar"/>
                    </w:rPr>
                    <w:t>14</w:t>
                  </w:r>
                </w:p>
              </w:tc>
              <w:tc>
                <w:tcPr>
                  <w:tcW w:w="1973" w:type="dxa"/>
                  <w:vAlign w:val="center"/>
                </w:tcPr>
                <w:p w14:paraId="7AF620DC">
                  <w:pPr>
                    <w:jc w:val="center"/>
                    <w:rPr>
                      <w:szCs w:val="21"/>
                    </w:rPr>
                  </w:pPr>
                  <w:r>
                    <w:rPr>
                      <w:szCs w:val="21"/>
                    </w:rPr>
                    <w:t>铝框输送机</w:t>
                  </w:r>
                </w:p>
              </w:tc>
              <w:tc>
                <w:tcPr>
                  <w:tcW w:w="1899" w:type="dxa"/>
                  <w:vAlign w:val="center"/>
                </w:tcPr>
                <w:p w14:paraId="36384F56">
                  <w:pPr>
                    <w:jc w:val="center"/>
                    <w:rPr>
                      <w:bCs/>
                      <w:szCs w:val="21"/>
                    </w:rPr>
                  </w:pPr>
                  <w:r>
                    <w:rPr>
                      <w:rFonts w:hint="eastAsia"/>
                      <w:bCs/>
                      <w:szCs w:val="21"/>
                    </w:rPr>
                    <w:t>/</w:t>
                  </w:r>
                </w:p>
              </w:tc>
              <w:tc>
                <w:tcPr>
                  <w:tcW w:w="989" w:type="dxa"/>
                  <w:vAlign w:val="center"/>
                </w:tcPr>
                <w:p w14:paraId="1A618D72">
                  <w:pPr>
                    <w:jc w:val="center"/>
                    <w:rPr>
                      <w:bCs/>
                      <w:szCs w:val="21"/>
                    </w:rPr>
                  </w:pPr>
                  <w:r>
                    <w:rPr>
                      <w:rFonts w:hint="eastAsia"/>
                      <w:bCs/>
                      <w:szCs w:val="21"/>
                    </w:rPr>
                    <w:t>1</w:t>
                  </w:r>
                </w:p>
              </w:tc>
              <w:tc>
                <w:tcPr>
                  <w:tcW w:w="1134" w:type="dxa"/>
                  <w:vAlign w:val="center"/>
                </w:tcPr>
                <w:p w14:paraId="436C7FA3">
                  <w:pPr>
                    <w:jc w:val="center"/>
                    <w:rPr>
                      <w:bCs/>
                      <w:szCs w:val="21"/>
                    </w:rPr>
                  </w:pPr>
                  <w:r>
                    <w:rPr>
                      <w:rFonts w:hint="eastAsia"/>
                      <w:bCs/>
                      <w:szCs w:val="21"/>
                    </w:rPr>
                    <w:t>输送</w:t>
                  </w:r>
                </w:p>
              </w:tc>
              <w:tc>
                <w:tcPr>
                  <w:tcW w:w="1088" w:type="dxa"/>
                  <w:vMerge w:val="continue"/>
                  <w:vAlign w:val="center"/>
                </w:tcPr>
                <w:p w14:paraId="76E96100">
                  <w:pPr>
                    <w:jc w:val="center"/>
                    <w:rPr>
                      <w:bCs/>
                      <w:szCs w:val="21"/>
                    </w:rPr>
                  </w:pPr>
                </w:p>
              </w:tc>
            </w:tr>
            <w:tr w14:paraId="14FC86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750" w:type="dxa"/>
                  <w:gridSpan w:val="6"/>
                  <w:vAlign w:val="center"/>
                </w:tcPr>
                <w:p w14:paraId="30579871">
                  <w:pPr>
                    <w:jc w:val="center"/>
                    <w:rPr>
                      <w:bCs/>
                      <w:szCs w:val="21"/>
                    </w:rPr>
                  </w:pPr>
                  <w:r>
                    <w:rPr>
                      <w:bCs/>
                      <w:szCs w:val="21"/>
                    </w:rPr>
                    <w:t>配套设施</w:t>
                  </w:r>
                </w:p>
              </w:tc>
            </w:tr>
            <w:tr w14:paraId="6FA4B0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667" w:type="dxa"/>
                  <w:vAlign w:val="center"/>
                </w:tcPr>
                <w:p w14:paraId="2806C3E9">
                  <w:pPr>
                    <w:widowControl/>
                    <w:jc w:val="center"/>
                    <w:textAlignment w:val="center"/>
                    <w:rPr>
                      <w:kern w:val="0"/>
                      <w:szCs w:val="21"/>
                      <w:lang w:bidi="ar"/>
                    </w:rPr>
                  </w:pPr>
                  <w:r>
                    <w:rPr>
                      <w:rFonts w:hint="eastAsia"/>
                      <w:kern w:val="0"/>
                      <w:szCs w:val="21"/>
                      <w:lang w:bidi="ar"/>
                    </w:rPr>
                    <w:t>15</w:t>
                  </w:r>
                </w:p>
              </w:tc>
              <w:tc>
                <w:tcPr>
                  <w:tcW w:w="1973" w:type="dxa"/>
                  <w:vAlign w:val="center"/>
                </w:tcPr>
                <w:p w14:paraId="6F8E659A">
                  <w:pPr>
                    <w:jc w:val="center"/>
                    <w:rPr>
                      <w:szCs w:val="21"/>
                    </w:rPr>
                  </w:pPr>
                  <w:r>
                    <w:rPr>
                      <w:szCs w:val="21"/>
                    </w:rPr>
                    <w:t>水泵</w:t>
                  </w:r>
                </w:p>
              </w:tc>
              <w:tc>
                <w:tcPr>
                  <w:tcW w:w="1899" w:type="dxa"/>
                  <w:vAlign w:val="center"/>
                </w:tcPr>
                <w:p w14:paraId="21B74548">
                  <w:pPr>
                    <w:jc w:val="center"/>
                    <w:rPr>
                      <w:bCs/>
                      <w:szCs w:val="21"/>
                    </w:rPr>
                  </w:pPr>
                  <w:r>
                    <w:rPr>
                      <w:rFonts w:hint="eastAsia"/>
                      <w:bCs/>
                      <w:szCs w:val="21"/>
                    </w:rPr>
                    <w:t>/</w:t>
                  </w:r>
                </w:p>
              </w:tc>
              <w:tc>
                <w:tcPr>
                  <w:tcW w:w="989" w:type="dxa"/>
                  <w:vAlign w:val="center"/>
                </w:tcPr>
                <w:p w14:paraId="50C4A3C2">
                  <w:pPr>
                    <w:jc w:val="center"/>
                    <w:rPr>
                      <w:bCs/>
                      <w:szCs w:val="21"/>
                    </w:rPr>
                  </w:pPr>
                  <w:r>
                    <w:rPr>
                      <w:rFonts w:hint="eastAsia"/>
                      <w:bCs/>
                      <w:szCs w:val="21"/>
                    </w:rPr>
                    <w:t>2</w:t>
                  </w:r>
                </w:p>
              </w:tc>
              <w:tc>
                <w:tcPr>
                  <w:tcW w:w="1134" w:type="dxa"/>
                  <w:vAlign w:val="center"/>
                </w:tcPr>
                <w:p w14:paraId="70651C80">
                  <w:pPr>
                    <w:jc w:val="center"/>
                    <w:rPr>
                      <w:bCs/>
                      <w:szCs w:val="21"/>
                    </w:rPr>
                  </w:pPr>
                  <w:r>
                    <w:rPr>
                      <w:rFonts w:hint="eastAsia"/>
                      <w:bCs/>
                      <w:szCs w:val="21"/>
                    </w:rPr>
                    <w:t>/</w:t>
                  </w:r>
                </w:p>
              </w:tc>
              <w:tc>
                <w:tcPr>
                  <w:tcW w:w="1088" w:type="dxa"/>
                  <w:vMerge w:val="restart"/>
                  <w:vAlign w:val="center"/>
                </w:tcPr>
                <w:p w14:paraId="2EBAD054">
                  <w:pPr>
                    <w:jc w:val="center"/>
                    <w:rPr>
                      <w:bCs/>
                      <w:szCs w:val="21"/>
                    </w:rPr>
                  </w:pPr>
                  <w:r>
                    <w:rPr>
                      <w:rFonts w:hint="eastAsia"/>
                      <w:bCs/>
                      <w:szCs w:val="21"/>
                    </w:rPr>
                    <w:t>依托现有，搬迁至新厂房</w:t>
                  </w:r>
                </w:p>
              </w:tc>
            </w:tr>
            <w:tr w14:paraId="77A866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67" w:type="dxa"/>
                  <w:vAlign w:val="center"/>
                </w:tcPr>
                <w:p w14:paraId="222F37C7">
                  <w:pPr>
                    <w:widowControl/>
                    <w:jc w:val="center"/>
                    <w:textAlignment w:val="center"/>
                    <w:rPr>
                      <w:kern w:val="0"/>
                      <w:szCs w:val="21"/>
                      <w:lang w:bidi="ar"/>
                    </w:rPr>
                  </w:pPr>
                  <w:r>
                    <w:rPr>
                      <w:rFonts w:hint="eastAsia"/>
                      <w:kern w:val="0"/>
                      <w:szCs w:val="21"/>
                      <w:lang w:bidi="ar"/>
                    </w:rPr>
                    <w:t>16</w:t>
                  </w:r>
                </w:p>
              </w:tc>
              <w:tc>
                <w:tcPr>
                  <w:tcW w:w="1973" w:type="dxa"/>
                  <w:vAlign w:val="center"/>
                </w:tcPr>
                <w:p w14:paraId="4DE3AB9A">
                  <w:pPr>
                    <w:jc w:val="center"/>
                    <w:rPr>
                      <w:szCs w:val="21"/>
                    </w:rPr>
                  </w:pPr>
                  <w:r>
                    <w:rPr>
                      <w:szCs w:val="21"/>
                    </w:rPr>
                    <w:t>储气罐</w:t>
                  </w:r>
                </w:p>
              </w:tc>
              <w:tc>
                <w:tcPr>
                  <w:tcW w:w="1899" w:type="dxa"/>
                  <w:vAlign w:val="center"/>
                </w:tcPr>
                <w:p w14:paraId="49B78AFA">
                  <w:pPr>
                    <w:jc w:val="center"/>
                    <w:rPr>
                      <w:bCs/>
                      <w:szCs w:val="21"/>
                    </w:rPr>
                  </w:pPr>
                  <w:r>
                    <w:rPr>
                      <w:rFonts w:hint="eastAsia"/>
                      <w:bCs/>
                      <w:szCs w:val="21"/>
                    </w:rPr>
                    <w:t>/</w:t>
                  </w:r>
                </w:p>
              </w:tc>
              <w:tc>
                <w:tcPr>
                  <w:tcW w:w="989" w:type="dxa"/>
                  <w:vAlign w:val="center"/>
                </w:tcPr>
                <w:p w14:paraId="2051C106">
                  <w:pPr>
                    <w:jc w:val="center"/>
                    <w:rPr>
                      <w:bCs/>
                      <w:szCs w:val="21"/>
                    </w:rPr>
                  </w:pPr>
                  <w:r>
                    <w:rPr>
                      <w:rFonts w:hint="eastAsia"/>
                      <w:bCs/>
                      <w:szCs w:val="21"/>
                    </w:rPr>
                    <w:t>1</w:t>
                  </w:r>
                </w:p>
              </w:tc>
              <w:tc>
                <w:tcPr>
                  <w:tcW w:w="1134" w:type="dxa"/>
                  <w:vAlign w:val="center"/>
                </w:tcPr>
                <w:p w14:paraId="663D376C">
                  <w:pPr>
                    <w:jc w:val="center"/>
                    <w:rPr>
                      <w:bCs/>
                      <w:szCs w:val="21"/>
                    </w:rPr>
                  </w:pPr>
                  <w:r>
                    <w:rPr>
                      <w:bCs/>
                      <w:szCs w:val="21"/>
                    </w:rPr>
                    <w:t>储存压缩气体</w:t>
                  </w:r>
                </w:p>
              </w:tc>
              <w:tc>
                <w:tcPr>
                  <w:tcW w:w="1088" w:type="dxa"/>
                  <w:vMerge w:val="continue"/>
                  <w:vAlign w:val="center"/>
                </w:tcPr>
                <w:p w14:paraId="6CDF170A">
                  <w:pPr>
                    <w:jc w:val="center"/>
                    <w:rPr>
                      <w:bCs/>
                      <w:szCs w:val="21"/>
                    </w:rPr>
                  </w:pPr>
                </w:p>
              </w:tc>
            </w:tr>
          </w:tbl>
          <w:p w14:paraId="519BDB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b w:val="0"/>
                <w:bCs/>
                <w:sz w:val="21"/>
                <w:szCs w:val="21"/>
                <w:u w:val="single"/>
                <w:lang w:val="en-US" w:eastAsia="zh-CN"/>
              </w:rPr>
            </w:pPr>
            <w:r>
              <w:rPr>
                <w:rFonts w:hint="eastAsia"/>
                <w:b w:val="0"/>
                <w:bCs/>
                <w:sz w:val="21"/>
                <w:szCs w:val="21"/>
                <w:u w:val="single"/>
                <w:lang w:val="en-US" w:eastAsia="zh-CN"/>
              </w:rPr>
              <w:t>*注：本项目搬迁后新增1台中空玻璃机，原有项目工作制为每天两班制，每班8h，本项目工作制为每天一班制，每班8h，故中空玻璃产能未增加。</w:t>
            </w:r>
          </w:p>
          <w:p w14:paraId="36697084">
            <w:pPr>
              <w:spacing w:line="360" w:lineRule="auto"/>
              <w:ind w:firstLine="482" w:firstLineChars="200"/>
              <w:rPr>
                <w:b/>
                <w:sz w:val="24"/>
              </w:rPr>
            </w:pPr>
            <w:r>
              <w:rPr>
                <w:rFonts w:hint="eastAsia"/>
                <w:b/>
                <w:sz w:val="24"/>
              </w:rPr>
              <w:t>5、</w:t>
            </w:r>
            <w:r>
              <w:rPr>
                <w:b/>
                <w:sz w:val="24"/>
              </w:rPr>
              <w:t>主要原辅材料及能源消耗</w:t>
            </w:r>
          </w:p>
          <w:p w14:paraId="09DF1A8C">
            <w:pPr>
              <w:pStyle w:val="8"/>
              <w:rPr>
                <w:color w:val="auto"/>
              </w:rPr>
            </w:pPr>
            <w:r>
              <w:rPr>
                <w:rFonts w:hint="eastAsia"/>
                <w:color w:val="auto"/>
              </w:rPr>
              <w:t>本项目</w:t>
            </w:r>
            <w:r>
              <w:rPr>
                <w:color w:val="auto"/>
              </w:rPr>
              <w:t>主要原辅材料及能源消耗情况见下表。</w:t>
            </w:r>
          </w:p>
          <w:p w14:paraId="7DCD95AE">
            <w:pPr>
              <w:pStyle w:val="137"/>
              <w:numPr>
                <w:ilvl w:val="0"/>
                <w:numId w:val="4"/>
              </w:numPr>
              <w:spacing w:line="360" w:lineRule="auto"/>
              <w:ind w:firstLineChars="0"/>
              <w:jc w:val="center"/>
              <w:rPr>
                <w:b/>
                <w:bCs/>
                <w:szCs w:val="21"/>
              </w:rPr>
            </w:pPr>
            <w:r>
              <w:rPr>
                <w:rFonts w:hint="eastAsia"/>
                <w:b/>
                <w:bCs/>
                <w:szCs w:val="21"/>
              </w:rPr>
              <w:t>本项目</w:t>
            </w:r>
            <w:r>
              <w:rPr>
                <w:b/>
                <w:bCs/>
                <w:szCs w:val="21"/>
              </w:rPr>
              <w:t>主要原辅材料及</w:t>
            </w:r>
            <w:r>
              <w:rPr>
                <w:rFonts w:hint="eastAsia"/>
                <w:b/>
                <w:bCs/>
                <w:szCs w:val="21"/>
              </w:rPr>
              <w:t>能源消耗</w:t>
            </w:r>
            <w:r>
              <w:rPr>
                <w:b/>
                <w:bCs/>
                <w:szCs w:val="21"/>
              </w:rPr>
              <w:t>一览表</w:t>
            </w:r>
          </w:p>
          <w:tbl>
            <w:tblPr>
              <w:tblStyle w:val="38"/>
              <w:tblW w:w="7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2131"/>
              <w:gridCol w:w="1278"/>
              <w:gridCol w:w="16"/>
              <w:gridCol w:w="1263"/>
              <w:gridCol w:w="2268"/>
            </w:tblGrid>
            <w:tr w14:paraId="293D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590" w:type="pct"/>
                  <w:vMerge w:val="restart"/>
                  <w:tcBorders>
                    <w:top w:val="single" w:color="auto" w:sz="4" w:space="0"/>
                    <w:left w:val="single" w:color="auto" w:sz="4" w:space="0"/>
                    <w:right w:val="single" w:color="auto" w:sz="4" w:space="0"/>
                  </w:tcBorders>
                  <w:vAlign w:val="center"/>
                </w:tcPr>
                <w:p w14:paraId="034158BD">
                  <w:pPr>
                    <w:jc w:val="center"/>
                    <w:rPr>
                      <w:b/>
                      <w:szCs w:val="21"/>
                    </w:rPr>
                  </w:pPr>
                  <w:r>
                    <w:rPr>
                      <w:b/>
                      <w:szCs w:val="21"/>
                    </w:rPr>
                    <w:t>名称</w:t>
                  </w:r>
                </w:p>
              </w:tc>
              <w:tc>
                <w:tcPr>
                  <w:tcW w:w="1351" w:type="pct"/>
                  <w:vMerge w:val="restart"/>
                  <w:tcBorders>
                    <w:top w:val="single" w:color="auto" w:sz="4" w:space="0"/>
                    <w:left w:val="single" w:color="auto" w:sz="4" w:space="0"/>
                    <w:right w:val="single" w:color="auto" w:sz="4" w:space="0"/>
                  </w:tcBorders>
                  <w:vAlign w:val="center"/>
                </w:tcPr>
                <w:p w14:paraId="4ADEB2A4">
                  <w:pPr>
                    <w:jc w:val="center"/>
                    <w:rPr>
                      <w:b/>
                      <w:szCs w:val="21"/>
                    </w:rPr>
                  </w:pPr>
                  <w:r>
                    <w:rPr>
                      <w:b/>
                      <w:szCs w:val="21"/>
                    </w:rPr>
                    <w:t>规格/形态</w:t>
                  </w:r>
                </w:p>
              </w:tc>
              <w:tc>
                <w:tcPr>
                  <w:tcW w:w="1621" w:type="pct"/>
                  <w:gridSpan w:val="3"/>
                  <w:tcBorders>
                    <w:top w:val="single" w:color="auto" w:sz="4" w:space="0"/>
                    <w:left w:val="single" w:color="auto" w:sz="4" w:space="0"/>
                    <w:bottom w:val="single" w:color="auto" w:sz="4" w:space="0"/>
                    <w:right w:val="single" w:color="auto" w:sz="4" w:space="0"/>
                  </w:tcBorders>
                </w:tcPr>
                <w:p w14:paraId="60089AAC">
                  <w:pPr>
                    <w:jc w:val="center"/>
                    <w:rPr>
                      <w:b/>
                      <w:szCs w:val="21"/>
                    </w:rPr>
                  </w:pPr>
                  <w:r>
                    <w:rPr>
                      <w:b/>
                      <w:szCs w:val="21"/>
                    </w:rPr>
                    <w:t>年用量</w:t>
                  </w:r>
                </w:p>
              </w:tc>
              <w:tc>
                <w:tcPr>
                  <w:tcW w:w="1438" w:type="pct"/>
                  <w:vMerge w:val="restart"/>
                  <w:tcBorders>
                    <w:top w:val="single" w:color="auto" w:sz="4" w:space="0"/>
                    <w:left w:val="single" w:color="auto" w:sz="4" w:space="0"/>
                    <w:right w:val="single" w:color="auto" w:sz="4" w:space="0"/>
                  </w:tcBorders>
                  <w:vAlign w:val="center"/>
                </w:tcPr>
                <w:p w14:paraId="3EE64B01">
                  <w:pPr>
                    <w:jc w:val="center"/>
                    <w:rPr>
                      <w:b/>
                      <w:szCs w:val="21"/>
                    </w:rPr>
                  </w:pPr>
                  <w:r>
                    <w:rPr>
                      <w:b/>
                      <w:szCs w:val="21"/>
                    </w:rPr>
                    <w:t>备注</w:t>
                  </w:r>
                </w:p>
              </w:tc>
            </w:tr>
            <w:tr w14:paraId="2B4B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90" w:type="pct"/>
                  <w:vMerge w:val="continue"/>
                  <w:tcBorders>
                    <w:left w:val="single" w:color="auto" w:sz="4" w:space="0"/>
                    <w:bottom w:val="single" w:color="auto" w:sz="4" w:space="0"/>
                    <w:right w:val="single" w:color="auto" w:sz="4" w:space="0"/>
                  </w:tcBorders>
                  <w:vAlign w:val="center"/>
                </w:tcPr>
                <w:p w14:paraId="41237ACB">
                  <w:pPr>
                    <w:jc w:val="center"/>
                    <w:rPr>
                      <w:b/>
                      <w:szCs w:val="21"/>
                    </w:rPr>
                  </w:pPr>
                </w:p>
              </w:tc>
              <w:tc>
                <w:tcPr>
                  <w:tcW w:w="1351" w:type="pct"/>
                  <w:vMerge w:val="continue"/>
                  <w:tcBorders>
                    <w:left w:val="single" w:color="auto" w:sz="4" w:space="0"/>
                    <w:bottom w:val="single" w:color="auto" w:sz="4" w:space="0"/>
                    <w:right w:val="single" w:color="auto" w:sz="4" w:space="0"/>
                  </w:tcBorders>
                  <w:vAlign w:val="center"/>
                </w:tcPr>
                <w:p w14:paraId="6AAAB8C9">
                  <w:pPr>
                    <w:jc w:val="center"/>
                    <w:rPr>
                      <w:b/>
                      <w:szCs w:val="21"/>
                    </w:rPr>
                  </w:pPr>
                </w:p>
              </w:tc>
              <w:tc>
                <w:tcPr>
                  <w:tcW w:w="820" w:type="pct"/>
                  <w:gridSpan w:val="2"/>
                  <w:tcBorders>
                    <w:top w:val="single" w:color="auto" w:sz="4" w:space="0"/>
                    <w:left w:val="single" w:color="auto" w:sz="4" w:space="0"/>
                    <w:bottom w:val="single" w:color="auto" w:sz="4" w:space="0"/>
                    <w:right w:val="single" w:color="auto" w:sz="4" w:space="0"/>
                  </w:tcBorders>
                </w:tcPr>
                <w:p w14:paraId="55D46335">
                  <w:pPr>
                    <w:jc w:val="center"/>
                    <w:rPr>
                      <w:b/>
                      <w:szCs w:val="21"/>
                    </w:rPr>
                  </w:pPr>
                  <w:r>
                    <w:rPr>
                      <w:b/>
                      <w:szCs w:val="21"/>
                    </w:rPr>
                    <w:t>原有项目审批</w:t>
                  </w:r>
                </w:p>
              </w:tc>
              <w:tc>
                <w:tcPr>
                  <w:tcW w:w="801" w:type="pct"/>
                  <w:tcBorders>
                    <w:left w:val="single" w:color="auto" w:sz="4" w:space="0"/>
                    <w:bottom w:val="single" w:color="auto" w:sz="4" w:space="0"/>
                    <w:right w:val="single" w:color="auto" w:sz="4" w:space="0"/>
                  </w:tcBorders>
                  <w:vAlign w:val="center"/>
                </w:tcPr>
                <w:p w14:paraId="1BB113B6">
                  <w:pPr>
                    <w:jc w:val="center"/>
                    <w:rPr>
                      <w:b/>
                      <w:szCs w:val="21"/>
                    </w:rPr>
                  </w:pPr>
                  <w:r>
                    <w:rPr>
                      <w:b/>
                      <w:szCs w:val="21"/>
                    </w:rPr>
                    <w:t>本项目</w:t>
                  </w:r>
                </w:p>
              </w:tc>
              <w:tc>
                <w:tcPr>
                  <w:tcW w:w="1438" w:type="pct"/>
                  <w:vMerge w:val="continue"/>
                  <w:tcBorders>
                    <w:left w:val="single" w:color="auto" w:sz="4" w:space="0"/>
                    <w:bottom w:val="single" w:color="auto" w:sz="4" w:space="0"/>
                    <w:right w:val="single" w:color="auto" w:sz="4" w:space="0"/>
                  </w:tcBorders>
                  <w:vAlign w:val="center"/>
                </w:tcPr>
                <w:p w14:paraId="73F82C9F">
                  <w:pPr>
                    <w:jc w:val="center"/>
                    <w:rPr>
                      <w:b/>
                      <w:szCs w:val="21"/>
                    </w:rPr>
                  </w:pPr>
                </w:p>
              </w:tc>
            </w:tr>
            <w:tr w14:paraId="4DC5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1546BF5D">
                  <w:pPr>
                    <w:jc w:val="center"/>
                    <w:rPr>
                      <w:b/>
                      <w:szCs w:val="21"/>
                    </w:rPr>
                  </w:pPr>
                  <w:r>
                    <w:rPr>
                      <w:rFonts w:hint="eastAsia"/>
                      <w:b/>
                      <w:szCs w:val="21"/>
                    </w:rPr>
                    <w:t>原辅材料消耗</w:t>
                  </w:r>
                </w:p>
              </w:tc>
            </w:tr>
            <w:tr w14:paraId="2E31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90" w:type="pct"/>
                  <w:vMerge w:val="restart"/>
                  <w:tcBorders>
                    <w:top w:val="nil"/>
                    <w:left w:val="single" w:color="auto" w:sz="4" w:space="0"/>
                    <w:bottom w:val="single" w:color="auto" w:sz="4" w:space="0"/>
                    <w:right w:val="single" w:color="auto" w:sz="4" w:space="0"/>
                  </w:tcBorders>
                  <w:vAlign w:val="center"/>
                </w:tcPr>
                <w:p w14:paraId="5FDFD5C0">
                  <w:pPr>
                    <w:jc w:val="center"/>
                    <w:rPr>
                      <w:szCs w:val="21"/>
                    </w:rPr>
                  </w:pPr>
                  <w:r>
                    <w:rPr>
                      <w:szCs w:val="21"/>
                    </w:rPr>
                    <w:t>玻璃原片</w:t>
                  </w:r>
                </w:p>
              </w:tc>
              <w:tc>
                <w:tcPr>
                  <w:tcW w:w="1351" w:type="pct"/>
                  <w:tcBorders>
                    <w:top w:val="single" w:color="auto" w:sz="4" w:space="0"/>
                    <w:left w:val="single" w:color="auto" w:sz="4" w:space="0"/>
                    <w:bottom w:val="single" w:color="auto" w:sz="4" w:space="0"/>
                    <w:right w:val="single" w:color="auto" w:sz="4" w:space="0"/>
                  </w:tcBorders>
                  <w:vAlign w:val="center"/>
                </w:tcPr>
                <w:p w14:paraId="0417169B">
                  <w:pPr>
                    <w:jc w:val="center"/>
                    <w:rPr>
                      <w:szCs w:val="21"/>
                    </w:rPr>
                  </w:pPr>
                  <w:r>
                    <w:rPr>
                      <w:szCs w:val="21"/>
                    </w:rPr>
                    <w:t>1.83m*2.44m*4.0mm</w:t>
                  </w:r>
                </w:p>
              </w:tc>
              <w:tc>
                <w:tcPr>
                  <w:tcW w:w="810" w:type="pct"/>
                  <w:tcBorders>
                    <w:top w:val="nil"/>
                    <w:left w:val="single" w:color="auto" w:sz="4" w:space="0"/>
                    <w:bottom w:val="single" w:color="auto" w:sz="4" w:space="0"/>
                    <w:right w:val="single" w:color="auto" w:sz="4" w:space="0"/>
                  </w:tcBorders>
                  <w:vAlign w:val="center"/>
                </w:tcPr>
                <w:p w14:paraId="20C3EBDF">
                  <w:pPr>
                    <w:jc w:val="center"/>
                    <w:rPr>
                      <w:szCs w:val="21"/>
                      <w:u w:val="single"/>
                    </w:rPr>
                  </w:pPr>
                  <w:r>
                    <w:rPr>
                      <w:szCs w:val="21"/>
                      <w:u w:val="single"/>
                    </w:rPr>
                    <w:t>5.1万m</w:t>
                  </w:r>
                  <w:r>
                    <w:rPr>
                      <w:szCs w:val="21"/>
                      <w:u w:val="single"/>
                      <w:vertAlign w:val="superscript"/>
                    </w:rPr>
                    <w:t>2</w:t>
                  </w:r>
                  <w:r>
                    <w:rPr>
                      <w:szCs w:val="21"/>
                      <w:u w:val="single"/>
                    </w:rPr>
                    <w:t>/a</w:t>
                  </w:r>
                </w:p>
              </w:tc>
              <w:tc>
                <w:tcPr>
                  <w:tcW w:w="811" w:type="pct"/>
                  <w:gridSpan w:val="2"/>
                  <w:tcBorders>
                    <w:top w:val="nil"/>
                    <w:left w:val="single" w:color="auto" w:sz="4" w:space="0"/>
                    <w:bottom w:val="single" w:color="auto" w:sz="4" w:space="0"/>
                    <w:right w:val="single" w:color="auto" w:sz="4" w:space="0"/>
                  </w:tcBorders>
                  <w:vAlign w:val="center"/>
                </w:tcPr>
                <w:p w14:paraId="064596B9">
                  <w:pPr>
                    <w:jc w:val="center"/>
                    <w:rPr>
                      <w:szCs w:val="21"/>
                      <w:u w:val="single"/>
                    </w:rPr>
                  </w:pPr>
                  <w:r>
                    <w:rPr>
                      <w:szCs w:val="21"/>
                      <w:u w:val="single"/>
                    </w:rPr>
                    <w:t>5.1万m</w:t>
                  </w:r>
                  <w:r>
                    <w:rPr>
                      <w:szCs w:val="21"/>
                      <w:u w:val="single"/>
                      <w:vertAlign w:val="superscript"/>
                    </w:rPr>
                    <w:t>2</w:t>
                  </w:r>
                  <w:r>
                    <w:rPr>
                      <w:szCs w:val="21"/>
                      <w:u w:val="single"/>
                    </w:rPr>
                    <w:t>/a</w:t>
                  </w:r>
                </w:p>
              </w:tc>
              <w:tc>
                <w:tcPr>
                  <w:tcW w:w="1438" w:type="pct"/>
                  <w:vMerge w:val="restart"/>
                  <w:tcBorders>
                    <w:top w:val="nil"/>
                    <w:left w:val="single" w:color="auto" w:sz="4" w:space="0"/>
                    <w:bottom w:val="single" w:color="auto" w:sz="4" w:space="0"/>
                    <w:right w:val="single" w:color="auto" w:sz="4" w:space="0"/>
                  </w:tcBorders>
                  <w:vAlign w:val="center"/>
                </w:tcPr>
                <w:p w14:paraId="36AF072D">
                  <w:pPr>
                    <w:jc w:val="center"/>
                    <w:rPr>
                      <w:szCs w:val="21"/>
                    </w:rPr>
                  </w:pPr>
                  <w:r>
                    <w:rPr>
                      <w:szCs w:val="21"/>
                      <w:u w:val="single"/>
                    </w:rPr>
                    <w:t>外购</w:t>
                  </w:r>
                  <w:r>
                    <w:rPr>
                      <w:rFonts w:hint="eastAsia"/>
                      <w:szCs w:val="21"/>
                      <w:u w:val="single"/>
                    </w:rPr>
                    <w:t>，</w:t>
                  </w:r>
                  <w:r>
                    <w:rPr>
                      <w:szCs w:val="21"/>
                      <w:u w:val="single"/>
                    </w:rPr>
                    <w:t>约30.8万m</w:t>
                  </w:r>
                  <w:r>
                    <w:rPr>
                      <w:szCs w:val="21"/>
                      <w:u w:val="single"/>
                      <w:vertAlign w:val="superscript"/>
                    </w:rPr>
                    <w:t>2</w:t>
                  </w:r>
                  <w:r>
                    <w:rPr>
                      <w:szCs w:val="21"/>
                      <w:u w:val="single"/>
                    </w:rPr>
                    <w:t>玻璃原片用于生产钢化玻璃产品，约</w:t>
                  </w:r>
                  <w:r>
                    <w:rPr>
                      <w:rFonts w:hint="eastAsia"/>
                      <w:szCs w:val="21"/>
                      <w:u w:val="single"/>
                    </w:rPr>
                    <w:t>13.9</w:t>
                  </w:r>
                  <w:r>
                    <w:rPr>
                      <w:szCs w:val="21"/>
                      <w:u w:val="single"/>
                    </w:rPr>
                    <w:t>万m</w:t>
                  </w:r>
                  <w:r>
                    <w:rPr>
                      <w:szCs w:val="21"/>
                      <w:u w:val="single"/>
                      <w:vertAlign w:val="superscript"/>
                    </w:rPr>
                    <w:t>2</w:t>
                  </w:r>
                  <w:r>
                    <w:rPr>
                      <w:szCs w:val="21"/>
                      <w:u w:val="single"/>
                    </w:rPr>
                    <w:t>玻璃原片用于生产普通中空玻璃产品</w:t>
                  </w:r>
                  <w:r>
                    <w:rPr>
                      <w:rFonts w:hint="eastAsia"/>
                      <w:szCs w:val="21"/>
                      <w:u w:val="single"/>
                    </w:rPr>
                    <w:t>，</w:t>
                  </w:r>
                  <w:r>
                    <w:rPr>
                      <w:szCs w:val="21"/>
                      <w:u w:val="single"/>
                    </w:rPr>
                    <w:t>约</w:t>
                  </w:r>
                  <w:r>
                    <w:rPr>
                      <w:rFonts w:hint="eastAsia"/>
                      <w:szCs w:val="21"/>
                      <w:u w:val="single"/>
                    </w:rPr>
                    <w:t>55.6万m</w:t>
                  </w:r>
                  <w:r>
                    <w:rPr>
                      <w:rFonts w:hint="eastAsia"/>
                      <w:szCs w:val="21"/>
                      <w:u w:val="single"/>
                      <w:vertAlign w:val="superscript"/>
                    </w:rPr>
                    <w:t>2</w:t>
                  </w:r>
                  <w:r>
                    <w:rPr>
                      <w:rFonts w:hint="eastAsia"/>
                      <w:szCs w:val="21"/>
                      <w:u w:val="single"/>
                    </w:rPr>
                    <w:t>玻璃原片先进行钢化处理，再用于生产钢化中空玻璃产品。</w:t>
                  </w:r>
                  <w:r>
                    <w:rPr>
                      <w:szCs w:val="21"/>
                    </w:rPr>
                    <w:t>用于生产中空玻璃多为4mm、5mm、6mm、8mm等厚度的玻璃原片，具体的玻璃原片用于生产钢化或中空的规格需要根据客户订单要求</w:t>
                  </w:r>
                </w:p>
              </w:tc>
            </w:tr>
            <w:tr w14:paraId="3625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442BDAFB">
                  <w:pPr>
                    <w:widowControl/>
                    <w:jc w:val="left"/>
                    <w:rPr>
                      <w:szCs w:val="21"/>
                    </w:rPr>
                  </w:pPr>
                </w:p>
              </w:tc>
              <w:tc>
                <w:tcPr>
                  <w:tcW w:w="1351" w:type="pct"/>
                  <w:tcBorders>
                    <w:top w:val="single" w:color="auto" w:sz="4" w:space="0"/>
                    <w:left w:val="single" w:color="auto" w:sz="4" w:space="0"/>
                    <w:bottom w:val="single" w:color="auto" w:sz="4" w:space="0"/>
                    <w:right w:val="single" w:color="auto" w:sz="4" w:space="0"/>
                  </w:tcBorders>
                  <w:vAlign w:val="center"/>
                </w:tcPr>
                <w:p w14:paraId="158E92DD">
                  <w:pPr>
                    <w:jc w:val="center"/>
                    <w:rPr>
                      <w:szCs w:val="21"/>
                    </w:rPr>
                  </w:pPr>
                  <w:r>
                    <w:rPr>
                      <w:szCs w:val="21"/>
                    </w:rPr>
                    <w:t>1.83m*2.44m*4.5mm</w:t>
                  </w:r>
                </w:p>
              </w:tc>
              <w:tc>
                <w:tcPr>
                  <w:tcW w:w="810" w:type="pct"/>
                  <w:tcBorders>
                    <w:top w:val="nil"/>
                    <w:left w:val="single" w:color="auto" w:sz="4" w:space="0"/>
                    <w:bottom w:val="single" w:color="auto" w:sz="4" w:space="0"/>
                    <w:right w:val="single" w:color="auto" w:sz="4" w:space="0"/>
                  </w:tcBorders>
                  <w:vAlign w:val="center"/>
                </w:tcPr>
                <w:p w14:paraId="1CE1AF1E">
                  <w:pPr>
                    <w:widowControl/>
                    <w:jc w:val="center"/>
                    <w:rPr>
                      <w:szCs w:val="21"/>
                      <w:u w:val="single"/>
                    </w:rPr>
                  </w:pPr>
                  <w:r>
                    <w:rPr>
                      <w:szCs w:val="21"/>
                      <w:u w:val="single"/>
                    </w:rPr>
                    <w:t>5.6万m</w:t>
                  </w:r>
                  <w:r>
                    <w:rPr>
                      <w:szCs w:val="21"/>
                      <w:u w:val="single"/>
                      <w:vertAlign w:val="superscript"/>
                    </w:rPr>
                    <w:t>2</w:t>
                  </w:r>
                  <w:r>
                    <w:rPr>
                      <w:szCs w:val="21"/>
                      <w:u w:val="single"/>
                    </w:rPr>
                    <w:t>/a</w:t>
                  </w:r>
                </w:p>
              </w:tc>
              <w:tc>
                <w:tcPr>
                  <w:tcW w:w="811" w:type="pct"/>
                  <w:gridSpan w:val="2"/>
                  <w:tcBorders>
                    <w:top w:val="nil"/>
                    <w:left w:val="single" w:color="auto" w:sz="4" w:space="0"/>
                    <w:bottom w:val="single" w:color="auto" w:sz="4" w:space="0"/>
                    <w:right w:val="single" w:color="auto" w:sz="4" w:space="0"/>
                  </w:tcBorders>
                  <w:vAlign w:val="center"/>
                </w:tcPr>
                <w:p w14:paraId="3BAED4B1">
                  <w:pPr>
                    <w:widowControl/>
                    <w:jc w:val="center"/>
                    <w:rPr>
                      <w:szCs w:val="21"/>
                      <w:u w:val="single"/>
                    </w:rPr>
                  </w:pPr>
                  <w:r>
                    <w:rPr>
                      <w:szCs w:val="21"/>
                      <w:u w:val="single"/>
                    </w:rPr>
                    <w:t>5.6万m</w:t>
                  </w:r>
                  <w:r>
                    <w:rPr>
                      <w:szCs w:val="21"/>
                      <w:u w:val="single"/>
                      <w:vertAlign w:val="superscript"/>
                    </w:rPr>
                    <w:t>2</w:t>
                  </w:r>
                  <w:r>
                    <w:rPr>
                      <w:szCs w:val="21"/>
                      <w:u w:val="single"/>
                    </w:rPr>
                    <w:t>/a</w:t>
                  </w:r>
                </w:p>
              </w:tc>
              <w:tc>
                <w:tcPr>
                  <w:tcW w:w="1438" w:type="pct"/>
                  <w:vMerge w:val="continue"/>
                  <w:tcBorders>
                    <w:top w:val="nil"/>
                    <w:left w:val="single" w:color="auto" w:sz="4" w:space="0"/>
                    <w:bottom w:val="single" w:color="auto" w:sz="4" w:space="0"/>
                    <w:right w:val="single" w:color="auto" w:sz="4" w:space="0"/>
                  </w:tcBorders>
                  <w:vAlign w:val="center"/>
                </w:tcPr>
                <w:p w14:paraId="2075662E">
                  <w:pPr>
                    <w:widowControl/>
                    <w:jc w:val="left"/>
                    <w:rPr>
                      <w:szCs w:val="21"/>
                    </w:rPr>
                  </w:pPr>
                </w:p>
              </w:tc>
            </w:tr>
            <w:tr w14:paraId="4BE0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3C7C3B54">
                  <w:pPr>
                    <w:widowControl/>
                    <w:jc w:val="left"/>
                    <w:rPr>
                      <w:szCs w:val="21"/>
                    </w:rPr>
                  </w:pPr>
                </w:p>
              </w:tc>
              <w:tc>
                <w:tcPr>
                  <w:tcW w:w="1351" w:type="pct"/>
                  <w:tcBorders>
                    <w:top w:val="single" w:color="auto" w:sz="4" w:space="0"/>
                    <w:left w:val="single" w:color="auto" w:sz="4" w:space="0"/>
                    <w:bottom w:val="single" w:color="auto" w:sz="4" w:space="0"/>
                    <w:right w:val="single" w:color="auto" w:sz="4" w:space="0"/>
                  </w:tcBorders>
                  <w:vAlign w:val="center"/>
                </w:tcPr>
                <w:p w14:paraId="5CF6F48F">
                  <w:pPr>
                    <w:jc w:val="center"/>
                    <w:rPr>
                      <w:szCs w:val="21"/>
                    </w:rPr>
                  </w:pPr>
                  <w:r>
                    <w:rPr>
                      <w:szCs w:val="21"/>
                    </w:rPr>
                    <w:t>1.83m*2.44m*5.0mm</w:t>
                  </w:r>
                </w:p>
              </w:tc>
              <w:tc>
                <w:tcPr>
                  <w:tcW w:w="810" w:type="pct"/>
                  <w:tcBorders>
                    <w:top w:val="nil"/>
                    <w:left w:val="single" w:color="auto" w:sz="4" w:space="0"/>
                    <w:bottom w:val="single" w:color="auto" w:sz="4" w:space="0"/>
                    <w:right w:val="single" w:color="auto" w:sz="4" w:space="0"/>
                  </w:tcBorders>
                  <w:vAlign w:val="center"/>
                </w:tcPr>
                <w:p w14:paraId="565B1BC8">
                  <w:pPr>
                    <w:widowControl/>
                    <w:jc w:val="center"/>
                    <w:rPr>
                      <w:szCs w:val="21"/>
                      <w:u w:val="single"/>
                    </w:rPr>
                  </w:pPr>
                  <w:r>
                    <w:rPr>
                      <w:rFonts w:hint="eastAsia"/>
                      <w:szCs w:val="21"/>
                      <w:u w:val="single"/>
                    </w:rPr>
                    <w:t>8.2</w:t>
                  </w:r>
                  <w:r>
                    <w:rPr>
                      <w:szCs w:val="21"/>
                      <w:u w:val="single"/>
                    </w:rPr>
                    <w:t>万m</w:t>
                  </w:r>
                  <w:r>
                    <w:rPr>
                      <w:szCs w:val="21"/>
                      <w:u w:val="single"/>
                      <w:vertAlign w:val="superscript"/>
                    </w:rPr>
                    <w:t>2</w:t>
                  </w:r>
                  <w:r>
                    <w:rPr>
                      <w:szCs w:val="21"/>
                      <w:u w:val="single"/>
                    </w:rPr>
                    <w:t>/a</w:t>
                  </w:r>
                </w:p>
              </w:tc>
              <w:tc>
                <w:tcPr>
                  <w:tcW w:w="811" w:type="pct"/>
                  <w:gridSpan w:val="2"/>
                  <w:tcBorders>
                    <w:top w:val="nil"/>
                    <w:left w:val="single" w:color="auto" w:sz="4" w:space="0"/>
                    <w:bottom w:val="single" w:color="auto" w:sz="4" w:space="0"/>
                    <w:right w:val="single" w:color="auto" w:sz="4" w:space="0"/>
                  </w:tcBorders>
                  <w:vAlign w:val="center"/>
                </w:tcPr>
                <w:p w14:paraId="3CF4108E">
                  <w:pPr>
                    <w:widowControl/>
                    <w:jc w:val="center"/>
                    <w:rPr>
                      <w:szCs w:val="21"/>
                      <w:u w:val="single"/>
                    </w:rPr>
                  </w:pPr>
                  <w:r>
                    <w:rPr>
                      <w:rFonts w:hint="eastAsia"/>
                      <w:szCs w:val="21"/>
                      <w:u w:val="single"/>
                    </w:rPr>
                    <w:t>8.2</w:t>
                  </w:r>
                  <w:r>
                    <w:rPr>
                      <w:szCs w:val="21"/>
                      <w:u w:val="single"/>
                    </w:rPr>
                    <w:t>万m</w:t>
                  </w:r>
                  <w:r>
                    <w:rPr>
                      <w:szCs w:val="21"/>
                      <w:u w:val="single"/>
                      <w:vertAlign w:val="superscript"/>
                    </w:rPr>
                    <w:t>2</w:t>
                  </w:r>
                  <w:r>
                    <w:rPr>
                      <w:szCs w:val="21"/>
                      <w:u w:val="single"/>
                    </w:rPr>
                    <w:t>/a</w:t>
                  </w:r>
                </w:p>
              </w:tc>
              <w:tc>
                <w:tcPr>
                  <w:tcW w:w="1438" w:type="pct"/>
                  <w:vMerge w:val="continue"/>
                  <w:tcBorders>
                    <w:top w:val="nil"/>
                    <w:left w:val="single" w:color="auto" w:sz="4" w:space="0"/>
                    <w:bottom w:val="single" w:color="auto" w:sz="4" w:space="0"/>
                    <w:right w:val="single" w:color="auto" w:sz="4" w:space="0"/>
                  </w:tcBorders>
                  <w:vAlign w:val="center"/>
                </w:tcPr>
                <w:p w14:paraId="2A8565ED">
                  <w:pPr>
                    <w:widowControl/>
                    <w:jc w:val="left"/>
                    <w:rPr>
                      <w:szCs w:val="21"/>
                    </w:rPr>
                  </w:pPr>
                </w:p>
              </w:tc>
            </w:tr>
            <w:tr w14:paraId="19E7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77710D1C">
                  <w:pPr>
                    <w:widowControl/>
                    <w:jc w:val="left"/>
                    <w:rPr>
                      <w:szCs w:val="21"/>
                    </w:rPr>
                  </w:pPr>
                </w:p>
              </w:tc>
              <w:tc>
                <w:tcPr>
                  <w:tcW w:w="1351" w:type="pct"/>
                  <w:tcBorders>
                    <w:top w:val="single" w:color="auto" w:sz="4" w:space="0"/>
                    <w:left w:val="single" w:color="auto" w:sz="4" w:space="0"/>
                    <w:bottom w:val="single" w:color="auto" w:sz="4" w:space="0"/>
                    <w:right w:val="single" w:color="auto" w:sz="4" w:space="0"/>
                  </w:tcBorders>
                  <w:vAlign w:val="center"/>
                </w:tcPr>
                <w:p w14:paraId="59D6B60B">
                  <w:pPr>
                    <w:jc w:val="center"/>
                    <w:rPr>
                      <w:szCs w:val="21"/>
                    </w:rPr>
                  </w:pPr>
                  <w:r>
                    <w:rPr>
                      <w:szCs w:val="21"/>
                    </w:rPr>
                    <w:t>3.66m*2.44m*4.0mm</w:t>
                  </w:r>
                </w:p>
              </w:tc>
              <w:tc>
                <w:tcPr>
                  <w:tcW w:w="810" w:type="pct"/>
                  <w:tcBorders>
                    <w:top w:val="nil"/>
                    <w:left w:val="single" w:color="auto" w:sz="4" w:space="0"/>
                    <w:bottom w:val="single" w:color="auto" w:sz="4" w:space="0"/>
                    <w:right w:val="single" w:color="auto" w:sz="4" w:space="0"/>
                  </w:tcBorders>
                  <w:vAlign w:val="center"/>
                </w:tcPr>
                <w:p w14:paraId="69A547BC">
                  <w:pPr>
                    <w:widowControl/>
                    <w:jc w:val="center"/>
                    <w:rPr>
                      <w:szCs w:val="21"/>
                      <w:u w:val="single"/>
                    </w:rPr>
                  </w:pPr>
                  <w:r>
                    <w:rPr>
                      <w:szCs w:val="21"/>
                      <w:u w:val="single"/>
                    </w:rPr>
                    <w:t>8.2万m</w:t>
                  </w:r>
                  <w:r>
                    <w:rPr>
                      <w:szCs w:val="21"/>
                      <w:u w:val="single"/>
                      <w:vertAlign w:val="superscript"/>
                    </w:rPr>
                    <w:t>2</w:t>
                  </w:r>
                  <w:r>
                    <w:rPr>
                      <w:szCs w:val="21"/>
                      <w:u w:val="single"/>
                    </w:rPr>
                    <w:t>/a</w:t>
                  </w:r>
                </w:p>
              </w:tc>
              <w:tc>
                <w:tcPr>
                  <w:tcW w:w="811" w:type="pct"/>
                  <w:gridSpan w:val="2"/>
                  <w:tcBorders>
                    <w:top w:val="nil"/>
                    <w:left w:val="single" w:color="auto" w:sz="4" w:space="0"/>
                    <w:bottom w:val="single" w:color="auto" w:sz="4" w:space="0"/>
                    <w:right w:val="single" w:color="auto" w:sz="4" w:space="0"/>
                  </w:tcBorders>
                  <w:vAlign w:val="center"/>
                </w:tcPr>
                <w:p w14:paraId="66B497AF">
                  <w:pPr>
                    <w:widowControl/>
                    <w:jc w:val="center"/>
                    <w:rPr>
                      <w:szCs w:val="21"/>
                      <w:u w:val="single"/>
                    </w:rPr>
                  </w:pPr>
                  <w:r>
                    <w:rPr>
                      <w:szCs w:val="21"/>
                      <w:u w:val="single"/>
                    </w:rPr>
                    <w:t>8.2万m</w:t>
                  </w:r>
                  <w:r>
                    <w:rPr>
                      <w:szCs w:val="21"/>
                      <w:u w:val="single"/>
                      <w:vertAlign w:val="superscript"/>
                    </w:rPr>
                    <w:t>2</w:t>
                  </w:r>
                  <w:r>
                    <w:rPr>
                      <w:szCs w:val="21"/>
                      <w:u w:val="single"/>
                    </w:rPr>
                    <w:t>/a</w:t>
                  </w:r>
                </w:p>
              </w:tc>
              <w:tc>
                <w:tcPr>
                  <w:tcW w:w="1438" w:type="pct"/>
                  <w:vMerge w:val="continue"/>
                  <w:tcBorders>
                    <w:top w:val="nil"/>
                    <w:left w:val="single" w:color="auto" w:sz="4" w:space="0"/>
                    <w:bottom w:val="single" w:color="auto" w:sz="4" w:space="0"/>
                    <w:right w:val="single" w:color="auto" w:sz="4" w:space="0"/>
                  </w:tcBorders>
                  <w:vAlign w:val="center"/>
                </w:tcPr>
                <w:p w14:paraId="1E3DD3E2">
                  <w:pPr>
                    <w:widowControl/>
                    <w:jc w:val="left"/>
                    <w:rPr>
                      <w:szCs w:val="21"/>
                    </w:rPr>
                  </w:pPr>
                </w:p>
              </w:tc>
            </w:tr>
            <w:tr w14:paraId="713B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5F9C94F4">
                  <w:pPr>
                    <w:widowControl/>
                    <w:jc w:val="left"/>
                    <w:rPr>
                      <w:szCs w:val="21"/>
                    </w:rPr>
                  </w:pPr>
                </w:p>
              </w:tc>
              <w:tc>
                <w:tcPr>
                  <w:tcW w:w="1351" w:type="pct"/>
                  <w:tcBorders>
                    <w:top w:val="single" w:color="auto" w:sz="4" w:space="0"/>
                    <w:left w:val="single" w:color="auto" w:sz="4" w:space="0"/>
                    <w:bottom w:val="single" w:color="auto" w:sz="4" w:space="0"/>
                    <w:right w:val="single" w:color="auto" w:sz="4" w:space="0"/>
                  </w:tcBorders>
                  <w:vAlign w:val="center"/>
                </w:tcPr>
                <w:p w14:paraId="0FABE382">
                  <w:pPr>
                    <w:jc w:val="center"/>
                    <w:rPr>
                      <w:szCs w:val="21"/>
                    </w:rPr>
                  </w:pPr>
                  <w:r>
                    <w:rPr>
                      <w:szCs w:val="21"/>
                    </w:rPr>
                    <w:t>3.66m*2.44m*4.5mm</w:t>
                  </w:r>
                </w:p>
              </w:tc>
              <w:tc>
                <w:tcPr>
                  <w:tcW w:w="810" w:type="pct"/>
                  <w:tcBorders>
                    <w:top w:val="nil"/>
                    <w:left w:val="single" w:color="auto" w:sz="4" w:space="0"/>
                    <w:bottom w:val="single" w:color="auto" w:sz="4" w:space="0"/>
                    <w:right w:val="single" w:color="auto" w:sz="4" w:space="0"/>
                  </w:tcBorders>
                  <w:vAlign w:val="center"/>
                </w:tcPr>
                <w:p w14:paraId="6FAABC21">
                  <w:pPr>
                    <w:widowControl/>
                    <w:jc w:val="center"/>
                    <w:rPr>
                      <w:szCs w:val="21"/>
                      <w:u w:val="single"/>
                    </w:rPr>
                  </w:pPr>
                  <w:r>
                    <w:rPr>
                      <w:szCs w:val="21"/>
                      <w:u w:val="single"/>
                    </w:rPr>
                    <w:t>4.6万m</w:t>
                  </w:r>
                  <w:r>
                    <w:rPr>
                      <w:szCs w:val="21"/>
                      <w:u w:val="single"/>
                      <w:vertAlign w:val="superscript"/>
                    </w:rPr>
                    <w:t>2</w:t>
                  </w:r>
                  <w:r>
                    <w:rPr>
                      <w:szCs w:val="21"/>
                      <w:u w:val="single"/>
                    </w:rPr>
                    <w:t>/a</w:t>
                  </w:r>
                </w:p>
              </w:tc>
              <w:tc>
                <w:tcPr>
                  <w:tcW w:w="811" w:type="pct"/>
                  <w:gridSpan w:val="2"/>
                  <w:tcBorders>
                    <w:top w:val="nil"/>
                    <w:left w:val="single" w:color="auto" w:sz="4" w:space="0"/>
                    <w:bottom w:val="single" w:color="auto" w:sz="4" w:space="0"/>
                    <w:right w:val="single" w:color="auto" w:sz="4" w:space="0"/>
                  </w:tcBorders>
                  <w:vAlign w:val="center"/>
                </w:tcPr>
                <w:p w14:paraId="4FD23195">
                  <w:pPr>
                    <w:widowControl/>
                    <w:jc w:val="center"/>
                    <w:rPr>
                      <w:szCs w:val="21"/>
                      <w:u w:val="single"/>
                    </w:rPr>
                  </w:pPr>
                  <w:r>
                    <w:rPr>
                      <w:szCs w:val="21"/>
                      <w:u w:val="single"/>
                    </w:rPr>
                    <w:t>4.6万m</w:t>
                  </w:r>
                  <w:r>
                    <w:rPr>
                      <w:szCs w:val="21"/>
                      <w:u w:val="single"/>
                      <w:vertAlign w:val="superscript"/>
                    </w:rPr>
                    <w:t>2</w:t>
                  </w:r>
                  <w:r>
                    <w:rPr>
                      <w:szCs w:val="21"/>
                      <w:u w:val="single"/>
                    </w:rPr>
                    <w:t>/a</w:t>
                  </w:r>
                </w:p>
              </w:tc>
              <w:tc>
                <w:tcPr>
                  <w:tcW w:w="1438" w:type="pct"/>
                  <w:vMerge w:val="continue"/>
                  <w:tcBorders>
                    <w:top w:val="nil"/>
                    <w:left w:val="single" w:color="auto" w:sz="4" w:space="0"/>
                    <w:bottom w:val="single" w:color="auto" w:sz="4" w:space="0"/>
                    <w:right w:val="single" w:color="auto" w:sz="4" w:space="0"/>
                  </w:tcBorders>
                  <w:vAlign w:val="center"/>
                </w:tcPr>
                <w:p w14:paraId="292DFF49">
                  <w:pPr>
                    <w:widowControl/>
                    <w:jc w:val="left"/>
                    <w:rPr>
                      <w:szCs w:val="21"/>
                    </w:rPr>
                  </w:pPr>
                </w:p>
              </w:tc>
            </w:tr>
            <w:tr w14:paraId="7831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64C1D6C0">
                  <w:pPr>
                    <w:widowControl/>
                    <w:jc w:val="left"/>
                    <w:rPr>
                      <w:szCs w:val="21"/>
                    </w:rPr>
                  </w:pPr>
                </w:p>
              </w:tc>
              <w:tc>
                <w:tcPr>
                  <w:tcW w:w="1351" w:type="pct"/>
                  <w:tcBorders>
                    <w:top w:val="single" w:color="auto" w:sz="4" w:space="0"/>
                    <w:left w:val="single" w:color="auto" w:sz="4" w:space="0"/>
                    <w:bottom w:val="single" w:color="auto" w:sz="4" w:space="0"/>
                    <w:right w:val="single" w:color="auto" w:sz="4" w:space="0"/>
                  </w:tcBorders>
                  <w:vAlign w:val="center"/>
                </w:tcPr>
                <w:p w14:paraId="746E7BD7">
                  <w:pPr>
                    <w:jc w:val="center"/>
                    <w:rPr>
                      <w:szCs w:val="21"/>
                    </w:rPr>
                  </w:pPr>
                  <w:r>
                    <w:rPr>
                      <w:szCs w:val="21"/>
                    </w:rPr>
                    <w:t>3.66m*2.44m*5.0mm</w:t>
                  </w:r>
                </w:p>
              </w:tc>
              <w:tc>
                <w:tcPr>
                  <w:tcW w:w="810" w:type="pct"/>
                  <w:tcBorders>
                    <w:top w:val="nil"/>
                    <w:left w:val="single" w:color="auto" w:sz="4" w:space="0"/>
                    <w:bottom w:val="single" w:color="auto" w:sz="4" w:space="0"/>
                    <w:right w:val="single" w:color="auto" w:sz="4" w:space="0"/>
                  </w:tcBorders>
                  <w:vAlign w:val="center"/>
                </w:tcPr>
                <w:p w14:paraId="410B2103">
                  <w:pPr>
                    <w:widowControl/>
                    <w:jc w:val="center"/>
                    <w:rPr>
                      <w:szCs w:val="21"/>
                      <w:u w:val="single"/>
                    </w:rPr>
                  </w:pPr>
                  <w:r>
                    <w:rPr>
                      <w:szCs w:val="21"/>
                      <w:u w:val="single"/>
                    </w:rPr>
                    <w:t>22.1万m</w:t>
                  </w:r>
                  <w:r>
                    <w:rPr>
                      <w:szCs w:val="21"/>
                      <w:u w:val="single"/>
                      <w:vertAlign w:val="superscript"/>
                    </w:rPr>
                    <w:t>2</w:t>
                  </w:r>
                  <w:r>
                    <w:rPr>
                      <w:szCs w:val="21"/>
                      <w:u w:val="single"/>
                    </w:rPr>
                    <w:t>/a</w:t>
                  </w:r>
                </w:p>
              </w:tc>
              <w:tc>
                <w:tcPr>
                  <w:tcW w:w="811" w:type="pct"/>
                  <w:gridSpan w:val="2"/>
                  <w:tcBorders>
                    <w:top w:val="nil"/>
                    <w:left w:val="single" w:color="auto" w:sz="4" w:space="0"/>
                    <w:bottom w:val="single" w:color="auto" w:sz="4" w:space="0"/>
                    <w:right w:val="single" w:color="auto" w:sz="4" w:space="0"/>
                  </w:tcBorders>
                  <w:vAlign w:val="center"/>
                </w:tcPr>
                <w:p w14:paraId="45757882">
                  <w:pPr>
                    <w:widowControl/>
                    <w:jc w:val="center"/>
                    <w:rPr>
                      <w:szCs w:val="21"/>
                      <w:u w:val="single"/>
                    </w:rPr>
                  </w:pPr>
                  <w:r>
                    <w:rPr>
                      <w:szCs w:val="21"/>
                      <w:u w:val="single"/>
                    </w:rPr>
                    <w:t>22.1万m</w:t>
                  </w:r>
                  <w:r>
                    <w:rPr>
                      <w:szCs w:val="21"/>
                      <w:u w:val="single"/>
                      <w:vertAlign w:val="superscript"/>
                    </w:rPr>
                    <w:t>2</w:t>
                  </w:r>
                  <w:r>
                    <w:rPr>
                      <w:szCs w:val="21"/>
                      <w:u w:val="single"/>
                    </w:rPr>
                    <w:t>/a</w:t>
                  </w:r>
                </w:p>
              </w:tc>
              <w:tc>
                <w:tcPr>
                  <w:tcW w:w="1438" w:type="pct"/>
                  <w:vMerge w:val="continue"/>
                  <w:tcBorders>
                    <w:top w:val="nil"/>
                    <w:left w:val="single" w:color="auto" w:sz="4" w:space="0"/>
                    <w:bottom w:val="single" w:color="auto" w:sz="4" w:space="0"/>
                    <w:right w:val="single" w:color="auto" w:sz="4" w:space="0"/>
                  </w:tcBorders>
                  <w:vAlign w:val="center"/>
                </w:tcPr>
                <w:p w14:paraId="6C6D0959">
                  <w:pPr>
                    <w:widowControl/>
                    <w:jc w:val="left"/>
                    <w:rPr>
                      <w:szCs w:val="21"/>
                    </w:rPr>
                  </w:pPr>
                </w:p>
              </w:tc>
            </w:tr>
            <w:tr w14:paraId="304E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0BA162A1">
                  <w:pPr>
                    <w:widowControl/>
                    <w:jc w:val="left"/>
                    <w:rPr>
                      <w:szCs w:val="21"/>
                    </w:rPr>
                  </w:pPr>
                </w:p>
              </w:tc>
              <w:tc>
                <w:tcPr>
                  <w:tcW w:w="1351" w:type="pct"/>
                  <w:tcBorders>
                    <w:top w:val="single" w:color="auto" w:sz="4" w:space="0"/>
                    <w:left w:val="single" w:color="auto" w:sz="4" w:space="0"/>
                    <w:bottom w:val="single" w:color="auto" w:sz="4" w:space="0"/>
                    <w:right w:val="single" w:color="auto" w:sz="4" w:space="0"/>
                  </w:tcBorders>
                  <w:vAlign w:val="center"/>
                </w:tcPr>
                <w:p w14:paraId="43FB8746">
                  <w:pPr>
                    <w:jc w:val="center"/>
                    <w:rPr>
                      <w:szCs w:val="21"/>
                    </w:rPr>
                  </w:pPr>
                  <w:r>
                    <w:rPr>
                      <w:szCs w:val="21"/>
                    </w:rPr>
                    <w:t>3.66m*2.44m*6.0mm</w:t>
                  </w:r>
                </w:p>
              </w:tc>
              <w:tc>
                <w:tcPr>
                  <w:tcW w:w="810" w:type="pct"/>
                  <w:tcBorders>
                    <w:top w:val="nil"/>
                    <w:left w:val="single" w:color="auto" w:sz="4" w:space="0"/>
                    <w:bottom w:val="single" w:color="auto" w:sz="4" w:space="0"/>
                    <w:right w:val="single" w:color="auto" w:sz="4" w:space="0"/>
                  </w:tcBorders>
                  <w:vAlign w:val="center"/>
                </w:tcPr>
                <w:p w14:paraId="77BF6F3C">
                  <w:pPr>
                    <w:jc w:val="center"/>
                    <w:rPr>
                      <w:szCs w:val="21"/>
                      <w:u w:val="single"/>
                    </w:rPr>
                  </w:pPr>
                  <w:r>
                    <w:rPr>
                      <w:szCs w:val="21"/>
                      <w:u w:val="single"/>
                    </w:rPr>
                    <w:t>22.1万m</w:t>
                  </w:r>
                  <w:r>
                    <w:rPr>
                      <w:szCs w:val="21"/>
                      <w:u w:val="single"/>
                      <w:vertAlign w:val="superscript"/>
                    </w:rPr>
                    <w:t>2</w:t>
                  </w:r>
                  <w:r>
                    <w:rPr>
                      <w:szCs w:val="21"/>
                      <w:u w:val="single"/>
                    </w:rPr>
                    <w:t>/a</w:t>
                  </w:r>
                </w:p>
              </w:tc>
              <w:tc>
                <w:tcPr>
                  <w:tcW w:w="811" w:type="pct"/>
                  <w:gridSpan w:val="2"/>
                  <w:tcBorders>
                    <w:top w:val="nil"/>
                    <w:left w:val="single" w:color="auto" w:sz="4" w:space="0"/>
                    <w:bottom w:val="single" w:color="auto" w:sz="4" w:space="0"/>
                    <w:right w:val="single" w:color="auto" w:sz="4" w:space="0"/>
                  </w:tcBorders>
                  <w:vAlign w:val="center"/>
                </w:tcPr>
                <w:p w14:paraId="3FF13B96">
                  <w:pPr>
                    <w:jc w:val="center"/>
                    <w:rPr>
                      <w:szCs w:val="21"/>
                      <w:u w:val="single"/>
                    </w:rPr>
                  </w:pPr>
                  <w:r>
                    <w:rPr>
                      <w:szCs w:val="21"/>
                      <w:u w:val="single"/>
                    </w:rPr>
                    <w:t>22.1万m</w:t>
                  </w:r>
                  <w:r>
                    <w:rPr>
                      <w:szCs w:val="21"/>
                      <w:u w:val="single"/>
                      <w:vertAlign w:val="superscript"/>
                    </w:rPr>
                    <w:t>2</w:t>
                  </w:r>
                  <w:r>
                    <w:rPr>
                      <w:szCs w:val="21"/>
                      <w:u w:val="single"/>
                    </w:rPr>
                    <w:t>/a</w:t>
                  </w:r>
                </w:p>
              </w:tc>
              <w:tc>
                <w:tcPr>
                  <w:tcW w:w="1438" w:type="pct"/>
                  <w:vMerge w:val="continue"/>
                  <w:tcBorders>
                    <w:top w:val="nil"/>
                    <w:left w:val="single" w:color="auto" w:sz="4" w:space="0"/>
                    <w:bottom w:val="single" w:color="auto" w:sz="4" w:space="0"/>
                    <w:right w:val="single" w:color="auto" w:sz="4" w:space="0"/>
                  </w:tcBorders>
                  <w:vAlign w:val="center"/>
                </w:tcPr>
                <w:p w14:paraId="265A8DD6">
                  <w:pPr>
                    <w:widowControl/>
                    <w:jc w:val="left"/>
                    <w:rPr>
                      <w:szCs w:val="21"/>
                    </w:rPr>
                  </w:pPr>
                </w:p>
              </w:tc>
            </w:tr>
            <w:tr w14:paraId="1171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093CA432">
                  <w:pPr>
                    <w:widowControl/>
                    <w:jc w:val="left"/>
                    <w:rPr>
                      <w:szCs w:val="21"/>
                    </w:rPr>
                  </w:pPr>
                </w:p>
              </w:tc>
              <w:tc>
                <w:tcPr>
                  <w:tcW w:w="1351" w:type="pct"/>
                  <w:tcBorders>
                    <w:top w:val="single" w:color="auto" w:sz="4" w:space="0"/>
                    <w:left w:val="single" w:color="auto" w:sz="4" w:space="0"/>
                    <w:bottom w:val="single" w:color="auto" w:sz="4" w:space="0"/>
                    <w:right w:val="single" w:color="auto" w:sz="4" w:space="0"/>
                  </w:tcBorders>
                  <w:vAlign w:val="center"/>
                </w:tcPr>
                <w:p w14:paraId="52EC0434">
                  <w:pPr>
                    <w:jc w:val="center"/>
                    <w:rPr>
                      <w:szCs w:val="21"/>
                    </w:rPr>
                  </w:pPr>
                  <w:r>
                    <w:rPr>
                      <w:szCs w:val="21"/>
                    </w:rPr>
                    <w:t>3.66m*2.44m*8.0mm</w:t>
                  </w:r>
                </w:p>
              </w:tc>
              <w:tc>
                <w:tcPr>
                  <w:tcW w:w="810" w:type="pct"/>
                  <w:tcBorders>
                    <w:top w:val="nil"/>
                    <w:left w:val="single" w:color="auto" w:sz="4" w:space="0"/>
                    <w:bottom w:val="single" w:color="auto" w:sz="4" w:space="0"/>
                    <w:right w:val="single" w:color="auto" w:sz="4" w:space="0"/>
                  </w:tcBorders>
                  <w:vAlign w:val="center"/>
                </w:tcPr>
                <w:p w14:paraId="1EA0F06C">
                  <w:pPr>
                    <w:jc w:val="center"/>
                    <w:rPr>
                      <w:szCs w:val="21"/>
                      <w:u w:val="single"/>
                    </w:rPr>
                  </w:pPr>
                  <w:r>
                    <w:rPr>
                      <w:szCs w:val="21"/>
                      <w:u w:val="single"/>
                    </w:rPr>
                    <w:t>12.2万m</w:t>
                  </w:r>
                  <w:r>
                    <w:rPr>
                      <w:szCs w:val="21"/>
                      <w:u w:val="single"/>
                      <w:vertAlign w:val="superscript"/>
                    </w:rPr>
                    <w:t>2</w:t>
                  </w:r>
                  <w:r>
                    <w:rPr>
                      <w:szCs w:val="21"/>
                      <w:u w:val="single"/>
                    </w:rPr>
                    <w:t>/a</w:t>
                  </w:r>
                </w:p>
              </w:tc>
              <w:tc>
                <w:tcPr>
                  <w:tcW w:w="811" w:type="pct"/>
                  <w:gridSpan w:val="2"/>
                  <w:tcBorders>
                    <w:top w:val="nil"/>
                    <w:left w:val="single" w:color="auto" w:sz="4" w:space="0"/>
                    <w:bottom w:val="single" w:color="auto" w:sz="4" w:space="0"/>
                    <w:right w:val="single" w:color="auto" w:sz="4" w:space="0"/>
                  </w:tcBorders>
                  <w:vAlign w:val="center"/>
                </w:tcPr>
                <w:p w14:paraId="488E70AA">
                  <w:pPr>
                    <w:jc w:val="center"/>
                    <w:rPr>
                      <w:szCs w:val="21"/>
                      <w:u w:val="single"/>
                    </w:rPr>
                  </w:pPr>
                  <w:r>
                    <w:rPr>
                      <w:szCs w:val="21"/>
                      <w:u w:val="single"/>
                    </w:rPr>
                    <w:t>12.2万m</w:t>
                  </w:r>
                  <w:r>
                    <w:rPr>
                      <w:szCs w:val="21"/>
                      <w:u w:val="single"/>
                      <w:vertAlign w:val="superscript"/>
                    </w:rPr>
                    <w:t>2</w:t>
                  </w:r>
                  <w:r>
                    <w:rPr>
                      <w:szCs w:val="21"/>
                      <w:u w:val="single"/>
                    </w:rPr>
                    <w:t>/a</w:t>
                  </w:r>
                </w:p>
              </w:tc>
              <w:tc>
                <w:tcPr>
                  <w:tcW w:w="1438" w:type="pct"/>
                  <w:vMerge w:val="continue"/>
                  <w:tcBorders>
                    <w:top w:val="nil"/>
                    <w:left w:val="single" w:color="auto" w:sz="4" w:space="0"/>
                    <w:bottom w:val="single" w:color="auto" w:sz="4" w:space="0"/>
                    <w:right w:val="single" w:color="auto" w:sz="4" w:space="0"/>
                  </w:tcBorders>
                  <w:vAlign w:val="center"/>
                </w:tcPr>
                <w:p w14:paraId="4996FFC8">
                  <w:pPr>
                    <w:widowControl/>
                    <w:jc w:val="left"/>
                    <w:rPr>
                      <w:szCs w:val="21"/>
                    </w:rPr>
                  </w:pPr>
                </w:p>
              </w:tc>
            </w:tr>
            <w:tr w14:paraId="1DC9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0E955221">
                  <w:pPr>
                    <w:widowControl/>
                    <w:jc w:val="left"/>
                    <w:rPr>
                      <w:szCs w:val="21"/>
                    </w:rPr>
                  </w:pPr>
                </w:p>
              </w:tc>
              <w:tc>
                <w:tcPr>
                  <w:tcW w:w="1351" w:type="pct"/>
                  <w:tcBorders>
                    <w:top w:val="single" w:color="auto" w:sz="4" w:space="0"/>
                    <w:left w:val="single" w:color="auto" w:sz="4" w:space="0"/>
                    <w:bottom w:val="single" w:color="auto" w:sz="4" w:space="0"/>
                    <w:right w:val="single" w:color="auto" w:sz="4" w:space="0"/>
                  </w:tcBorders>
                  <w:vAlign w:val="center"/>
                </w:tcPr>
                <w:p w14:paraId="2C0B81D5">
                  <w:pPr>
                    <w:jc w:val="center"/>
                    <w:rPr>
                      <w:szCs w:val="21"/>
                    </w:rPr>
                  </w:pPr>
                  <w:r>
                    <w:rPr>
                      <w:szCs w:val="21"/>
                    </w:rPr>
                    <w:t>3.66m*2.44m*10.0mm</w:t>
                  </w:r>
                </w:p>
              </w:tc>
              <w:tc>
                <w:tcPr>
                  <w:tcW w:w="810" w:type="pct"/>
                  <w:tcBorders>
                    <w:top w:val="nil"/>
                    <w:left w:val="single" w:color="auto" w:sz="4" w:space="0"/>
                    <w:bottom w:val="single" w:color="auto" w:sz="4" w:space="0"/>
                    <w:right w:val="single" w:color="auto" w:sz="4" w:space="0"/>
                  </w:tcBorders>
                  <w:vAlign w:val="center"/>
                </w:tcPr>
                <w:p w14:paraId="74E22E4E">
                  <w:pPr>
                    <w:jc w:val="center"/>
                    <w:rPr>
                      <w:szCs w:val="21"/>
                      <w:u w:val="single"/>
                    </w:rPr>
                  </w:pPr>
                  <w:r>
                    <w:rPr>
                      <w:szCs w:val="21"/>
                      <w:u w:val="single"/>
                    </w:rPr>
                    <w:t>4.1万m</w:t>
                  </w:r>
                  <w:r>
                    <w:rPr>
                      <w:szCs w:val="21"/>
                      <w:u w:val="single"/>
                      <w:vertAlign w:val="superscript"/>
                    </w:rPr>
                    <w:t>2</w:t>
                  </w:r>
                  <w:r>
                    <w:rPr>
                      <w:szCs w:val="21"/>
                      <w:u w:val="single"/>
                    </w:rPr>
                    <w:t>/a</w:t>
                  </w:r>
                </w:p>
              </w:tc>
              <w:tc>
                <w:tcPr>
                  <w:tcW w:w="811" w:type="pct"/>
                  <w:gridSpan w:val="2"/>
                  <w:tcBorders>
                    <w:top w:val="nil"/>
                    <w:left w:val="single" w:color="auto" w:sz="4" w:space="0"/>
                    <w:bottom w:val="single" w:color="auto" w:sz="4" w:space="0"/>
                    <w:right w:val="single" w:color="auto" w:sz="4" w:space="0"/>
                  </w:tcBorders>
                  <w:vAlign w:val="center"/>
                </w:tcPr>
                <w:p w14:paraId="41FC8AC4">
                  <w:pPr>
                    <w:jc w:val="center"/>
                    <w:rPr>
                      <w:szCs w:val="21"/>
                      <w:u w:val="single"/>
                    </w:rPr>
                  </w:pPr>
                  <w:r>
                    <w:rPr>
                      <w:szCs w:val="21"/>
                      <w:u w:val="single"/>
                    </w:rPr>
                    <w:t>4.1万m</w:t>
                  </w:r>
                  <w:r>
                    <w:rPr>
                      <w:szCs w:val="21"/>
                      <w:u w:val="single"/>
                      <w:vertAlign w:val="superscript"/>
                    </w:rPr>
                    <w:t>2</w:t>
                  </w:r>
                  <w:r>
                    <w:rPr>
                      <w:szCs w:val="21"/>
                      <w:u w:val="single"/>
                    </w:rPr>
                    <w:t>/a</w:t>
                  </w:r>
                </w:p>
              </w:tc>
              <w:tc>
                <w:tcPr>
                  <w:tcW w:w="1438" w:type="pct"/>
                  <w:vMerge w:val="continue"/>
                  <w:tcBorders>
                    <w:top w:val="nil"/>
                    <w:left w:val="single" w:color="auto" w:sz="4" w:space="0"/>
                    <w:bottom w:val="single" w:color="auto" w:sz="4" w:space="0"/>
                    <w:right w:val="single" w:color="auto" w:sz="4" w:space="0"/>
                  </w:tcBorders>
                  <w:vAlign w:val="center"/>
                </w:tcPr>
                <w:p w14:paraId="06E133E5">
                  <w:pPr>
                    <w:widowControl/>
                    <w:jc w:val="left"/>
                    <w:rPr>
                      <w:szCs w:val="21"/>
                    </w:rPr>
                  </w:pPr>
                </w:p>
              </w:tc>
            </w:tr>
            <w:tr w14:paraId="73F0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0" w:type="pct"/>
                  <w:vMerge w:val="continue"/>
                  <w:tcBorders>
                    <w:top w:val="nil"/>
                    <w:left w:val="single" w:color="auto" w:sz="4" w:space="0"/>
                    <w:bottom w:val="single" w:color="auto" w:sz="4" w:space="0"/>
                    <w:right w:val="single" w:color="auto" w:sz="4" w:space="0"/>
                  </w:tcBorders>
                  <w:vAlign w:val="center"/>
                </w:tcPr>
                <w:p w14:paraId="523F96A4">
                  <w:pPr>
                    <w:widowControl/>
                    <w:jc w:val="left"/>
                    <w:rPr>
                      <w:szCs w:val="21"/>
                    </w:rPr>
                  </w:pPr>
                </w:p>
              </w:tc>
              <w:tc>
                <w:tcPr>
                  <w:tcW w:w="1351" w:type="pct"/>
                  <w:tcBorders>
                    <w:top w:val="single" w:color="auto" w:sz="4" w:space="0"/>
                    <w:left w:val="single" w:color="auto" w:sz="4" w:space="0"/>
                    <w:bottom w:val="single" w:color="auto" w:sz="4" w:space="0"/>
                    <w:right w:val="single" w:color="auto" w:sz="4" w:space="0"/>
                  </w:tcBorders>
                  <w:vAlign w:val="center"/>
                </w:tcPr>
                <w:p w14:paraId="1C3B40FC">
                  <w:pPr>
                    <w:jc w:val="center"/>
                    <w:rPr>
                      <w:szCs w:val="21"/>
                    </w:rPr>
                  </w:pPr>
                  <w:r>
                    <w:rPr>
                      <w:szCs w:val="21"/>
                    </w:rPr>
                    <w:t>3.66m*2.44m*12.0mm</w:t>
                  </w:r>
                </w:p>
              </w:tc>
              <w:tc>
                <w:tcPr>
                  <w:tcW w:w="810" w:type="pct"/>
                  <w:tcBorders>
                    <w:top w:val="nil"/>
                    <w:left w:val="single" w:color="auto" w:sz="4" w:space="0"/>
                    <w:bottom w:val="single" w:color="auto" w:sz="4" w:space="0"/>
                    <w:right w:val="single" w:color="auto" w:sz="4" w:space="0"/>
                  </w:tcBorders>
                  <w:vAlign w:val="center"/>
                </w:tcPr>
                <w:p w14:paraId="569CB3C0">
                  <w:pPr>
                    <w:jc w:val="center"/>
                    <w:rPr>
                      <w:szCs w:val="21"/>
                      <w:u w:val="single"/>
                    </w:rPr>
                  </w:pPr>
                  <w:r>
                    <w:rPr>
                      <w:szCs w:val="21"/>
                      <w:u w:val="single"/>
                    </w:rPr>
                    <w:t>4.1万m</w:t>
                  </w:r>
                  <w:r>
                    <w:rPr>
                      <w:szCs w:val="21"/>
                      <w:u w:val="single"/>
                      <w:vertAlign w:val="superscript"/>
                    </w:rPr>
                    <w:t>2</w:t>
                  </w:r>
                  <w:r>
                    <w:rPr>
                      <w:szCs w:val="21"/>
                      <w:u w:val="single"/>
                    </w:rPr>
                    <w:t>/a</w:t>
                  </w:r>
                </w:p>
              </w:tc>
              <w:tc>
                <w:tcPr>
                  <w:tcW w:w="811" w:type="pct"/>
                  <w:gridSpan w:val="2"/>
                  <w:tcBorders>
                    <w:top w:val="nil"/>
                    <w:left w:val="single" w:color="auto" w:sz="4" w:space="0"/>
                    <w:bottom w:val="single" w:color="auto" w:sz="4" w:space="0"/>
                    <w:right w:val="single" w:color="auto" w:sz="4" w:space="0"/>
                  </w:tcBorders>
                  <w:vAlign w:val="center"/>
                </w:tcPr>
                <w:p w14:paraId="3C6473DD">
                  <w:pPr>
                    <w:jc w:val="center"/>
                    <w:rPr>
                      <w:szCs w:val="21"/>
                      <w:u w:val="single"/>
                    </w:rPr>
                  </w:pPr>
                  <w:r>
                    <w:rPr>
                      <w:szCs w:val="21"/>
                      <w:u w:val="single"/>
                    </w:rPr>
                    <w:t>4.1万m</w:t>
                  </w:r>
                  <w:r>
                    <w:rPr>
                      <w:szCs w:val="21"/>
                      <w:u w:val="single"/>
                      <w:vertAlign w:val="superscript"/>
                    </w:rPr>
                    <w:t>2</w:t>
                  </w:r>
                  <w:r>
                    <w:rPr>
                      <w:szCs w:val="21"/>
                      <w:u w:val="single"/>
                    </w:rPr>
                    <w:t>/a</w:t>
                  </w:r>
                </w:p>
              </w:tc>
              <w:tc>
                <w:tcPr>
                  <w:tcW w:w="1438" w:type="pct"/>
                  <w:vMerge w:val="continue"/>
                  <w:tcBorders>
                    <w:top w:val="nil"/>
                    <w:left w:val="single" w:color="auto" w:sz="4" w:space="0"/>
                    <w:bottom w:val="single" w:color="auto" w:sz="4" w:space="0"/>
                    <w:right w:val="single" w:color="auto" w:sz="4" w:space="0"/>
                  </w:tcBorders>
                  <w:vAlign w:val="center"/>
                </w:tcPr>
                <w:p w14:paraId="1E93797D">
                  <w:pPr>
                    <w:widowControl/>
                    <w:jc w:val="left"/>
                    <w:rPr>
                      <w:szCs w:val="21"/>
                    </w:rPr>
                  </w:pPr>
                </w:p>
              </w:tc>
            </w:tr>
            <w:tr w14:paraId="5C2A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90" w:type="pct"/>
                  <w:tcBorders>
                    <w:top w:val="single" w:color="auto" w:sz="4" w:space="0"/>
                    <w:left w:val="single" w:color="auto" w:sz="4" w:space="0"/>
                    <w:bottom w:val="single" w:color="auto" w:sz="4" w:space="0"/>
                    <w:right w:val="single" w:color="auto" w:sz="4" w:space="0"/>
                  </w:tcBorders>
                  <w:vAlign w:val="center"/>
                </w:tcPr>
                <w:p w14:paraId="241930DE">
                  <w:pPr>
                    <w:jc w:val="center"/>
                    <w:rPr>
                      <w:szCs w:val="21"/>
                    </w:rPr>
                  </w:pPr>
                  <w:r>
                    <w:rPr>
                      <w:szCs w:val="21"/>
                    </w:rPr>
                    <w:t>铝条</w:t>
                  </w:r>
                </w:p>
              </w:tc>
              <w:tc>
                <w:tcPr>
                  <w:tcW w:w="1351" w:type="pct"/>
                  <w:tcBorders>
                    <w:top w:val="single" w:color="auto" w:sz="4" w:space="0"/>
                    <w:left w:val="single" w:color="auto" w:sz="4" w:space="0"/>
                    <w:bottom w:val="single" w:color="auto" w:sz="4" w:space="0"/>
                    <w:right w:val="single" w:color="auto" w:sz="4" w:space="0"/>
                  </w:tcBorders>
                  <w:vAlign w:val="center"/>
                </w:tcPr>
                <w:p w14:paraId="2AEAFA04">
                  <w:pPr>
                    <w:jc w:val="center"/>
                    <w:rPr>
                      <w:szCs w:val="21"/>
                    </w:rPr>
                  </w:pPr>
                  <w:r>
                    <w:rPr>
                      <w:szCs w:val="21"/>
                    </w:rPr>
                    <w:t>固体</w:t>
                  </w:r>
                </w:p>
              </w:tc>
              <w:tc>
                <w:tcPr>
                  <w:tcW w:w="810" w:type="pct"/>
                  <w:tcBorders>
                    <w:top w:val="single" w:color="auto" w:sz="4" w:space="0"/>
                    <w:left w:val="single" w:color="auto" w:sz="4" w:space="0"/>
                    <w:bottom w:val="single" w:color="auto" w:sz="4" w:space="0"/>
                    <w:right w:val="single" w:color="auto" w:sz="4" w:space="0"/>
                  </w:tcBorders>
                  <w:vAlign w:val="center"/>
                </w:tcPr>
                <w:p w14:paraId="2B958F63">
                  <w:pPr>
                    <w:jc w:val="center"/>
                    <w:rPr>
                      <w:szCs w:val="21"/>
                      <w:u w:val="single"/>
                    </w:rPr>
                  </w:pPr>
                  <w:r>
                    <w:rPr>
                      <w:szCs w:val="21"/>
                      <w:u w:val="single"/>
                    </w:rPr>
                    <w:t>10t</w:t>
                  </w:r>
                  <w:r>
                    <w:rPr>
                      <w:rFonts w:hint="eastAsia"/>
                      <w:szCs w:val="21"/>
                      <w:u w:val="single"/>
                    </w:rPr>
                    <w:t>/a</w:t>
                  </w:r>
                </w:p>
              </w:tc>
              <w:tc>
                <w:tcPr>
                  <w:tcW w:w="811" w:type="pct"/>
                  <w:gridSpan w:val="2"/>
                  <w:tcBorders>
                    <w:top w:val="single" w:color="auto" w:sz="4" w:space="0"/>
                    <w:left w:val="single" w:color="auto" w:sz="4" w:space="0"/>
                    <w:bottom w:val="single" w:color="auto" w:sz="4" w:space="0"/>
                    <w:right w:val="single" w:color="auto" w:sz="4" w:space="0"/>
                  </w:tcBorders>
                  <w:vAlign w:val="center"/>
                </w:tcPr>
                <w:p w14:paraId="32FDF601">
                  <w:pPr>
                    <w:jc w:val="center"/>
                    <w:rPr>
                      <w:szCs w:val="21"/>
                      <w:u w:val="single"/>
                    </w:rPr>
                  </w:pPr>
                  <w:r>
                    <w:rPr>
                      <w:szCs w:val="21"/>
                      <w:u w:val="single"/>
                    </w:rPr>
                    <w:t>10t</w:t>
                  </w:r>
                  <w:r>
                    <w:rPr>
                      <w:rFonts w:hint="eastAsia"/>
                      <w:szCs w:val="21"/>
                      <w:u w:val="single"/>
                    </w:rPr>
                    <w:t>/a</w:t>
                  </w:r>
                </w:p>
              </w:tc>
              <w:tc>
                <w:tcPr>
                  <w:tcW w:w="1438" w:type="pct"/>
                  <w:tcBorders>
                    <w:top w:val="single" w:color="auto" w:sz="4" w:space="0"/>
                    <w:left w:val="single" w:color="auto" w:sz="4" w:space="0"/>
                    <w:bottom w:val="single" w:color="auto" w:sz="4" w:space="0"/>
                    <w:right w:val="single" w:color="auto" w:sz="4" w:space="0"/>
                  </w:tcBorders>
                  <w:vAlign w:val="center"/>
                </w:tcPr>
                <w:p w14:paraId="71714244">
                  <w:pPr>
                    <w:jc w:val="center"/>
                    <w:rPr>
                      <w:szCs w:val="21"/>
                    </w:rPr>
                  </w:pPr>
                  <w:r>
                    <w:rPr>
                      <w:szCs w:val="21"/>
                    </w:rPr>
                    <w:t>外购</w:t>
                  </w:r>
                </w:p>
              </w:tc>
            </w:tr>
            <w:tr w14:paraId="1F85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90" w:type="pct"/>
                  <w:tcBorders>
                    <w:top w:val="single" w:color="auto" w:sz="4" w:space="0"/>
                    <w:left w:val="single" w:color="auto" w:sz="4" w:space="0"/>
                    <w:bottom w:val="single" w:color="auto" w:sz="4" w:space="0"/>
                    <w:right w:val="single" w:color="auto" w:sz="4" w:space="0"/>
                  </w:tcBorders>
                  <w:vAlign w:val="center"/>
                </w:tcPr>
                <w:p w14:paraId="5C480D24">
                  <w:pPr>
                    <w:jc w:val="center"/>
                    <w:rPr>
                      <w:szCs w:val="21"/>
                      <w:u w:val="single"/>
                    </w:rPr>
                  </w:pPr>
                  <w:r>
                    <w:rPr>
                      <w:szCs w:val="21"/>
                      <w:u w:val="single"/>
                    </w:rPr>
                    <w:t>硅酮胶</w:t>
                  </w:r>
                </w:p>
              </w:tc>
              <w:tc>
                <w:tcPr>
                  <w:tcW w:w="1351" w:type="pct"/>
                  <w:tcBorders>
                    <w:top w:val="single" w:color="auto" w:sz="4" w:space="0"/>
                    <w:left w:val="single" w:color="auto" w:sz="4" w:space="0"/>
                    <w:bottom w:val="single" w:color="auto" w:sz="4" w:space="0"/>
                    <w:right w:val="single" w:color="auto" w:sz="4" w:space="0"/>
                  </w:tcBorders>
                  <w:vAlign w:val="center"/>
                </w:tcPr>
                <w:p w14:paraId="21D38BE4">
                  <w:pPr>
                    <w:jc w:val="center"/>
                    <w:rPr>
                      <w:szCs w:val="21"/>
                      <w:u w:val="single"/>
                    </w:rPr>
                  </w:pPr>
                  <w:r>
                    <w:rPr>
                      <w:szCs w:val="21"/>
                      <w:u w:val="single"/>
                    </w:rPr>
                    <w:t>固体</w:t>
                  </w:r>
                </w:p>
              </w:tc>
              <w:tc>
                <w:tcPr>
                  <w:tcW w:w="810" w:type="pct"/>
                  <w:tcBorders>
                    <w:top w:val="single" w:color="auto" w:sz="4" w:space="0"/>
                    <w:left w:val="single" w:color="auto" w:sz="4" w:space="0"/>
                    <w:bottom w:val="single" w:color="auto" w:sz="4" w:space="0"/>
                    <w:right w:val="single" w:color="auto" w:sz="4" w:space="0"/>
                  </w:tcBorders>
                  <w:vAlign w:val="center"/>
                </w:tcPr>
                <w:p w14:paraId="1B77A761">
                  <w:pPr>
                    <w:jc w:val="center"/>
                    <w:rPr>
                      <w:szCs w:val="21"/>
                      <w:u w:val="single"/>
                    </w:rPr>
                  </w:pPr>
                  <w:r>
                    <w:rPr>
                      <w:szCs w:val="21"/>
                      <w:u w:val="single"/>
                    </w:rPr>
                    <w:t>15t</w:t>
                  </w:r>
                  <w:r>
                    <w:rPr>
                      <w:rFonts w:hint="eastAsia"/>
                      <w:szCs w:val="21"/>
                      <w:u w:val="single"/>
                    </w:rPr>
                    <w:t>/a</w:t>
                  </w:r>
                </w:p>
              </w:tc>
              <w:tc>
                <w:tcPr>
                  <w:tcW w:w="811" w:type="pct"/>
                  <w:gridSpan w:val="2"/>
                  <w:tcBorders>
                    <w:top w:val="single" w:color="auto" w:sz="4" w:space="0"/>
                    <w:left w:val="single" w:color="auto" w:sz="4" w:space="0"/>
                    <w:bottom w:val="single" w:color="auto" w:sz="4" w:space="0"/>
                    <w:right w:val="single" w:color="auto" w:sz="4" w:space="0"/>
                  </w:tcBorders>
                  <w:vAlign w:val="center"/>
                </w:tcPr>
                <w:p w14:paraId="12DFBA81">
                  <w:pPr>
                    <w:jc w:val="center"/>
                    <w:rPr>
                      <w:szCs w:val="21"/>
                      <w:u w:val="single"/>
                    </w:rPr>
                  </w:pPr>
                  <w:r>
                    <w:rPr>
                      <w:szCs w:val="21"/>
                      <w:u w:val="single"/>
                    </w:rPr>
                    <w:t>15t</w:t>
                  </w:r>
                  <w:r>
                    <w:rPr>
                      <w:rFonts w:hint="eastAsia"/>
                      <w:szCs w:val="21"/>
                      <w:u w:val="single"/>
                    </w:rPr>
                    <w:t>/a</w:t>
                  </w:r>
                </w:p>
              </w:tc>
              <w:tc>
                <w:tcPr>
                  <w:tcW w:w="1438" w:type="pct"/>
                  <w:tcBorders>
                    <w:top w:val="single" w:color="auto" w:sz="4" w:space="0"/>
                    <w:left w:val="single" w:color="auto" w:sz="4" w:space="0"/>
                    <w:bottom w:val="single" w:color="auto" w:sz="4" w:space="0"/>
                    <w:right w:val="single" w:color="auto" w:sz="4" w:space="0"/>
                  </w:tcBorders>
                  <w:vAlign w:val="center"/>
                </w:tcPr>
                <w:p w14:paraId="5C9D1504">
                  <w:pPr>
                    <w:jc w:val="center"/>
                    <w:rPr>
                      <w:szCs w:val="21"/>
                      <w:u w:val="single"/>
                    </w:rPr>
                  </w:pPr>
                  <w:r>
                    <w:rPr>
                      <w:szCs w:val="21"/>
                      <w:u w:val="single"/>
                    </w:rPr>
                    <w:t xml:space="preserve">A/B双组份，桶装 </w:t>
                  </w:r>
                </w:p>
              </w:tc>
            </w:tr>
            <w:tr w14:paraId="7C0C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90" w:type="pct"/>
                  <w:tcBorders>
                    <w:top w:val="single" w:color="auto" w:sz="4" w:space="0"/>
                    <w:left w:val="single" w:color="auto" w:sz="4" w:space="0"/>
                    <w:bottom w:val="single" w:color="auto" w:sz="4" w:space="0"/>
                    <w:right w:val="single" w:color="auto" w:sz="4" w:space="0"/>
                  </w:tcBorders>
                  <w:vAlign w:val="center"/>
                </w:tcPr>
                <w:p w14:paraId="31C4B386">
                  <w:pPr>
                    <w:jc w:val="center"/>
                    <w:rPr>
                      <w:szCs w:val="21"/>
                      <w:u w:val="single"/>
                    </w:rPr>
                  </w:pPr>
                  <w:r>
                    <w:rPr>
                      <w:szCs w:val="21"/>
                      <w:u w:val="single"/>
                    </w:rPr>
                    <w:t>丁基胶</w:t>
                  </w:r>
                </w:p>
              </w:tc>
              <w:tc>
                <w:tcPr>
                  <w:tcW w:w="1351" w:type="pct"/>
                  <w:tcBorders>
                    <w:top w:val="single" w:color="auto" w:sz="4" w:space="0"/>
                    <w:left w:val="single" w:color="auto" w:sz="4" w:space="0"/>
                    <w:bottom w:val="single" w:color="auto" w:sz="4" w:space="0"/>
                    <w:right w:val="single" w:color="auto" w:sz="4" w:space="0"/>
                  </w:tcBorders>
                  <w:vAlign w:val="center"/>
                </w:tcPr>
                <w:p w14:paraId="4F1D3BD6">
                  <w:pPr>
                    <w:jc w:val="center"/>
                    <w:rPr>
                      <w:szCs w:val="21"/>
                      <w:u w:val="single"/>
                    </w:rPr>
                  </w:pPr>
                  <w:r>
                    <w:rPr>
                      <w:szCs w:val="21"/>
                      <w:u w:val="single"/>
                    </w:rPr>
                    <w:t>固体</w:t>
                  </w:r>
                </w:p>
              </w:tc>
              <w:tc>
                <w:tcPr>
                  <w:tcW w:w="810" w:type="pct"/>
                  <w:tcBorders>
                    <w:top w:val="single" w:color="auto" w:sz="4" w:space="0"/>
                    <w:left w:val="single" w:color="auto" w:sz="4" w:space="0"/>
                    <w:bottom w:val="single" w:color="auto" w:sz="4" w:space="0"/>
                    <w:right w:val="single" w:color="auto" w:sz="4" w:space="0"/>
                  </w:tcBorders>
                  <w:vAlign w:val="center"/>
                </w:tcPr>
                <w:p w14:paraId="5CCA79D9">
                  <w:pPr>
                    <w:jc w:val="center"/>
                    <w:rPr>
                      <w:szCs w:val="21"/>
                      <w:u w:val="single"/>
                    </w:rPr>
                  </w:pPr>
                  <w:r>
                    <w:rPr>
                      <w:szCs w:val="21"/>
                      <w:u w:val="single"/>
                    </w:rPr>
                    <w:t>10t</w:t>
                  </w:r>
                  <w:r>
                    <w:rPr>
                      <w:rFonts w:hint="eastAsia"/>
                      <w:szCs w:val="21"/>
                      <w:u w:val="single"/>
                    </w:rPr>
                    <w:t>/a</w:t>
                  </w:r>
                </w:p>
              </w:tc>
              <w:tc>
                <w:tcPr>
                  <w:tcW w:w="811" w:type="pct"/>
                  <w:gridSpan w:val="2"/>
                  <w:tcBorders>
                    <w:top w:val="single" w:color="auto" w:sz="4" w:space="0"/>
                    <w:left w:val="single" w:color="auto" w:sz="4" w:space="0"/>
                    <w:bottom w:val="single" w:color="auto" w:sz="4" w:space="0"/>
                    <w:right w:val="single" w:color="auto" w:sz="4" w:space="0"/>
                  </w:tcBorders>
                  <w:vAlign w:val="center"/>
                </w:tcPr>
                <w:p w14:paraId="22BC3FAB">
                  <w:pPr>
                    <w:jc w:val="center"/>
                    <w:rPr>
                      <w:szCs w:val="21"/>
                      <w:u w:val="single"/>
                    </w:rPr>
                  </w:pPr>
                  <w:r>
                    <w:rPr>
                      <w:szCs w:val="21"/>
                      <w:u w:val="single"/>
                    </w:rPr>
                    <w:t>10t</w:t>
                  </w:r>
                  <w:r>
                    <w:rPr>
                      <w:rFonts w:hint="eastAsia"/>
                      <w:szCs w:val="21"/>
                      <w:u w:val="single"/>
                    </w:rPr>
                    <w:t>/a</w:t>
                  </w:r>
                </w:p>
              </w:tc>
              <w:tc>
                <w:tcPr>
                  <w:tcW w:w="1438" w:type="pct"/>
                  <w:tcBorders>
                    <w:top w:val="single" w:color="auto" w:sz="4" w:space="0"/>
                    <w:left w:val="single" w:color="auto" w:sz="4" w:space="0"/>
                    <w:bottom w:val="single" w:color="auto" w:sz="4" w:space="0"/>
                    <w:right w:val="single" w:color="auto" w:sz="4" w:space="0"/>
                  </w:tcBorders>
                  <w:vAlign w:val="center"/>
                </w:tcPr>
                <w:p w14:paraId="0F2178BA">
                  <w:pPr>
                    <w:jc w:val="center"/>
                    <w:rPr>
                      <w:szCs w:val="21"/>
                      <w:u w:val="single"/>
                    </w:rPr>
                  </w:pPr>
                  <w:r>
                    <w:rPr>
                      <w:szCs w:val="21"/>
                      <w:u w:val="single"/>
                    </w:rPr>
                    <w:t>单组份</w:t>
                  </w:r>
                  <w:r>
                    <w:rPr>
                      <w:rFonts w:hint="eastAsia"/>
                      <w:szCs w:val="21"/>
                      <w:u w:val="single"/>
                    </w:rPr>
                    <w:t>，</w:t>
                  </w:r>
                  <w:r>
                    <w:rPr>
                      <w:szCs w:val="21"/>
                      <w:u w:val="single"/>
                    </w:rPr>
                    <w:t>桶装</w:t>
                  </w:r>
                </w:p>
              </w:tc>
            </w:tr>
            <w:tr w14:paraId="0EEC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90" w:type="pct"/>
                  <w:tcBorders>
                    <w:top w:val="single" w:color="auto" w:sz="4" w:space="0"/>
                    <w:left w:val="single" w:color="auto" w:sz="4" w:space="0"/>
                    <w:bottom w:val="single" w:color="auto" w:sz="4" w:space="0"/>
                    <w:right w:val="single" w:color="auto" w:sz="4" w:space="0"/>
                  </w:tcBorders>
                  <w:vAlign w:val="center"/>
                </w:tcPr>
                <w:p w14:paraId="7615E1B5">
                  <w:pPr>
                    <w:jc w:val="center"/>
                    <w:rPr>
                      <w:szCs w:val="21"/>
                      <w:u w:val="single"/>
                    </w:rPr>
                  </w:pPr>
                  <w:r>
                    <w:rPr>
                      <w:szCs w:val="21"/>
                      <w:u w:val="single"/>
                    </w:rPr>
                    <w:t>分子筛</w:t>
                  </w:r>
                </w:p>
              </w:tc>
              <w:tc>
                <w:tcPr>
                  <w:tcW w:w="1351" w:type="pct"/>
                  <w:tcBorders>
                    <w:top w:val="single" w:color="auto" w:sz="4" w:space="0"/>
                    <w:left w:val="single" w:color="auto" w:sz="4" w:space="0"/>
                    <w:bottom w:val="single" w:color="auto" w:sz="4" w:space="0"/>
                    <w:right w:val="single" w:color="auto" w:sz="4" w:space="0"/>
                  </w:tcBorders>
                  <w:vAlign w:val="center"/>
                </w:tcPr>
                <w:p w14:paraId="20ED80A9">
                  <w:pPr>
                    <w:jc w:val="center"/>
                    <w:rPr>
                      <w:szCs w:val="21"/>
                      <w:u w:val="single"/>
                    </w:rPr>
                  </w:pPr>
                  <w:r>
                    <w:rPr>
                      <w:szCs w:val="21"/>
                      <w:u w:val="single"/>
                    </w:rPr>
                    <w:t>固体</w:t>
                  </w:r>
                </w:p>
              </w:tc>
              <w:tc>
                <w:tcPr>
                  <w:tcW w:w="810" w:type="pct"/>
                  <w:tcBorders>
                    <w:top w:val="single" w:color="auto" w:sz="4" w:space="0"/>
                    <w:left w:val="single" w:color="auto" w:sz="4" w:space="0"/>
                    <w:bottom w:val="single" w:color="auto" w:sz="4" w:space="0"/>
                    <w:right w:val="single" w:color="auto" w:sz="4" w:space="0"/>
                  </w:tcBorders>
                  <w:vAlign w:val="center"/>
                </w:tcPr>
                <w:p w14:paraId="0F0F7CED">
                  <w:pPr>
                    <w:jc w:val="center"/>
                    <w:rPr>
                      <w:szCs w:val="21"/>
                      <w:u w:val="single"/>
                    </w:rPr>
                  </w:pPr>
                  <w:r>
                    <w:rPr>
                      <w:szCs w:val="21"/>
                      <w:u w:val="single"/>
                    </w:rPr>
                    <w:t>15t</w:t>
                  </w:r>
                  <w:r>
                    <w:rPr>
                      <w:rFonts w:hint="eastAsia"/>
                      <w:szCs w:val="21"/>
                      <w:u w:val="single"/>
                    </w:rPr>
                    <w:t>/a</w:t>
                  </w:r>
                </w:p>
              </w:tc>
              <w:tc>
                <w:tcPr>
                  <w:tcW w:w="811" w:type="pct"/>
                  <w:gridSpan w:val="2"/>
                  <w:tcBorders>
                    <w:top w:val="single" w:color="auto" w:sz="4" w:space="0"/>
                    <w:left w:val="single" w:color="auto" w:sz="4" w:space="0"/>
                    <w:bottom w:val="single" w:color="auto" w:sz="4" w:space="0"/>
                    <w:right w:val="single" w:color="auto" w:sz="4" w:space="0"/>
                  </w:tcBorders>
                  <w:vAlign w:val="center"/>
                </w:tcPr>
                <w:p w14:paraId="449B5902">
                  <w:pPr>
                    <w:jc w:val="center"/>
                    <w:rPr>
                      <w:szCs w:val="21"/>
                      <w:u w:val="single"/>
                    </w:rPr>
                  </w:pPr>
                  <w:r>
                    <w:rPr>
                      <w:szCs w:val="21"/>
                      <w:u w:val="single"/>
                    </w:rPr>
                    <w:t>15t</w:t>
                  </w:r>
                  <w:r>
                    <w:rPr>
                      <w:rFonts w:hint="eastAsia"/>
                      <w:szCs w:val="21"/>
                      <w:u w:val="single"/>
                    </w:rPr>
                    <w:t>/a</w:t>
                  </w:r>
                </w:p>
              </w:tc>
              <w:tc>
                <w:tcPr>
                  <w:tcW w:w="1438" w:type="pct"/>
                  <w:tcBorders>
                    <w:top w:val="single" w:color="auto" w:sz="4" w:space="0"/>
                    <w:left w:val="single" w:color="auto" w:sz="4" w:space="0"/>
                    <w:bottom w:val="single" w:color="auto" w:sz="4" w:space="0"/>
                    <w:right w:val="single" w:color="auto" w:sz="4" w:space="0"/>
                  </w:tcBorders>
                  <w:vAlign w:val="center"/>
                </w:tcPr>
                <w:p w14:paraId="23D9C28D">
                  <w:pPr>
                    <w:jc w:val="center"/>
                    <w:rPr>
                      <w:szCs w:val="21"/>
                    </w:rPr>
                  </w:pPr>
                  <w:r>
                    <w:rPr>
                      <w:szCs w:val="21"/>
                    </w:rPr>
                    <w:t>颗粒状，硅酸盐成分</w:t>
                  </w:r>
                </w:p>
              </w:tc>
            </w:tr>
            <w:tr w14:paraId="5044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90" w:type="pct"/>
                  <w:tcBorders>
                    <w:top w:val="single" w:color="auto" w:sz="4" w:space="0"/>
                    <w:left w:val="single" w:color="auto" w:sz="4" w:space="0"/>
                    <w:bottom w:val="single" w:color="auto" w:sz="4" w:space="0"/>
                    <w:right w:val="single" w:color="auto" w:sz="4" w:space="0"/>
                  </w:tcBorders>
                  <w:vAlign w:val="center"/>
                </w:tcPr>
                <w:p w14:paraId="3115CB6C">
                  <w:pPr>
                    <w:jc w:val="center"/>
                    <w:rPr>
                      <w:szCs w:val="21"/>
                      <w:u w:val="single"/>
                    </w:rPr>
                  </w:pPr>
                  <w:r>
                    <w:rPr>
                      <w:szCs w:val="21"/>
                      <w:u w:val="single"/>
                    </w:rPr>
                    <w:t>润滑油</w:t>
                  </w:r>
                </w:p>
              </w:tc>
              <w:tc>
                <w:tcPr>
                  <w:tcW w:w="1351" w:type="pct"/>
                  <w:tcBorders>
                    <w:top w:val="single" w:color="auto" w:sz="4" w:space="0"/>
                    <w:left w:val="single" w:color="auto" w:sz="4" w:space="0"/>
                    <w:bottom w:val="single" w:color="auto" w:sz="4" w:space="0"/>
                    <w:right w:val="single" w:color="auto" w:sz="4" w:space="0"/>
                  </w:tcBorders>
                  <w:vAlign w:val="center"/>
                </w:tcPr>
                <w:p w14:paraId="389AD610">
                  <w:pPr>
                    <w:jc w:val="center"/>
                    <w:rPr>
                      <w:szCs w:val="21"/>
                      <w:u w:val="single"/>
                    </w:rPr>
                  </w:pPr>
                  <w:r>
                    <w:rPr>
                      <w:rFonts w:hint="eastAsia"/>
                      <w:szCs w:val="21"/>
                      <w:u w:val="single"/>
                    </w:rPr>
                    <w:t>液体</w:t>
                  </w:r>
                </w:p>
              </w:tc>
              <w:tc>
                <w:tcPr>
                  <w:tcW w:w="810" w:type="pct"/>
                  <w:tcBorders>
                    <w:top w:val="single" w:color="auto" w:sz="4" w:space="0"/>
                    <w:left w:val="single" w:color="auto" w:sz="4" w:space="0"/>
                    <w:bottom w:val="single" w:color="auto" w:sz="4" w:space="0"/>
                    <w:right w:val="single" w:color="auto" w:sz="4" w:space="0"/>
                  </w:tcBorders>
                  <w:vAlign w:val="center"/>
                </w:tcPr>
                <w:p w14:paraId="3B8A605A">
                  <w:pPr>
                    <w:jc w:val="center"/>
                    <w:rPr>
                      <w:szCs w:val="21"/>
                      <w:u w:val="single"/>
                    </w:rPr>
                  </w:pPr>
                  <w:r>
                    <w:rPr>
                      <w:rFonts w:hint="eastAsia"/>
                      <w:szCs w:val="21"/>
                      <w:u w:val="single"/>
                    </w:rPr>
                    <w:t>/</w:t>
                  </w:r>
                </w:p>
              </w:tc>
              <w:tc>
                <w:tcPr>
                  <w:tcW w:w="811" w:type="pct"/>
                  <w:gridSpan w:val="2"/>
                  <w:tcBorders>
                    <w:top w:val="single" w:color="auto" w:sz="4" w:space="0"/>
                    <w:left w:val="single" w:color="auto" w:sz="4" w:space="0"/>
                    <w:bottom w:val="single" w:color="auto" w:sz="4" w:space="0"/>
                    <w:right w:val="single" w:color="auto" w:sz="4" w:space="0"/>
                  </w:tcBorders>
                  <w:vAlign w:val="center"/>
                </w:tcPr>
                <w:p w14:paraId="69CC9ABA">
                  <w:pPr>
                    <w:jc w:val="center"/>
                    <w:rPr>
                      <w:szCs w:val="21"/>
                      <w:u w:val="single"/>
                    </w:rPr>
                  </w:pPr>
                  <w:r>
                    <w:rPr>
                      <w:rFonts w:hint="eastAsia"/>
                      <w:szCs w:val="21"/>
                      <w:u w:val="single"/>
                    </w:rPr>
                    <w:t>0.1t/a</w:t>
                  </w:r>
                </w:p>
              </w:tc>
              <w:tc>
                <w:tcPr>
                  <w:tcW w:w="1438" w:type="pct"/>
                  <w:tcBorders>
                    <w:top w:val="single" w:color="auto" w:sz="4" w:space="0"/>
                    <w:left w:val="single" w:color="auto" w:sz="4" w:space="0"/>
                    <w:bottom w:val="single" w:color="auto" w:sz="4" w:space="0"/>
                    <w:right w:val="single" w:color="auto" w:sz="4" w:space="0"/>
                  </w:tcBorders>
                  <w:vAlign w:val="center"/>
                </w:tcPr>
                <w:p w14:paraId="0273962F">
                  <w:pPr>
                    <w:jc w:val="center"/>
                  </w:pPr>
                  <w:r>
                    <w:rPr>
                      <w:rFonts w:ascii="宋体" w:hAnsi="宋体"/>
                    </w:rPr>
                    <w:t>外购</w:t>
                  </w:r>
                  <w:r>
                    <w:rPr>
                      <w:rFonts w:hint="eastAsia" w:ascii="宋体" w:hAnsi="宋体"/>
                    </w:rPr>
                    <w:t>，</w:t>
                  </w:r>
                  <w:r>
                    <w:rPr>
                      <w:rFonts w:ascii="宋体" w:hAnsi="宋体"/>
                    </w:rPr>
                    <w:t>桶装</w:t>
                  </w:r>
                </w:p>
              </w:tc>
            </w:tr>
            <w:tr w14:paraId="2AEC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549A5B68">
                  <w:pPr>
                    <w:jc w:val="center"/>
                    <w:rPr>
                      <w:szCs w:val="21"/>
                    </w:rPr>
                  </w:pPr>
                  <w:r>
                    <w:rPr>
                      <w:rFonts w:hint="eastAsia"/>
                      <w:szCs w:val="21"/>
                    </w:rPr>
                    <w:t>能源消耗</w:t>
                  </w:r>
                </w:p>
              </w:tc>
            </w:tr>
            <w:tr w14:paraId="23A5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941" w:type="pct"/>
                  <w:gridSpan w:val="2"/>
                  <w:vMerge w:val="restart"/>
                  <w:tcBorders>
                    <w:top w:val="single" w:color="auto" w:sz="4" w:space="0"/>
                    <w:left w:val="single" w:color="auto" w:sz="4" w:space="0"/>
                    <w:right w:val="single" w:color="auto" w:sz="4" w:space="0"/>
                  </w:tcBorders>
                  <w:vAlign w:val="center"/>
                </w:tcPr>
                <w:p w14:paraId="409661CB">
                  <w:pPr>
                    <w:jc w:val="center"/>
                    <w:rPr>
                      <w:szCs w:val="21"/>
                    </w:rPr>
                  </w:pPr>
                  <w:r>
                    <w:rPr>
                      <w:szCs w:val="21"/>
                    </w:rPr>
                    <w:t>水</w:t>
                  </w:r>
                </w:p>
              </w:tc>
              <w:tc>
                <w:tcPr>
                  <w:tcW w:w="810" w:type="pct"/>
                  <w:tcBorders>
                    <w:top w:val="single" w:color="auto" w:sz="4" w:space="0"/>
                    <w:left w:val="single" w:color="auto" w:sz="4" w:space="0"/>
                    <w:right w:val="single" w:color="auto" w:sz="4" w:space="0"/>
                  </w:tcBorders>
                </w:tcPr>
                <w:p w14:paraId="735B39AC">
                  <w:pPr>
                    <w:jc w:val="center"/>
                    <w:rPr>
                      <w:szCs w:val="21"/>
                    </w:rPr>
                  </w:pPr>
                  <w:r>
                    <w:rPr>
                      <w:rFonts w:hint="eastAsia"/>
                      <w:szCs w:val="21"/>
                    </w:rPr>
                    <w:t>960</w:t>
                  </w:r>
                  <w:r>
                    <w:rPr>
                      <w:rFonts w:hint="eastAsia"/>
                    </w:rPr>
                    <w:t>m</w:t>
                  </w:r>
                  <w:r>
                    <w:rPr>
                      <w:rFonts w:hint="eastAsia"/>
                      <w:vertAlign w:val="superscript"/>
                    </w:rPr>
                    <w:t>3</w:t>
                  </w:r>
                  <w:r>
                    <w:rPr>
                      <w:rFonts w:hint="eastAsia"/>
                    </w:rPr>
                    <w:t>/a</w:t>
                  </w:r>
                </w:p>
              </w:tc>
              <w:tc>
                <w:tcPr>
                  <w:tcW w:w="811" w:type="pct"/>
                  <w:gridSpan w:val="2"/>
                  <w:tcBorders>
                    <w:top w:val="single" w:color="auto" w:sz="4" w:space="0"/>
                    <w:left w:val="single" w:color="auto" w:sz="4" w:space="0"/>
                    <w:bottom w:val="single" w:color="auto" w:sz="4" w:space="0"/>
                    <w:right w:val="single" w:color="auto" w:sz="4" w:space="0"/>
                  </w:tcBorders>
                  <w:vAlign w:val="center"/>
                </w:tcPr>
                <w:p w14:paraId="6533112C">
                  <w:pPr>
                    <w:jc w:val="center"/>
                    <w:rPr>
                      <w:szCs w:val="21"/>
                    </w:rPr>
                  </w:pPr>
                  <w:r>
                    <w:rPr>
                      <w:rFonts w:hint="eastAsia"/>
                      <w:szCs w:val="21"/>
                      <w:lang w:val="en-US" w:eastAsia="zh-CN"/>
                    </w:rPr>
                    <w:t>660</w:t>
                  </w:r>
                  <w:r>
                    <w:rPr>
                      <w:rFonts w:hint="eastAsia"/>
                    </w:rPr>
                    <w:t>m</w:t>
                  </w:r>
                  <w:r>
                    <w:rPr>
                      <w:rFonts w:hint="eastAsia"/>
                      <w:vertAlign w:val="superscript"/>
                    </w:rPr>
                    <w:t>3</w:t>
                  </w:r>
                  <w:r>
                    <w:rPr>
                      <w:rFonts w:hint="eastAsia"/>
                    </w:rPr>
                    <w:t>/a</w:t>
                  </w:r>
                </w:p>
              </w:tc>
              <w:tc>
                <w:tcPr>
                  <w:tcW w:w="1438" w:type="pct"/>
                  <w:tcBorders>
                    <w:top w:val="single" w:color="auto" w:sz="4" w:space="0"/>
                    <w:left w:val="single" w:color="auto" w:sz="4" w:space="0"/>
                    <w:bottom w:val="single" w:color="auto" w:sz="4" w:space="0"/>
                    <w:right w:val="single" w:color="auto" w:sz="4" w:space="0"/>
                  </w:tcBorders>
                  <w:vAlign w:val="center"/>
                </w:tcPr>
                <w:p w14:paraId="4F17D2D5">
                  <w:pPr>
                    <w:jc w:val="center"/>
                    <w:rPr>
                      <w:szCs w:val="21"/>
                    </w:rPr>
                  </w:pPr>
                  <w:r>
                    <w:rPr>
                      <w:szCs w:val="21"/>
                    </w:rPr>
                    <w:t>生活用水</w:t>
                  </w:r>
                </w:p>
              </w:tc>
            </w:tr>
            <w:tr w14:paraId="644E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941" w:type="pct"/>
                  <w:gridSpan w:val="2"/>
                  <w:vMerge w:val="continue"/>
                  <w:tcBorders>
                    <w:left w:val="single" w:color="auto" w:sz="4" w:space="0"/>
                    <w:bottom w:val="single" w:color="auto" w:sz="4" w:space="0"/>
                    <w:right w:val="single" w:color="auto" w:sz="4" w:space="0"/>
                  </w:tcBorders>
                  <w:vAlign w:val="center"/>
                </w:tcPr>
                <w:p w14:paraId="35963495">
                  <w:pPr>
                    <w:jc w:val="center"/>
                    <w:rPr>
                      <w:szCs w:val="21"/>
                    </w:rPr>
                  </w:pPr>
                </w:p>
              </w:tc>
              <w:tc>
                <w:tcPr>
                  <w:tcW w:w="810" w:type="pct"/>
                  <w:tcBorders>
                    <w:left w:val="single" w:color="auto" w:sz="4" w:space="0"/>
                    <w:bottom w:val="single" w:color="auto" w:sz="4" w:space="0"/>
                    <w:right w:val="single" w:color="auto" w:sz="4" w:space="0"/>
                  </w:tcBorders>
                </w:tcPr>
                <w:p w14:paraId="17857072">
                  <w:pPr>
                    <w:jc w:val="center"/>
                  </w:pPr>
                  <w:r>
                    <w:rPr>
                      <w:rFonts w:hint="eastAsia"/>
                    </w:rPr>
                    <w:t>36m</w:t>
                  </w:r>
                  <w:r>
                    <w:rPr>
                      <w:rFonts w:hint="eastAsia"/>
                      <w:vertAlign w:val="superscript"/>
                    </w:rPr>
                    <w:t>3</w:t>
                  </w:r>
                  <w:r>
                    <w:rPr>
                      <w:rFonts w:hint="eastAsia"/>
                    </w:rPr>
                    <w:t>/a</w:t>
                  </w:r>
                </w:p>
                <w:p w14:paraId="1CD0C50B">
                  <w:pPr>
                    <w:jc w:val="center"/>
                    <w:rPr>
                      <w:szCs w:val="21"/>
                      <w:u w:val="single"/>
                    </w:rPr>
                  </w:pPr>
                  <w:r>
                    <w:rPr>
                      <w:rFonts w:hint="eastAsia"/>
                    </w:rPr>
                    <w:t>（</w:t>
                  </w:r>
                  <w:r>
                    <w:rPr>
                      <w:rFonts w:hint="eastAsia"/>
                      <w:lang w:val="en-US" w:eastAsia="zh-CN"/>
                    </w:rPr>
                    <w:t>外购</w:t>
                  </w:r>
                  <w:r>
                    <w:rPr>
                      <w:rFonts w:hint="eastAsia"/>
                    </w:rPr>
                    <w:t>纯水）</w:t>
                  </w:r>
                </w:p>
              </w:tc>
              <w:tc>
                <w:tcPr>
                  <w:tcW w:w="811" w:type="pct"/>
                  <w:gridSpan w:val="2"/>
                  <w:tcBorders>
                    <w:top w:val="single" w:color="auto" w:sz="4" w:space="0"/>
                    <w:left w:val="single" w:color="auto" w:sz="4" w:space="0"/>
                    <w:bottom w:val="single" w:color="auto" w:sz="4" w:space="0"/>
                    <w:right w:val="single" w:color="auto" w:sz="4" w:space="0"/>
                  </w:tcBorders>
                  <w:vAlign w:val="center"/>
                </w:tcPr>
                <w:p w14:paraId="3B2FE4A1">
                  <w:pPr>
                    <w:jc w:val="center"/>
                    <w:rPr>
                      <w:rFonts w:hint="eastAsia" w:eastAsia="宋体"/>
                      <w:szCs w:val="21"/>
                      <w:u w:val="single"/>
                      <w:lang w:val="en-US" w:eastAsia="zh-CN"/>
                    </w:rPr>
                  </w:pPr>
                  <w:r>
                    <w:rPr>
                      <w:rFonts w:hint="eastAsia"/>
                      <w:szCs w:val="21"/>
                      <w:u w:val="none"/>
                      <w:lang w:val="en-US" w:eastAsia="zh-CN"/>
                    </w:rPr>
                    <w:t>180</w:t>
                  </w:r>
                  <w:r>
                    <w:rPr>
                      <w:rFonts w:hint="eastAsia"/>
                    </w:rPr>
                    <w:t>m</w:t>
                  </w:r>
                  <w:r>
                    <w:rPr>
                      <w:rFonts w:hint="eastAsia"/>
                      <w:vertAlign w:val="superscript"/>
                    </w:rPr>
                    <w:t>3</w:t>
                  </w:r>
                  <w:r>
                    <w:rPr>
                      <w:rFonts w:hint="eastAsia"/>
                    </w:rPr>
                    <w:t>/a</w:t>
                  </w:r>
                  <w:r>
                    <w:rPr>
                      <w:rFonts w:hint="eastAsia"/>
                      <w:b/>
                      <w:bCs/>
                      <w:u w:val="single"/>
                      <w:lang w:eastAsia="zh-CN"/>
                    </w:rPr>
                    <w:t>（</w:t>
                  </w:r>
                  <w:r>
                    <w:rPr>
                      <w:rFonts w:hint="eastAsia"/>
                      <w:b/>
                      <w:bCs/>
                      <w:u w:val="single"/>
                      <w:lang w:val="en-US" w:eastAsia="zh-CN"/>
                    </w:rPr>
                    <w:t>用新鲜水直接</w:t>
                  </w:r>
                  <w:r>
                    <w:rPr>
                      <w:rFonts w:hint="eastAsia"/>
                      <w:b/>
                      <w:bCs/>
                      <w:szCs w:val="21"/>
                      <w:u w:val="single"/>
                      <w:lang w:val="en-US" w:eastAsia="zh-CN"/>
                    </w:rPr>
                    <w:t>厂内制备</w:t>
                  </w:r>
                  <w:r>
                    <w:rPr>
                      <w:rFonts w:hint="eastAsia"/>
                      <w:b/>
                      <w:bCs/>
                      <w:u w:val="single"/>
                      <w:lang w:eastAsia="zh-CN"/>
                    </w:rPr>
                    <w:t>）</w:t>
                  </w:r>
                </w:p>
              </w:tc>
              <w:tc>
                <w:tcPr>
                  <w:tcW w:w="1438" w:type="pct"/>
                  <w:tcBorders>
                    <w:top w:val="single" w:color="auto" w:sz="4" w:space="0"/>
                    <w:left w:val="single" w:color="auto" w:sz="4" w:space="0"/>
                    <w:bottom w:val="single" w:color="auto" w:sz="4" w:space="0"/>
                    <w:right w:val="single" w:color="auto" w:sz="4" w:space="0"/>
                  </w:tcBorders>
                  <w:vAlign w:val="center"/>
                </w:tcPr>
                <w:p w14:paraId="79FB971D">
                  <w:pPr>
                    <w:jc w:val="center"/>
                    <w:rPr>
                      <w:szCs w:val="21"/>
                    </w:rPr>
                  </w:pPr>
                  <w:r>
                    <w:rPr>
                      <w:szCs w:val="21"/>
                    </w:rPr>
                    <w:t>生产用</w:t>
                  </w:r>
                  <w:r>
                    <w:rPr>
                      <w:rFonts w:hint="eastAsia"/>
                      <w:szCs w:val="21"/>
                    </w:rPr>
                    <w:t>水</w:t>
                  </w:r>
                </w:p>
              </w:tc>
            </w:tr>
            <w:tr w14:paraId="4044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941" w:type="pct"/>
                  <w:gridSpan w:val="2"/>
                  <w:tcBorders>
                    <w:top w:val="single" w:color="auto" w:sz="4" w:space="0"/>
                    <w:left w:val="single" w:color="auto" w:sz="4" w:space="0"/>
                    <w:bottom w:val="single" w:color="auto" w:sz="4" w:space="0"/>
                    <w:right w:val="single" w:color="auto" w:sz="4" w:space="0"/>
                  </w:tcBorders>
                  <w:vAlign w:val="center"/>
                </w:tcPr>
                <w:p w14:paraId="638CD168">
                  <w:pPr>
                    <w:jc w:val="center"/>
                    <w:rPr>
                      <w:szCs w:val="21"/>
                    </w:rPr>
                  </w:pPr>
                  <w:r>
                    <w:rPr>
                      <w:szCs w:val="21"/>
                    </w:rPr>
                    <w:t>电</w:t>
                  </w:r>
                </w:p>
              </w:tc>
              <w:tc>
                <w:tcPr>
                  <w:tcW w:w="810" w:type="pct"/>
                  <w:tcBorders>
                    <w:top w:val="single" w:color="auto" w:sz="4" w:space="0"/>
                    <w:left w:val="single" w:color="auto" w:sz="4" w:space="0"/>
                    <w:bottom w:val="single" w:color="auto" w:sz="4" w:space="0"/>
                    <w:right w:val="single" w:color="auto" w:sz="4" w:space="0"/>
                  </w:tcBorders>
                </w:tcPr>
                <w:p w14:paraId="3127CB1B">
                  <w:pPr>
                    <w:jc w:val="center"/>
                    <w:rPr>
                      <w:szCs w:val="21"/>
                    </w:rPr>
                  </w:pPr>
                  <w:r>
                    <w:rPr>
                      <w:rFonts w:hint="eastAsia"/>
                      <w:szCs w:val="21"/>
                    </w:rPr>
                    <w:t>100万kwh/a</w:t>
                  </w:r>
                </w:p>
              </w:tc>
              <w:tc>
                <w:tcPr>
                  <w:tcW w:w="811" w:type="pct"/>
                  <w:gridSpan w:val="2"/>
                  <w:tcBorders>
                    <w:top w:val="single" w:color="auto" w:sz="4" w:space="0"/>
                    <w:left w:val="single" w:color="auto" w:sz="4" w:space="0"/>
                    <w:bottom w:val="single" w:color="auto" w:sz="4" w:space="0"/>
                    <w:right w:val="single" w:color="auto" w:sz="4" w:space="0"/>
                  </w:tcBorders>
                  <w:vAlign w:val="center"/>
                </w:tcPr>
                <w:p w14:paraId="5E602404">
                  <w:pPr>
                    <w:jc w:val="center"/>
                    <w:rPr>
                      <w:szCs w:val="21"/>
                    </w:rPr>
                  </w:pPr>
                  <w:r>
                    <w:rPr>
                      <w:rFonts w:hint="eastAsia"/>
                      <w:szCs w:val="21"/>
                    </w:rPr>
                    <w:t>100万kwh/a</w:t>
                  </w:r>
                </w:p>
              </w:tc>
              <w:tc>
                <w:tcPr>
                  <w:tcW w:w="1438" w:type="pct"/>
                  <w:tcBorders>
                    <w:top w:val="single" w:color="auto" w:sz="4" w:space="0"/>
                    <w:left w:val="single" w:color="auto" w:sz="4" w:space="0"/>
                    <w:bottom w:val="single" w:color="auto" w:sz="4" w:space="0"/>
                    <w:right w:val="single" w:color="auto" w:sz="4" w:space="0"/>
                  </w:tcBorders>
                  <w:vAlign w:val="center"/>
                </w:tcPr>
                <w:p w14:paraId="052AFE77">
                  <w:pPr>
                    <w:jc w:val="center"/>
                    <w:rPr>
                      <w:szCs w:val="21"/>
                    </w:rPr>
                  </w:pPr>
                  <w:r>
                    <w:rPr>
                      <w:szCs w:val="21"/>
                    </w:rPr>
                    <w:t>园区电网供给</w:t>
                  </w:r>
                </w:p>
              </w:tc>
            </w:tr>
          </w:tbl>
          <w:p w14:paraId="3F9EE599">
            <w:pPr>
              <w:pStyle w:val="137"/>
              <w:keepNext w:val="0"/>
              <w:keepLines w:val="0"/>
              <w:pageBreakBefore w:val="0"/>
              <w:widowControl w:val="0"/>
              <w:kinsoku/>
              <w:wordWrap/>
              <w:overflowPunct/>
              <w:topLinePunct w:val="0"/>
              <w:autoSpaceDE/>
              <w:autoSpaceDN/>
              <w:bidi w:val="0"/>
              <w:adjustRightInd/>
              <w:snapToGrid/>
              <w:spacing w:line="240" w:lineRule="auto"/>
              <w:textAlignment w:val="auto"/>
              <w:rPr>
                <w:bCs/>
                <w:szCs w:val="21"/>
                <w:u w:val="single"/>
              </w:rPr>
            </w:pPr>
            <w:r>
              <w:rPr>
                <w:rFonts w:hint="eastAsia"/>
                <w:bCs/>
                <w:szCs w:val="21"/>
                <w:u w:val="single"/>
              </w:rPr>
              <w:t>注：本项目产品及产能与原审批项目一致，产品各原辅材料用量与原有项目用量相同。</w:t>
            </w:r>
            <w:r>
              <w:rPr>
                <w:rFonts w:hint="eastAsia"/>
                <w:b/>
                <w:bCs w:val="0"/>
                <w:szCs w:val="21"/>
                <w:u w:val="single"/>
              </w:rPr>
              <w:t>原有项目生产用水使用纯水，</w:t>
            </w:r>
            <w:r>
              <w:rPr>
                <w:rFonts w:hint="eastAsia"/>
                <w:b/>
                <w:bCs w:val="0"/>
                <w:szCs w:val="21"/>
                <w:u w:val="single"/>
                <w:lang w:val="en-US" w:eastAsia="zh-CN"/>
              </w:rPr>
              <w:t>本次</w:t>
            </w:r>
            <w:r>
              <w:rPr>
                <w:rFonts w:hint="eastAsia"/>
                <w:b/>
                <w:bCs w:val="0"/>
                <w:szCs w:val="21"/>
                <w:u w:val="single"/>
              </w:rPr>
              <w:t>生产用水</w:t>
            </w:r>
            <w:r>
              <w:rPr>
                <w:rFonts w:hint="eastAsia"/>
                <w:b/>
                <w:bCs w:val="0"/>
                <w:szCs w:val="21"/>
                <w:u w:val="single"/>
                <w:lang w:val="en-US" w:eastAsia="zh-CN"/>
              </w:rPr>
              <w:t>改为</w:t>
            </w:r>
            <w:r>
              <w:rPr>
                <w:rFonts w:hint="eastAsia"/>
                <w:b/>
                <w:bCs w:val="0"/>
                <w:szCs w:val="21"/>
                <w:u w:val="single"/>
              </w:rPr>
              <w:t>使用自来水制备纯水。</w:t>
            </w:r>
          </w:p>
          <w:p w14:paraId="42E6A42A">
            <w:pPr>
              <w:pStyle w:val="137"/>
              <w:numPr>
                <w:ilvl w:val="0"/>
                <w:numId w:val="4"/>
              </w:numPr>
              <w:spacing w:line="360" w:lineRule="auto"/>
              <w:ind w:firstLineChars="0"/>
              <w:jc w:val="center"/>
              <w:rPr>
                <w:b/>
                <w:bCs/>
                <w:szCs w:val="21"/>
              </w:rPr>
            </w:pPr>
            <w:r>
              <w:rPr>
                <w:b/>
                <w:bCs/>
                <w:szCs w:val="21"/>
              </w:rPr>
              <w:t>主要原辅材料</w:t>
            </w:r>
            <w:r>
              <w:rPr>
                <w:rFonts w:hint="eastAsia"/>
                <w:b/>
                <w:bCs/>
                <w:szCs w:val="21"/>
              </w:rPr>
              <w:t>理化性质</w:t>
            </w:r>
          </w:p>
          <w:tbl>
            <w:tblPr>
              <w:tblStyle w:val="39"/>
              <w:tblW w:w="7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6705"/>
            </w:tblGrid>
            <w:tr w14:paraId="4487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8" w:type="dxa"/>
                  <w:vAlign w:val="center"/>
                </w:tcPr>
                <w:p w14:paraId="7F7EFAD6">
                  <w:pPr>
                    <w:pStyle w:val="8"/>
                    <w:spacing w:line="240" w:lineRule="auto"/>
                    <w:ind w:firstLine="0" w:firstLineChars="0"/>
                    <w:jc w:val="center"/>
                    <w:rPr>
                      <w:b/>
                      <w:color w:val="auto"/>
                      <w:sz w:val="21"/>
                      <w:szCs w:val="21"/>
                    </w:rPr>
                  </w:pPr>
                  <w:r>
                    <w:rPr>
                      <w:rFonts w:hint="eastAsia"/>
                      <w:b/>
                      <w:color w:val="auto"/>
                      <w:sz w:val="21"/>
                      <w:szCs w:val="21"/>
                    </w:rPr>
                    <w:t>名称</w:t>
                  </w:r>
                </w:p>
              </w:tc>
              <w:tc>
                <w:tcPr>
                  <w:tcW w:w="6705" w:type="dxa"/>
                  <w:vAlign w:val="center"/>
                </w:tcPr>
                <w:p w14:paraId="7E879438">
                  <w:pPr>
                    <w:pStyle w:val="8"/>
                    <w:spacing w:line="240" w:lineRule="auto"/>
                    <w:ind w:firstLine="0" w:firstLineChars="0"/>
                    <w:jc w:val="center"/>
                    <w:rPr>
                      <w:b/>
                      <w:color w:val="auto"/>
                      <w:sz w:val="21"/>
                      <w:szCs w:val="21"/>
                    </w:rPr>
                  </w:pPr>
                  <w:r>
                    <w:rPr>
                      <w:rFonts w:hint="eastAsia"/>
                      <w:b/>
                      <w:color w:val="auto"/>
                      <w:sz w:val="21"/>
                      <w:szCs w:val="21"/>
                    </w:rPr>
                    <w:t>理化性质</w:t>
                  </w:r>
                </w:p>
              </w:tc>
            </w:tr>
            <w:tr w14:paraId="2182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38" w:type="dxa"/>
                  <w:vAlign w:val="center"/>
                </w:tcPr>
                <w:p w14:paraId="350FE7EE">
                  <w:pPr>
                    <w:pStyle w:val="8"/>
                    <w:spacing w:line="240" w:lineRule="auto"/>
                    <w:ind w:firstLine="0" w:firstLineChars="0"/>
                    <w:jc w:val="center"/>
                    <w:rPr>
                      <w:color w:val="auto"/>
                      <w:sz w:val="21"/>
                      <w:szCs w:val="21"/>
                      <w:highlight w:val="yellow"/>
                    </w:rPr>
                  </w:pPr>
                  <w:r>
                    <w:rPr>
                      <w:rFonts w:hint="eastAsia"/>
                      <w:color w:val="auto"/>
                      <w:sz w:val="21"/>
                      <w:szCs w:val="21"/>
                    </w:rPr>
                    <w:t>丁基胶</w:t>
                  </w:r>
                </w:p>
              </w:tc>
              <w:tc>
                <w:tcPr>
                  <w:tcW w:w="6705" w:type="dxa"/>
                  <w:vAlign w:val="center"/>
                </w:tcPr>
                <w:p w14:paraId="51315394">
                  <w:pPr>
                    <w:ind w:firstLine="420" w:firstLineChars="200"/>
                  </w:pPr>
                  <w:r>
                    <w:t>中空玻璃丁基胶是一种以聚异丁烯橡胶为基料的无溶剂、不出雾、不硫化、具有永久塑性的中空玻璃第一道密封剂，中空玻璃的丁基胶不是一种胶条，它是一种热熔胶，一般来说，分子量在350到3500之间的材料称低分子量聚异丁烯，分子量在一万到十万之间为中分子量产品，分子量在十万至一千万之间的为高分子量产品，分子量在三万以下的产品通常呈液态，分子量较高的材料则呈固态。本项目所用丁基胶的主要成分为异丁烯和1%-3%的异戊二烯的共聚物，形态为细腻、无可见颗粒的匀质胶泥态。热熔丁基密封胶在较宽温度范围内保持其塑性和密封性，且表面不开裂、不变硬。它对玻璃、铝合金、镀锌钢、不锈钢等材料有良好的粘合性。由于其极低的水汽透过率，它可以与弹性密封剂一起构成一个优异的抗湿气系统。该产品具有优异的抗紫外光老化、密封效果好、质量容易保证，目前已大量用于中空玻璃的第一道密封。</w:t>
                  </w:r>
                </w:p>
                <w:p w14:paraId="22BAA1E9">
                  <w:pPr>
                    <w:ind w:firstLine="420" w:firstLineChars="200"/>
                  </w:pPr>
                  <w:r>
                    <w:t>根据建设单位提供的丁基胶检测报告，本项目使用的中空玻璃丁基胶热失重率为0.33%，能够满足《中空玻璃用丁基热熔密封胶》（JC/T914-2014）中热失重≤0.75%的要求。</w:t>
                  </w:r>
                  <w:r>
                    <w:rPr>
                      <w:rFonts w:hint="eastAsia"/>
                    </w:rPr>
                    <w:t>热失重率作为建筑用密封胶的一项重要性能指标，由样品在90±2℃鼓风干燥环境21天的质量损失与样品标况下21天的质量损失的比值取得，该质量损失主要为挥发性有机成分，因此热失重率能一定程度上反应样品VOCs 挥发情况。本次评价考虑最不利影响，即所用密封胶中挥发性物质在中空工序阶段完全挥发，本项目使用丁基胶挥发系数取热失重检测值3.3g/kg，经对照《胶粘剂挥发性有机化合物限量》（GB33372-2020），本体型胶粘剂热塑类VOC含量限值为50g/kg，故本项目使用的丁基胶属于低VOCs胶粘剂。</w:t>
                  </w:r>
                </w:p>
              </w:tc>
            </w:tr>
            <w:tr w14:paraId="470A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38" w:type="dxa"/>
                  <w:vAlign w:val="center"/>
                </w:tcPr>
                <w:p w14:paraId="41C2ABE6">
                  <w:pPr>
                    <w:pStyle w:val="8"/>
                    <w:spacing w:line="240" w:lineRule="auto"/>
                    <w:ind w:firstLine="0" w:firstLineChars="0"/>
                    <w:jc w:val="center"/>
                    <w:rPr>
                      <w:color w:val="auto"/>
                      <w:sz w:val="21"/>
                      <w:szCs w:val="21"/>
                      <w:highlight w:val="yellow"/>
                    </w:rPr>
                  </w:pPr>
                  <w:r>
                    <w:rPr>
                      <w:rFonts w:hint="eastAsia"/>
                      <w:color w:val="auto"/>
                      <w:sz w:val="21"/>
                      <w:szCs w:val="21"/>
                    </w:rPr>
                    <w:t>硅酮胶</w:t>
                  </w:r>
                </w:p>
              </w:tc>
              <w:tc>
                <w:tcPr>
                  <w:tcW w:w="6705" w:type="dxa"/>
                  <w:vAlign w:val="center"/>
                </w:tcPr>
                <w:p w14:paraId="46A19584">
                  <w:pPr>
                    <w:pStyle w:val="8"/>
                    <w:spacing w:line="240" w:lineRule="auto"/>
                    <w:ind w:firstLine="420"/>
                    <w:rPr>
                      <w:color w:val="auto"/>
                      <w:sz w:val="21"/>
                      <w:szCs w:val="21"/>
                    </w:rPr>
                  </w:pPr>
                  <w:r>
                    <w:rPr>
                      <w:color w:val="auto"/>
                      <w:sz w:val="21"/>
                      <w:szCs w:val="21"/>
                    </w:rPr>
                    <w:t>硅酮玻璃胶的粘结力强，拉伸强度大，同时又具有耐候性、抗振性，和防潮、抗臭气和适应冷热变化大的特点，硅酮胶主要是二道密封，粘接结构的作用。双组份硅酮胶是指硅酮胶分成A\B两组，A组分（白胶）是用端羟基聚二甲基硅氧烷（分子式为Y(R</w:t>
                  </w:r>
                  <w:r>
                    <w:rPr>
                      <w:color w:val="auto"/>
                      <w:sz w:val="21"/>
                      <w:szCs w:val="21"/>
                      <w:vertAlign w:val="subscript"/>
                    </w:rPr>
                    <w:t>2</w:t>
                  </w:r>
                  <w:r>
                    <w:rPr>
                      <w:color w:val="auto"/>
                      <w:sz w:val="21"/>
                      <w:szCs w:val="21"/>
                    </w:rPr>
                    <w:t>SiO)nSiR</w:t>
                  </w:r>
                  <w:r>
                    <w:rPr>
                      <w:color w:val="auto"/>
                      <w:sz w:val="21"/>
                      <w:szCs w:val="21"/>
                      <w:vertAlign w:val="subscript"/>
                    </w:rPr>
                    <w:t>2</w:t>
                  </w:r>
                  <w:r>
                    <w:rPr>
                      <w:color w:val="auto"/>
                      <w:sz w:val="21"/>
                      <w:szCs w:val="21"/>
                    </w:rPr>
                    <w:t>Y，式中Y为OH，R为CH</w:t>
                  </w:r>
                  <w:r>
                    <w:rPr>
                      <w:color w:val="auto"/>
                      <w:sz w:val="21"/>
                      <w:szCs w:val="21"/>
                      <w:vertAlign w:val="subscript"/>
                    </w:rPr>
                    <w:t>3</w:t>
                  </w:r>
                  <w:r>
                    <w:rPr>
                      <w:color w:val="auto"/>
                      <w:sz w:val="21"/>
                      <w:szCs w:val="21"/>
                    </w:rPr>
                    <w:t>，n=100~1000），气象二氧化硅（气象白炭黑）、碳酸钙、二甲基硅油（R（R</w:t>
                  </w:r>
                  <w:r>
                    <w:rPr>
                      <w:color w:val="auto"/>
                      <w:sz w:val="21"/>
                      <w:szCs w:val="21"/>
                      <w:vertAlign w:val="subscript"/>
                    </w:rPr>
                    <w:t>2</w:t>
                  </w:r>
                  <w:r>
                    <w:rPr>
                      <w:color w:val="auto"/>
                      <w:sz w:val="21"/>
                      <w:szCs w:val="21"/>
                    </w:rPr>
                    <w:t>SiO）nSiR</w:t>
                  </w:r>
                  <w:r>
                    <w:rPr>
                      <w:color w:val="auto"/>
                      <w:sz w:val="21"/>
                      <w:szCs w:val="21"/>
                      <w:vertAlign w:val="subscript"/>
                    </w:rPr>
                    <w:t>3</w:t>
                  </w:r>
                  <w:r>
                    <w:rPr>
                      <w:color w:val="auto"/>
                      <w:sz w:val="21"/>
                      <w:szCs w:val="21"/>
                    </w:rPr>
                    <w:t>）等组成的混合物，是一种白色膏状体，与交联剂、催化剂作用，在室温下能固化。B组分（黑胶）是用炭黑、特殊二甲基硅油、交联剂（甲基三乙氧基硅烷）、偶联剂（γ-氨丙基三乙氧基硅烷、γ-缩水甘油醚氧丙基三甲氧基硅烷）、催化剂（二丁基二月硅酸锡）等组成的混合物，是一种黑色膏状体，表面硅张力很小、压缩率大、抗切变性能好、粘温系数小、介电损耗小；耐电孤、电晕、不易燃；憎水防潮，同时还具有良好的生理惰性，B组份应密闭贮存于洁净塑料桶中，不得与强酸、强碱类物质接触。B/A组份按体积比1</w:t>
                  </w:r>
                  <w:r>
                    <w:rPr>
                      <w:rFonts w:hint="eastAsia" w:ascii="宋体" w:hAnsi="宋体" w:cs="宋体"/>
                      <w:color w:val="auto"/>
                      <w:sz w:val="21"/>
                      <w:szCs w:val="21"/>
                    </w:rPr>
                    <w:t>∶</w:t>
                  </w:r>
                  <w:r>
                    <w:rPr>
                      <w:color w:val="auto"/>
                      <w:sz w:val="21"/>
                      <w:szCs w:val="21"/>
                    </w:rPr>
                    <w:t>10（重量比1</w:t>
                  </w:r>
                  <w:r>
                    <w:rPr>
                      <w:rFonts w:hint="eastAsia" w:ascii="宋体" w:hAnsi="宋体" w:cs="宋体"/>
                      <w:color w:val="auto"/>
                      <w:sz w:val="21"/>
                      <w:szCs w:val="21"/>
                    </w:rPr>
                    <w:t>∶</w:t>
                  </w:r>
                  <w:r>
                    <w:rPr>
                      <w:color w:val="auto"/>
                      <w:sz w:val="21"/>
                      <w:szCs w:val="21"/>
                    </w:rPr>
                    <w:t>12）混合使用，A/B组分任何一组单独存在都不能形成固化，但两组胶浆一旦混合就产生固化。</w:t>
                  </w:r>
                  <w:r>
                    <w:rPr>
                      <w:rFonts w:hint="eastAsia"/>
                      <w:color w:val="auto"/>
                      <w:sz w:val="21"/>
                      <w:szCs w:val="21"/>
                    </w:rPr>
                    <w:t>该胶固化后，具有优异的耐候性和抗紫外线的性能，具有耐高低温和耐老化性，具有高粘接强度，对玻璃和铝合金有良好的粘结性。</w:t>
                  </w:r>
                </w:p>
                <w:p w14:paraId="14DC33E8">
                  <w:pPr>
                    <w:pStyle w:val="8"/>
                    <w:spacing w:line="240" w:lineRule="auto"/>
                    <w:ind w:firstLine="420"/>
                    <w:rPr>
                      <w:color w:val="auto"/>
                      <w:sz w:val="21"/>
                      <w:szCs w:val="21"/>
                    </w:rPr>
                  </w:pPr>
                  <w:r>
                    <w:rPr>
                      <w:rFonts w:hint="eastAsia"/>
                      <w:color w:val="auto"/>
                      <w:sz w:val="21"/>
                      <w:szCs w:val="21"/>
                    </w:rPr>
                    <w:t>根据建设单位提供的硅酮中空玻璃密封胶检测报告，本项目使用的硅酮密封胶热失重率为0.4%，能够满足《中空玻璃用硅酮结构密封胶》（GB 24266-2009）和</w:t>
                  </w:r>
                  <w:r>
                    <w:rPr>
                      <w:color w:val="auto"/>
                      <w:sz w:val="21"/>
                      <w:szCs w:val="21"/>
                    </w:rPr>
                    <w:t>《中空玻璃用弹性密封胶》（GB</w:t>
                  </w:r>
                  <w:r>
                    <w:rPr>
                      <w:rFonts w:hint="eastAsia"/>
                      <w:color w:val="auto"/>
                      <w:sz w:val="21"/>
                      <w:szCs w:val="21"/>
                    </w:rPr>
                    <w:t>/T</w:t>
                  </w:r>
                  <w:r>
                    <w:rPr>
                      <w:color w:val="auto"/>
                      <w:sz w:val="21"/>
                      <w:szCs w:val="21"/>
                    </w:rPr>
                    <w:t xml:space="preserve"> 2</w:t>
                  </w:r>
                  <w:r>
                    <w:rPr>
                      <w:rFonts w:hint="eastAsia"/>
                      <w:color w:val="auto"/>
                      <w:sz w:val="21"/>
                      <w:szCs w:val="21"/>
                    </w:rPr>
                    <w:t>9755</w:t>
                  </w:r>
                  <w:r>
                    <w:rPr>
                      <w:color w:val="auto"/>
                      <w:sz w:val="21"/>
                      <w:szCs w:val="21"/>
                    </w:rPr>
                    <w:t>-20</w:t>
                  </w:r>
                  <w:r>
                    <w:rPr>
                      <w:rFonts w:hint="eastAsia"/>
                      <w:color w:val="auto"/>
                      <w:sz w:val="21"/>
                      <w:szCs w:val="21"/>
                    </w:rPr>
                    <w:t>13</w:t>
                  </w:r>
                  <w:r>
                    <w:rPr>
                      <w:color w:val="auto"/>
                      <w:sz w:val="21"/>
                      <w:szCs w:val="21"/>
                    </w:rPr>
                    <w:t>）中</w:t>
                  </w:r>
                  <w:r>
                    <w:rPr>
                      <w:rFonts w:hint="eastAsia"/>
                      <w:color w:val="auto"/>
                      <w:sz w:val="21"/>
                      <w:szCs w:val="21"/>
                    </w:rPr>
                    <w:t>热失重≤6.0%的要求。本次评价考虑最不利影响，硅酮胶挥发系数取热失重检测值4g/kg，</w:t>
                  </w:r>
                  <w:r>
                    <w:rPr>
                      <w:sz w:val="21"/>
                    </w:rPr>
                    <w:t>经对照《胶粘剂挥发性有机化合物限量》（GB33372-2020），本体型胶粘剂有机硅类VOC含量限值为100g/kg，故本项目使用的硅酮胶属于低VOCs胶粘剂。</w:t>
                  </w:r>
                </w:p>
              </w:tc>
            </w:tr>
            <w:tr w14:paraId="3E31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4" w:hRule="atLeast"/>
                <w:jc w:val="center"/>
              </w:trPr>
              <w:tc>
                <w:tcPr>
                  <w:tcW w:w="938" w:type="dxa"/>
                  <w:vAlign w:val="center"/>
                </w:tcPr>
                <w:p w14:paraId="032B6CE1">
                  <w:pPr>
                    <w:pStyle w:val="8"/>
                    <w:spacing w:line="240" w:lineRule="auto"/>
                    <w:ind w:firstLine="0" w:firstLineChars="0"/>
                    <w:jc w:val="center"/>
                    <w:rPr>
                      <w:color w:val="auto"/>
                      <w:sz w:val="21"/>
                      <w:szCs w:val="21"/>
                    </w:rPr>
                  </w:pPr>
                  <w:r>
                    <w:rPr>
                      <w:rFonts w:hint="eastAsia"/>
                      <w:color w:val="auto"/>
                      <w:sz w:val="21"/>
                      <w:szCs w:val="21"/>
                    </w:rPr>
                    <w:t>分子筛</w:t>
                  </w:r>
                </w:p>
              </w:tc>
              <w:tc>
                <w:tcPr>
                  <w:tcW w:w="6705" w:type="dxa"/>
                  <w:vAlign w:val="center"/>
                </w:tcPr>
                <w:p w14:paraId="14CBEB5B">
                  <w:pPr>
                    <w:pStyle w:val="8"/>
                    <w:spacing w:line="240" w:lineRule="auto"/>
                    <w:ind w:firstLine="420"/>
                    <w:rPr>
                      <w:color w:val="auto"/>
                      <w:sz w:val="21"/>
                      <w:szCs w:val="21"/>
                    </w:rPr>
                  </w:pPr>
                  <w:r>
                    <w:rPr>
                      <w:rFonts w:hint="eastAsia"/>
                      <w:color w:val="auto"/>
                      <w:sz w:val="21"/>
                      <w:szCs w:val="21"/>
                    </w:rPr>
                    <w:t>硅酸盐化合物。分子筛干燥剂是一种人工合成且对水分子有较强吸附性的干燥剂产品。分子筛的孔径大小可以通过加工工艺的不同来控制，除了吸附水汽，它还可以吸附其他气体，它可以同时吸附中空玻璃中的水分和残留有机物，使中空玻璃即使在非常低的温度下仍然保持光洁透明，充分降低中空玻璃因为季节和昼夜温差变化所承受的强大内外压力差，彻底解决普通中空玻璃干燥剂易使普通中空玻璃膨胀或收缩导致的扭曲破碎问题，充分延长中空玻璃的使用寿命。中空玻璃分子筛的用途主要为：吸收中空玻璃中的水分，干燥作用；与中空玻璃铝条、密封胶等合理配合，保障中空玻璃节能作用；抗凝霜作用、清洁作用。</w:t>
                  </w:r>
                </w:p>
              </w:tc>
            </w:tr>
          </w:tbl>
          <w:p w14:paraId="18631C34">
            <w:pPr>
              <w:adjustRightInd w:val="0"/>
              <w:snapToGrid w:val="0"/>
              <w:spacing w:line="360" w:lineRule="auto"/>
              <w:ind w:firstLine="482" w:firstLineChars="200"/>
              <w:rPr>
                <w:b/>
                <w:bCs/>
                <w:sz w:val="24"/>
              </w:rPr>
            </w:pPr>
            <w:r>
              <w:rPr>
                <w:rFonts w:hint="eastAsia"/>
                <w:b/>
                <w:bCs/>
                <w:sz w:val="24"/>
              </w:rPr>
              <w:t>6、与本项目备案相符性分析</w:t>
            </w:r>
          </w:p>
          <w:p w14:paraId="638E5D7F">
            <w:pPr>
              <w:pStyle w:val="137"/>
              <w:numPr>
                <w:ilvl w:val="0"/>
                <w:numId w:val="4"/>
              </w:numPr>
              <w:spacing w:line="360" w:lineRule="auto"/>
              <w:ind w:firstLineChars="0"/>
              <w:jc w:val="center"/>
              <w:rPr>
                <w:b/>
                <w:bCs/>
                <w:szCs w:val="21"/>
              </w:rPr>
            </w:pPr>
            <w:r>
              <w:rPr>
                <w:rFonts w:hint="eastAsia"/>
                <w:b/>
                <w:bCs/>
                <w:szCs w:val="21"/>
              </w:rPr>
              <w:t>本项目建设内容与备案相符性分析一览表</w:t>
            </w:r>
          </w:p>
          <w:tbl>
            <w:tblPr>
              <w:tblStyle w:val="39"/>
              <w:tblW w:w="7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149"/>
              <w:gridCol w:w="2551"/>
              <w:gridCol w:w="2492"/>
              <w:gridCol w:w="1037"/>
            </w:tblGrid>
            <w:tr w14:paraId="1938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41E97224">
                  <w:pPr>
                    <w:widowControl/>
                    <w:jc w:val="center"/>
                    <w:rPr>
                      <w:b/>
                      <w:kern w:val="0"/>
                      <w:szCs w:val="21"/>
                    </w:rPr>
                  </w:pPr>
                  <w:r>
                    <w:rPr>
                      <w:rFonts w:hint="eastAsia"/>
                      <w:b/>
                      <w:kern w:val="0"/>
                      <w:szCs w:val="21"/>
                    </w:rPr>
                    <w:t>序号</w:t>
                  </w:r>
                </w:p>
              </w:tc>
              <w:tc>
                <w:tcPr>
                  <w:tcW w:w="1149" w:type="dxa"/>
                  <w:tcBorders>
                    <w:tl2br w:val="nil"/>
                    <w:tr2bl w:val="nil"/>
                  </w:tcBorders>
                  <w:vAlign w:val="center"/>
                </w:tcPr>
                <w:p w14:paraId="682E3352">
                  <w:pPr>
                    <w:widowControl/>
                    <w:jc w:val="center"/>
                    <w:rPr>
                      <w:b/>
                      <w:kern w:val="0"/>
                      <w:szCs w:val="21"/>
                    </w:rPr>
                  </w:pPr>
                  <w:r>
                    <w:rPr>
                      <w:rFonts w:hint="eastAsia"/>
                      <w:b/>
                      <w:kern w:val="0"/>
                      <w:szCs w:val="21"/>
                    </w:rPr>
                    <w:t>内容</w:t>
                  </w:r>
                </w:p>
              </w:tc>
              <w:tc>
                <w:tcPr>
                  <w:tcW w:w="2551" w:type="dxa"/>
                  <w:tcBorders>
                    <w:tl2br w:val="nil"/>
                    <w:tr2bl w:val="nil"/>
                  </w:tcBorders>
                  <w:vAlign w:val="center"/>
                </w:tcPr>
                <w:p w14:paraId="6C5CB5FE">
                  <w:pPr>
                    <w:widowControl/>
                    <w:jc w:val="center"/>
                    <w:rPr>
                      <w:b/>
                      <w:kern w:val="0"/>
                      <w:szCs w:val="21"/>
                    </w:rPr>
                  </w:pPr>
                  <w:r>
                    <w:rPr>
                      <w:rFonts w:hint="eastAsia"/>
                      <w:b/>
                      <w:kern w:val="0"/>
                      <w:szCs w:val="21"/>
                    </w:rPr>
                    <w:t>备案情况</w:t>
                  </w:r>
                </w:p>
              </w:tc>
              <w:tc>
                <w:tcPr>
                  <w:tcW w:w="2492" w:type="dxa"/>
                  <w:tcBorders>
                    <w:tl2br w:val="nil"/>
                    <w:tr2bl w:val="nil"/>
                  </w:tcBorders>
                  <w:vAlign w:val="center"/>
                </w:tcPr>
                <w:p w14:paraId="58D63633">
                  <w:pPr>
                    <w:widowControl/>
                    <w:jc w:val="center"/>
                    <w:rPr>
                      <w:b/>
                      <w:kern w:val="0"/>
                      <w:szCs w:val="21"/>
                    </w:rPr>
                  </w:pPr>
                  <w:r>
                    <w:rPr>
                      <w:rFonts w:hint="eastAsia"/>
                      <w:b/>
                      <w:kern w:val="0"/>
                      <w:szCs w:val="21"/>
                    </w:rPr>
                    <w:t>本项目建设情况</w:t>
                  </w:r>
                </w:p>
              </w:tc>
              <w:tc>
                <w:tcPr>
                  <w:tcW w:w="1037" w:type="dxa"/>
                  <w:tcBorders>
                    <w:tl2br w:val="nil"/>
                    <w:tr2bl w:val="nil"/>
                  </w:tcBorders>
                  <w:vAlign w:val="center"/>
                </w:tcPr>
                <w:p w14:paraId="3900F26F">
                  <w:pPr>
                    <w:widowControl/>
                    <w:jc w:val="center"/>
                    <w:rPr>
                      <w:b/>
                      <w:kern w:val="0"/>
                      <w:szCs w:val="21"/>
                    </w:rPr>
                  </w:pPr>
                  <w:r>
                    <w:rPr>
                      <w:rFonts w:hint="eastAsia"/>
                      <w:b/>
                      <w:kern w:val="0"/>
                      <w:szCs w:val="21"/>
                    </w:rPr>
                    <w:t>相符性</w:t>
                  </w:r>
                </w:p>
              </w:tc>
            </w:tr>
            <w:tr w14:paraId="1BF3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3" w:type="dxa"/>
                  <w:tcBorders>
                    <w:tl2br w:val="nil"/>
                    <w:tr2bl w:val="nil"/>
                  </w:tcBorders>
                  <w:vAlign w:val="center"/>
                </w:tcPr>
                <w:p w14:paraId="17B10585">
                  <w:pPr>
                    <w:widowControl/>
                    <w:jc w:val="center"/>
                    <w:rPr>
                      <w:kern w:val="0"/>
                      <w:szCs w:val="21"/>
                    </w:rPr>
                  </w:pPr>
                  <w:r>
                    <w:rPr>
                      <w:rFonts w:hint="eastAsia"/>
                      <w:kern w:val="0"/>
                      <w:szCs w:val="21"/>
                    </w:rPr>
                    <w:t>1</w:t>
                  </w:r>
                </w:p>
              </w:tc>
              <w:tc>
                <w:tcPr>
                  <w:tcW w:w="1149" w:type="dxa"/>
                  <w:tcBorders>
                    <w:tl2br w:val="nil"/>
                    <w:tr2bl w:val="nil"/>
                  </w:tcBorders>
                  <w:vAlign w:val="center"/>
                </w:tcPr>
                <w:p w14:paraId="78E6B64A">
                  <w:pPr>
                    <w:widowControl/>
                    <w:jc w:val="center"/>
                    <w:rPr>
                      <w:kern w:val="0"/>
                      <w:szCs w:val="21"/>
                    </w:rPr>
                  </w:pPr>
                  <w:r>
                    <w:rPr>
                      <w:rFonts w:hint="eastAsia"/>
                      <w:kern w:val="0"/>
                      <w:szCs w:val="21"/>
                    </w:rPr>
                    <w:t>项目名称</w:t>
                  </w:r>
                </w:p>
              </w:tc>
              <w:tc>
                <w:tcPr>
                  <w:tcW w:w="2551" w:type="dxa"/>
                  <w:tcBorders>
                    <w:tl2br w:val="nil"/>
                    <w:tr2bl w:val="nil"/>
                  </w:tcBorders>
                  <w:vAlign w:val="center"/>
                </w:tcPr>
                <w:p w14:paraId="796A6C2B">
                  <w:pPr>
                    <w:widowControl/>
                    <w:jc w:val="center"/>
                    <w:rPr>
                      <w:kern w:val="0"/>
                      <w:szCs w:val="21"/>
                    </w:rPr>
                  </w:pPr>
                  <w:r>
                    <w:rPr>
                      <w:rFonts w:hint="eastAsia"/>
                      <w:kern w:val="0"/>
                      <w:szCs w:val="21"/>
                    </w:rPr>
                    <w:t>濮阳天和玻璃有限责任公司年产30万平方米钢化玻璃、30万平方米中空玻璃项目</w:t>
                  </w:r>
                </w:p>
              </w:tc>
              <w:tc>
                <w:tcPr>
                  <w:tcW w:w="2492" w:type="dxa"/>
                  <w:tcBorders>
                    <w:tl2br w:val="nil"/>
                    <w:tr2bl w:val="nil"/>
                  </w:tcBorders>
                  <w:vAlign w:val="center"/>
                </w:tcPr>
                <w:p w14:paraId="4FA297B1">
                  <w:pPr>
                    <w:widowControl/>
                    <w:jc w:val="center"/>
                    <w:rPr>
                      <w:kern w:val="0"/>
                      <w:szCs w:val="21"/>
                    </w:rPr>
                  </w:pPr>
                  <w:r>
                    <w:rPr>
                      <w:rFonts w:hint="eastAsia"/>
                      <w:kern w:val="0"/>
                      <w:szCs w:val="21"/>
                    </w:rPr>
                    <w:t>濮阳天和玻璃有限责任公司年产30万平方米钢化玻璃、30万平方米中空玻璃项目</w:t>
                  </w:r>
                </w:p>
              </w:tc>
              <w:tc>
                <w:tcPr>
                  <w:tcW w:w="1037" w:type="dxa"/>
                  <w:tcBorders>
                    <w:tl2br w:val="nil"/>
                    <w:tr2bl w:val="nil"/>
                  </w:tcBorders>
                  <w:vAlign w:val="center"/>
                </w:tcPr>
                <w:p w14:paraId="47611969">
                  <w:pPr>
                    <w:widowControl/>
                    <w:jc w:val="center"/>
                    <w:rPr>
                      <w:kern w:val="0"/>
                      <w:szCs w:val="21"/>
                    </w:rPr>
                  </w:pPr>
                  <w:r>
                    <w:rPr>
                      <w:kern w:val="0"/>
                      <w:szCs w:val="21"/>
                    </w:rPr>
                    <w:t>相符</w:t>
                  </w:r>
                </w:p>
              </w:tc>
            </w:tr>
            <w:tr w14:paraId="1EDC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53" w:type="dxa"/>
                  <w:tcBorders>
                    <w:tl2br w:val="nil"/>
                    <w:tr2bl w:val="nil"/>
                  </w:tcBorders>
                  <w:vAlign w:val="center"/>
                </w:tcPr>
                <w:p w14:paraId="25D25CE5">
                  <w:pPr>
                    <w:widowControl/>
                    <w:jc w:val="center"/>
                    <w:rPr>
                      <w:kern w:val="0"/>
                      <w:szCs w:val="21"/>
                    </w:rPr>
                  </w:pPr>
                  <w:r>
                    <w:rPr>
                      <w:rFonts w:hint="eastAsia"/>
                      <w:kern w:val="0"/>
                      <w:szCs w:val="21"/>
                    </w:rPr>
                    <w:t>2</w:t>
                  </w:r>
                </w:p>
              </w:tc>
              <w:tc>
                <w:tcPr>
                  <w:tcW w:w="1149" w:type="dxa"/>
                  <w:tcBorders>
                    <w:tl2br w:val="nil"/>
                    <w:tr2bl w:val="nil"/>
                  </w:tcBorders>
                  <w:vAlign w:val="center"/>
                </w:tcPr>
                <w:p w14:paraId="697C64C3">
                  <w:pPr>
                    <w:widowControl/>
                    <w:jc w:val="center"/>
                    <w:rPr>
                      <w:kern w:val="0"/>
                      <w:szCs w:val="21"/>
                    </w:rPr>
                  </w:pPr>
                  <w:r>
                    <w:rPr>
                      <w:rFonts w:hint="eastAsia"/>
                      <w:kern w:val="0"/>
                      <w:szCs w:val="21"/>
                    </w:rPr>
                    <w:t>建设单位</w:t>
                  </w:r>
                </w:p>
              </w:tc>
              <w:tc>
                <w:tcPr>
                  <w:tcW w:w="2551" w:type="dxa"/>
                  <w:tcBorders>
                    <w:tl2br w:val="nil"/>
                    <w:tr2bl w:val="nil"/>
                  </w:tcBorders>
                  <w:vAlign w:val="center"/>
                </w:tcPr>
                <w:p w14:paraId="0F68DCB0">
                  <w:pPr>
                    <w:widowControl/>
                    <w:jc w:val="center"/>
                    <w:rPr>
                      <w:kern w:val="0"/>
                      <w:szCs w:val="21"/>
                    </w:rPr>
                  </w:pPr>
                  <w:r>
                    <w:rPr>
                      <w:rFonts w:hint="eastAsia"/>
                      <w:kern w:val="0"/>
                      <w:szCs w:val="21"/>
                    </w:rPr>
                    <w:t>濮阳天和玻璃有限责任公司</w:t>
                  </w:r>
                </w:p>
              </w:tc>
              <w:tc>
                <w:tcPr>
                  <w:tcW w:w="2492" w:type="dxa"/>
                  <w:tcBorders>
                    <w:tl2br w:val="nil"/>
                    <w:tr2bl w:val="nil"/>
                  </w:tcBorders>
                  <w:vAlign w:val="center"/>
                </w:tcPr>
                <w:p w14:paraId="415535E4">
                  <w:pPr>
                    <w:widowControl/>
                    <w:jc w:val="center"/>
                    <w:rPr>
                      <w:kern w:val="0"/>
                      <w:szCs w:val="21"/>
                    </w:rPr>
                  </w:pPr>
                  <w:r>
                    <w:rPr>
                      <w:rFonts w:hint="eastAsia"/>
                      <w:kern w:val="0"/>
                      <w:szCs w:val="21"/>
                    </w:rPr>
                    <w:t>濮阳天和玻璃有限责任公司</w:t>
                  </w:r>
                </w:p>
              </w:tc>
              <w:tc>
                <w:tcPr>
                  <w:tcW w:w="1037" w:type="dxa"/>
                  <w:tcBorders>
                    <w:tl2br w:val="nil"/>
                    <w:tr2bl w:val="nil"/>
                  </w:tcBorders>
                  <w:vAlign w:val="center"/>
                </w:tcPr>
                <w:p w14:paraId="7A4AB1E7">
                  <w:pPr>
                    <w:widowControl/>
                    <w:jc w:val="center"/>
                    <w:rPr>
                      <w:kern w:val="0"/>
                      <w:szCs w:val="21"/>
                    </w:rPr>
                  </w:pPr>
                  <w:r>
                    <w:rPr>
                      <w:kern w:val="0"/>
                      <w:szCs w:val="21"/>
                    </w:rPr>
                    <w:t>相符</w:t>
                  </w:r>
                </w:p>
              </w:tc>
            </w:tr>
            <w:tr w14:paraId="36F6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53" w:type="dxa"/>
                  <w:tcBorders>
                    <w:tl2br w:val="nil"/>
                    <w:tr2bl w:val="nil"/>
                  </w:tcBorders>
                  <w:vAlign w:val="center"/>
                </w:tcPr>
                <w:p w14:paraId="51E06F1E">
                  <w:pPr>
                    <w:widowControl/>
                    <w:jc w:val="center"/>
                    <w:rPr>
                      <w:kern w:val="0"/>
                      <w:szCs w:val="21"/>
                    </w:rPr>
                  </w:pPr>
                  <w:r>
                    <w:rPr>
                      <w:rFonts w:hint="eastAsia"/>
                      <w:kern w:val="0"/>
                      <w:szCs w:val="21"/>
                    </w:rPr>
                    <w:t>3</w:t>
                  </w:r>
                </w:p>
              </w:tc>
              <w:tc>
                <w:tcPr>
                  <w:tcW w:w="1149" w:type="dxa"/>
                  <w:tcBorders>
                    <w:tl2br w:val="nil"/>
                    <w:tr2bl w:val="nil"/>
                  </w:tcBorders>
                  <w:vAlign w:val="center"/>
                </w:tcPr>
                <w:p w14:paraId="5D8E36F9">
                  <w:pPr>
                    <w:widowControl/>
                    <w:jc w:val="center"/>
                    <w:rPr>
                      <w:kern w:val="0"/>
                      <w:szCs w:val="21"/>
                    </w:rPr>
                  </w:pPr>
                  <w:r>
                    <w:rPr>
                      <w:rFonts w:hint="eastAsia"/>
                      <w:kern w:val="0"/>
                      <w:szCs w:val="21"/>
                    </w:rPr>
                    <w:t>建设地点</w:t>
                  </w:r>
                </w:p>
              </w:tc>
              <w:tc>
                <w:tcPr>
                  <w:tcW w:w="2551" w:type="dxa"/>
                  <w:tcBorders>
                    <w:tl2br w:val="nil"/>
                    <w:tr2bl w:val="nil"/>
                  </w:tcBorders>
                  <w:vAlign w:val="center"/>
                </w:tcPr>
                <w:p w14:paraId="75D2EF62">
                  <w:pPr>
                    <w:widowControl/>
                    <w:jc w:val="center"/>
                    <w:rPr>
                      <w:kern w:val="0"/>
                      <w:szCs w:val="21"/>
                    </w:rPr>
                  </w:pPr>
                  <w:r>
                    <w:rPr>
                      <w:rFonts w:hint="eastAsia"/>
                      <w:kern w:val="0"/>
                      <w:szCs w:val="21"/>
                    </w:rPr>
                    <w:t>河南省濮阳市清丰县先进制造业开发区106国道与单拐大道交叉口往东200米路南</w:t>
                  </w:r>
                </w:p>
              </w:tc>
              <w:tc>
                <w:tcPr>
                  <w:tcW w:w="2492" w:type="dxa"/>
                  <w:tcBorders>
                    <w:tl2br w:val="nil"/>
                    <w:tr2bl w:val="nil"/>
                  </w:tcBorders>
                  <w:vAlign w:val="center"/>
                </w:tcPr>
                <w:p w14:paraId="524FB8CD">
                  <w:pPr>
                    <w:widowControl/>
                    <w:jc w:val="center"/>
                    <w:rPr>
                      <w:kern w:val="0"/>
                      <w:szCs w:val="21"/>
                    </w:rPr>
                  </w:pPr>
                  <w:r>
                    <w:rPr>
                      <w:rFonts w:hint="eastAsia"/>
                      <w:kern w:val="0"/>
                      <w:szCs w:val="21"/>
                    </w:rPr>
                    <w:t>河南省濮阳市清丰县先进制造业开发区106国道与单拐大道交叉口往东200米路南</w:t>
                  </w:r>
                </w:p>
              </w:tc>
              <w:tc>
                <w:tcPr>
                  <w:tcW w:w="1037" w:type="dxa"/>
                  <w:tcBorders>
                    <w:tl2br w:val="nil"/>
                    <w:tr2bl w:val="nil"/>
                  </w:tcBorders>
                  <w:vAlign w:val="center"/>
                </w:tcPr>
                <w:p w14:paraId="5E38E57D">
                  <w:pPr>
                    <w:widowControl/>
                    <w:jc w:val="center"/>
                    <w:rPr>
                      <w:kern w:val="0"/>
                      <w:szCs w:val="21"/>
                    </w:rPr>
                  </w:pPr>
                  <w:r>
                    <w:rPr>
                      <w:kern w:val="0"/>
                      <w:szCs w:val="21"/>
                    </w:rPr>
                    <w:t>相符</w:t>
                  </w:r>
                </w:p>
              </w:tc>
            </w:tr>
            <w:tr w14:paraId="721A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53" w:type="dxa"/>
                  <w:tcBorders>
                    <w:tl2br w:val="nil"/>
                    <w:tr2bl w:val="nil"/>
                  </w:tcBorders>
                  <w:vAlign w:val="center"/>
                </w:tcPr>
                <w:p w14:paraId="7FBF1DFC">
                  <w:pPr>
                    <w:widowControl/>
                    <w:jc w:val="center"/>
                    <w:rPr>
                      <w:kern w:val="0"/>
                      <w:szCs w:val="21"/>
                    </w:rPr>
                  </w:pPr>
                  <w:r>
                    <w:rPr>
                      <w:rFonts w:hint="eastAsia"/>
                      <w:kern w:val="0"/>
                      <w:szCs w:val="21"/>
                    </w:rPr>
                    <w:t>4</w:t>
                  </w:r>
                </w:p>
              </w:tc>
              <w:tc>
                <w:tcPr>
                  <w:tcW w:w="1149" w:type="dxa"/>
                  <w:tcBorders>
                    <w:tl2br w:val="nil"/>
                    <w:tr2bl w:val="nil"/>
                  </w:tcBorders>
                  <w:vAlign w:val="center"/>
                </w:tcPr>
                <w:p w14:paraId="5E43B3B2">
                  <w:pPr>
                    <w:widowControl/>
                    <w:jc w:val="center"/>
                    <w:rPr>
                      <w:kern w:val="0"/>
                      <w:szCs w:val="21"/>
                    </w:rPr>
                  </w:pPr>
                  <w:r>
                    <w:rPr>
                      <w:rFonts w:hint="eastAsia"/>
                      <w:kern w:val="0"/>
                      <w:szCs w:val="21"/>
                    </w:rPr>
                    <w:t>总投资</w:t>
                  </w:r>
                </w:p>
              </w:tc>
              <w:tc>
                <w:tcPr>
                  <w:tcW w:w="2551" w:type="dxa"/>
                  <w:tcBorders>
                    <w:tl2br w:val="nil"/>
                    <w:tr2bl w:val="nil"/>
                  </w:tcBorders>
                  <w:vAlign w:val="center"/>
                </w:tcPr>
                <w:p w14:paraId="79D66C3F">
                  <w:pPr>
                    <w:widowControl/>
                    <w:jc w:val="center"/>
                    <w:rPr>
                      <w:kern w:val="0"/>
                      <w:szCs w:val="21"/>
                    </w:rPr>
                  </w:pPr>
                  <w:r>
                    <w:rPr>
                      <w:rFonts w:hint="eastAsia"/>
                      <w:kern w:val="0"/>
                      <w:szCs w:val="21"/>
                    </w:rPr>
                    <w:t>1000万元</w:t>
                  </w:r>
                </w:p>
              </w:tc>
              <w:tc>
                <w:tcPr>
                  <w:tcW w:w="2492" w:type="dxa"/>
                  <w:tcBorders>
                    <w:tl2br w:val="nil"/>
                    <w:tr2bl w:val="nil"/>
                  </w:tcBorders>
                  <w:vAlign w:val="center"/>
                </w:tcPr>
                <w:p w14:paraId="74C78BBF">
                  <w:pPr>
                    <w:widowControl/>
                    <w:jc w:val="center"/>
                    <w:rPr>
                      <w:kern w:val="0"/>
                      <w:szCs w:val="21"/>
                    </w:rPr>
                  </w:pPr>
                  <w:r>
                    <w:rPr>
                      <w:rFonts w:hint="eastAsia"/>
                      <w:kern w:val="0"/>
                      <w:szCs w:val="21"/>
                    </w:rPr>
                    <w:t>1000万元</w:t>
                  </w:r>
                </w:p>
              </w:tc>
              <w:tc>
                <w:tcPr>
                  <w:tcW w:w="1037" w:type="dxa"/>
                  <w:tcBorders>
                    <w:tl2br w:val="nil"/>
                    <w:tr2bl w:val="nil"/>
                  </w:tcBorders>
                  <w:vAlign w:val="center"/>
                </w:tcPr>
                <w:p w14:paraId="366BB8C7">
                  <w:pPr>
                    <w:widowControl/>
                    <w:jc w:val="center"/>
                    <w:rPr>
                      <w:kern w:val="0"/>
                      <w:szCs w:val="21"/>
                    </w:rPr>
                  </w:pPr>
                  <w:r>
                    <w:rPr>
                      <w:kern w:val="0"/>
                      <w:szCs w:val="21"/>
                    </w:rPr>
                    <w:t>相符</w:t>
                  </w:r>
                </w:p>
              </w:tc>
            </w:tr>
            <w:tr w14:paraId="7AC1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53" w:type="dxa"/>
                  <w:tcBorders>
                    <w:tl2br w:val="nil"/>
                    <w:tr2bl w:val="nil"/>
                  </w:tcBorders>
                  <w:vAlign w:val="center"/>
                </w:tcPr>
                <w:p w14:paraId="64D67954">
                  <w:pPr>
                    <w:widowControl/>
                    <w:jc w:val="center"/>
                    <w:rPr>
                      <w:kern w:val="0"/>
                      <w:szCs w:val="21"/>
                    </w:rPr>
                  </w:pPr>
                  <w:r>
                    <w:rPr>
                      <w:rFonts w:hint="eastAsia"/>
                      <w:kern w:val="0"/>
                      <w:szCs w:val="21"/>
                    </w:rPr>
                    <w:t>5</w:t>
                  </w:r>
                </w:p>
              </w:tc>
              <w:tc>
                <w:tcPr>
                  <w:tcW w:w="1149" w:type="dxa"/>
                  <w:tcBorders>
                    <w:tl2br w:val="nil"/>
                    <w:tr2bl w:val="nil"/>
                  </w:tcBorders>
                  <w:vAlign w:val="center"/>
                </w:tcPr>
                <w:p w14:paraId="0F0C5695">
                  <w:pPr>
                    <w:widowControl/>
                    <w:jc w:val="center"/>
                    <w:rPr>
                      <w:kern w:val="0"/>
                      <w:szCs w:val="21"/>
                    </w:rPr>
                  </w:pPr>
                  <w:r>
                    <w:rPr>
                      <w:rFonts w:hint="eastAsia"/>
                      <w:kern w:val="0"/>
                      <w:szCs w:val="21"/>
                    </w:rPr>
                    <w:t>建设性质</w:t>
                  </w:r>
                </w:p>
              </w:tc>
              <w:tc>
                <w:tcPr>
                  <w:tcW w:w="2551" w:type="dxa"/>
                  <w:tcBorders>
                    <w:tl2br w:val="nil"/>
                    <w:tr2bl w:val="nil"/>
                  </w:tcBorders>
                  <w:vAlign w:val="center"/>
                </w:tcPr>
                <w:p w14:paraId="3AC18393">
                  <w:pPr>
                    <w:widowControl/>
                    <w:jc w:val="center"/>
                    <w:rPr>
                      <w:kern w:val="0"/>
                      <w:szCs w:val="21"/>
                    </w:rPr>
                  </w:pPr>
                  <w:r>
                    <w:rPr>
                      <w:kern w:val="0"/>
                      <w:szCs w:val="21"/>
                    </w:rPr>
                    <w:t>迁建</w:t>
                  </w:r>
                </w:p>
              </w:tc>
              <w:tc>
                <w:tcPr>
                  <w:tcW w:w="2492" w:type="dxa"/>
                  <w:tcBorders>
                    <w:tl2br w:val="nil"/>
                    <w:tr2bl w:val="nil"/>
                  </w:tcBorders>
                  <w:vAlign w:val="center"/>
                </w:tcPr>
                <w:p w14:paraId="6488B94E">
                  <w:pPr>
                    <w:widowControl/>
                    <w:jc w:val="center"/>
                    <w:rPr>
                      <w:rFonts w:hint="eastAsia" w:eastAsia="宋体"/>
                      <w:kern w:val="0"/>
                      <w:szCs w:val="21"/>
                      <w:lang w:eastAsia="zh-CN"/>
                    </w:rPr>
                  </w:pPr>
                  <w:r>
                    <w:rPr>
                      <w:rFonts w:hint="eastAsia"/>
                      <w:kern w:val="0"/>
                      <w:szCs w:val="21"/>
                    </w:rPr>
                    <w:t>迁建</w:t>
                  </w:r>
                  <w:r>
                    <w:rPr>
                      <w:rFonts w:hint="eastAsia"/>
                      <w:kern w:val="0"/>
                      <w:szCs w:val="21"/>
                      <w:lang w:eastAsia="zh-CN"/>
                    </w:rPr>
                    <w:t>（</w:t>
                  </w:r>
                  <w:r>
                    <w:rPr>
                      <w:rFonts w:hint="eastAsia"/>
                      <w:kern w:val="0"/>
                      <w:szCs w:val="21"/>
                      <w:lang w:val="en-US" w:eastAsia="zh-CN"/>
                    </w:rPr>
                    <w:t>厂址迁移</w:t>
                  </w:r>
                  <w:r>
                    <w:rPr>
                      <w:rFonts w:hint="eastAsia"/>
                      <w:kern w:val="0"/>
                      <w:szCs w:val="21"/>
                      <w:lang w:eastAsia="zh-CN"/>
                    </w:rPr>
                    <w:t>）</w:t>
                  </w:r>
                </w:p>
              </w:tc>
              <w:tc>
                <w:tcPr>
                  <w:tcW w:w="1037" w:type="dxa"/>
                  <w:tcBorders>
                    <w:tl2br w:val="nil"/>
                    <w:tr2bl w:val="nil"/>
                  </w:tcBorders>
                  <w:vAlign w:val="center"/>
                </w:tcPr>
                <w:p w14:paraId="75AD803C">
                  <w:pPr>
                    <w:widowControl/>
                    <w:jc w:val="center"/>
                    <w:rPr>
                      <w:kern w:val="0"/>
                      <w:szCs w:val="21"/>
                    </w:rPr>
                  </w:pPr>
                  <w:r>
                    <w:rPr>
                      <w:rFonts w:hint="eastAsia"/>
                      <w:kern w:val="0"/>
                      <w:szCs w:val="21"/>
                    </w:rPr>
                    <w:t>相符</w:t>
                  </w:r>
                </w:p>
              </w:tc>
            </w:tr>
            <w:tr w14:paraId="5762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53" w:type="dxa"/>
                  <w:tcBorders>
                    <w:tl2br w:val="nil"/>
                    <w:tr2bl w:val="nil"/>
                  </w:tcBorders>
                  <w:vAlign w:val="center"/>
                </w:tcPr>
                <w:p w14:paraId="1B642598">
                  <w:pPr>
                    <w:widowControl/>
                    <w:jc w:val="center"/>
                    <w:rPr>
                      <w:kern w:val="0"/>
                      <w:szCs w:val="21"/>
                    </w:rPr>
                  </w:pPr>
                  <w:r>
                    <w:rPr>
                      <w:rFonts w:hint="eastAsia"/>
                      <w:kern w:val="0"/>
                      <w:szCs w:val="21"/>
                    </w:rPr>
                    <w:t>6</w:t>
                  </w:r>
                </w:p>
              </w:tc>
              <w:tc>
                <w:tcPr>
                  <w:tcW w:w="1149" w:type="dxa"/>
                  <w:tcBorders>
                    <w:tl2br w:val="nil"/>
                    <w:tr2bl w:val="nil"/>
                  </w:tcBorders>
                  <w:vAlign w:val="center"/>
                </w:tcPr>
                <w:p w14:paraId="1F1DEC29">
                  <w:pPr>
                    <w:widowControl/>
                    <w:jc w:val="center"/>
                    <w:rPr>
                      <w:kern w:val="0"/>
                      <w:szCs w:val="21"/>
                    </w:rPr>
                  </w:pPr>
                  <w:r>
                    <w:rPr>
                      <w:rFonts w:hint="eastAsia"/>
                      <w:kern w:val="0"/>
                      <w:szCs w:val="21"/>
                    </w:rPr>
                    <w:t>建设规模及内容</w:t>
                  </w:r>
                </w:p>
              </w:tc>
              <w:tc>
                <w:tcPr>
                  <w:tcW w:w="2551" w:type="dxa"/>
                  <w:tcBorders>
                    <w:tl2br w:val="nil"/>
                    <w:tr2bl w:val="nil"/>
                  </w:tcBorders>
                  <w:vAlign w:val="center"/>
                </w:tcPr>
                <w:p w14:paraId="6D684070">
                  <w:pPr>
                    <w:widowControl/>
                    <w:jc w:val="center"/>
                    <w:rPr>
                      <w:kern w:val="0"/>
                      <w:szCs w:val="21"/>
                    </w:rPr>
                  </w:pPr>
                  <w:r>
                    <w:rPr>
                      <w:kern w:val="0"/>
                      <w:szCs w:val="21"/>
                    </w:rPr>
                    <w:t>年加工生产</w:t>
                  </w:r>
                  <w:r>
                    <w:rPr>
                      <w:rFonts w:hint="eastAsia"/>
                      <w:kern w:val="0"/>
                      <w:szCs w:val="21"/>
                    </w:rPr>
                    <w:t>30万平方米钢化玻璃、30万平方米中空玻璃，项目占地面积5400平方米。主要建设1条钢化玻璃生产线，2条中空玻璃生产线。</w:t>
                  </w:r>
                </w:p>
              </w:tc>
              <w:tc>
                <w:tcPr>
                  <w:tcW w:w="2492" w:type="dxa"/>
                  <w:tcBorders>
                    <w:tl2br w:val="nil"/>
                    <w:tr2bl w:val="nil"/>
                  </w:tcBorders>
                  <w:vAlign w:val="center"/>
                </w:tcPr>
                <w:p w14:paraId="0CDD1F30">
                  <w:pPr>
                    <w:widowControl/>
                    <w:jc w:val="center"/>
                    <w:rPr>
                      <w:kern w:val="0"/>
                      <w:szCs w:val="21"/>
                    </w:rPr>
                  </w:pPr>
                  <w:r>
                    <w:rPr>
                      <w:kern w:val="0"/>
                      <w:szCs w:val="21"/>
                    </w:rPr>
                    <w:t>年加工生产</w:t>
                  </w:r>
                  <w:r>
                    <w:rPr>
                      <w:rFonts w:hint="eastAsia"/>
                      <w:kern w:val="0"/>
                      <w:szCs w:val="21"/>
                    </w:rPr>
                    <w:t>30万平方米钢化玻璃、30万平方米中空玻璃，项目占地面积5400平方米。主要建设1条钢化玻璃生产线，2条中空玻璃生产线。</w:t>
                  </w:r>
                </w:p>
              </w:tc>
              <w:tc>
                <w:tcPr>
                  <w:tcW w:w="1037" w:type="dxa"/>
                  <w:tcBorders>
                    <w:tl2br w:val="nil"/>
                    <w:tr2bl w:val="nil"/>
                  </w:tcBorders>
                  <w:vAlign w:val="center"/>
                </w:tcPr>
                <w:p w14:paraId="07375E56">
                  <w:pPr>
                    <w:widowControl/>
                    <w:jc w:val="center"/>
                    <w:rPr>
                      <w:kern w:val="0"/>
                      <w:szCs w:val="21"/>
                      <w:highlight w:val="yellow"/>
                    </w:rPr>
                  </w:pPr>
                  <w:r>
                    <w:rPr>
                      <w:rFonts w:hint="eastAsia"/>
                      <w:kern w:val="0"/>
                      <w:szCs w:val="21"/>
                    </w:rPr>
                    <w:t>相符</w:t>
                  </w:r>
                </w:p>
              </w:tc>
            </w:tr>
            <w:tr w14:paraId="4DE5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653" w:type="dxa"/>
                  <w:tcBorders>
                    <w:tl2br w:val="nil"/>
                    <w:tr2bl w:val="nil"/>
                  </w:tcBorders>
                  <w:vAlign w:val="center"/>
                </w:tcPr>
                <w:p w14:paraId="7746AA7D">
                  <w:pPr>
                    <w:widowControl/>
                    <w:jc w:val="center"/>
                    <w:rPr>
                      <w:kern w:val="0"/>
                      <w:szCs w:val="21"/>
                    </w:rPr>
                  </w:pPr>
                  <w:r>
                    <w:rPr>
                      <w:rFonts w:hint="eastAsia"/>
                      <w:kern w:val="0"/>
                      <w:szCs w:val="21"/>
                    </w:rPr>
                    <w:t>7</w:t>
                  </w:r>
                </w:p>
              </w:tc>
              <w:tc>
                <w:tcPr>
                  <w:tcW w:w="1149" w:type="dxa"/>
                  <w:tcBorders>
                    <w:tl2br w:val="nil"/>
                    <w:tr2bl w:val="nil"/>
                  </w:tcBorders>
                  <w:vAlign w:val="center"/>
                </w:tcPr>
                <w:p w14:paraId="3E0BC40F">
                  <w:pPr>
                    <w:widowControl/>
                    <w:jc w:val="center"/>
                    <w:rPr>
                      <w:kern w:val="0"/>
                      <w:szCs w:val="21"/>
                    </w:rPr>
                  </w:pPr>
                  <w:r>
                    <w:rPr>
                      <w:rFonts w:hint="eastAsia"/>
                      <w:kern w:val="0"/>
                      <w:szCs w:val="21"/>
                    </w:rPr>
                    <w:t>生产工艺</w:t>
                  </w:r>
                </w:p>
              </w:tc>
              <w:tc>
                <w:tcPr>
                  <w:tcW w:w="2551" w:type="dxa"/>
                  <w:tcBorders>
                    <w:tl2br w:val="nil"/>
                    <w:tr2bl w:val="nil"/>
                  </w:tcBorders>
                  <w:vAlign w:val="center"/>
                </w:tcPr>
                <w:p w14:paraId="32B61875">
                  <w:pPr>
                    <w:widowControl/>
                    <w:jc w:val="center"/>
                    <w:rPr>
                      <w:kern w:val="0"/>
                      <w:szCs w:val="21"/>
                    </w:rPr>
                  </w:pPr>
                  <w:r>
                    <w:rPr>
                      <w:kern w:val="0"/>
                      <w:szCs w:val="21"/>
                    </w:rPr>
                    <w:t>钢化玻璃生产工艺</w:t>
                  </w:r>
                  <w:r>
                    <w:rPr>
                      <w:rFonts w:hint="eastAsia"/>
                      <w:kern w:val="0"/>
                      <w:szCs w:val="21"/>
                    </w:rPr>
                    <w:t>：</w:t>
                  </w:r>
                  <w:r>
                    <w:rPr>
                      <w:kern w:val="0"/>
                      <w:szCs w:val="21"/>
                    </w:rPr>
                    <w:t>玻璃原片→切割→磨边→清洗→钢化→钢化玻璃</w:t>
                  </w:r>
                  <w:r>
                    <w:rPr>
                      <w:rFonts w:hint="eastAsia"/>
                      <w:kern w:val="0"/>
                      <w:szCs w:val="21"/>
                    </w:rPr>
                    <w:t>；</w:t>
                  </w:r>
                </w:p>
                <w:p w14:paraId="41671F1C">
                  <w:pPr>
                    <w:widowControl/>
                    <w:jc w:val="center"/>
                    <w:rPr>
                      <w:kern w:val="0"/>
                      <w:szCs w:val="21"/>
                    </w:rPr>
                  </w:pPr>
                  <w:r>
                    <w:rPr>
                      <w:kern w:val="0"/>
                      <w:szCs w:val="21"/>
                    </w:rPr>
                    <w:t>中空玻璃生产工艺</w:t>
                  </w:r>
                  <w:r>
                    <w:rPr>
                      <w:rFonts w:hint="eastAsia"/>
                      <w:kern w:val="0"/>
                      <w:szCs w:val="21"/>
                    </w:rPr>
                    <w:t>：</w:t>
                  </w:r>
                  <w:r>
                    <w:rPr>
                      <w:kern w:val="0"/>
                      <w:szCs w:val="21"/>
                    </w:rPr>
                    <w:t>钢化玻璃→铺间隔框→铺胶→固定→封胶→中空玻璃</w:t>
                  </w:r>
                </w:p>
              </w:tc>
              <w:tc>
                <w:tcPr>
                  <w:tcW w:w="2492" w:type="dxa"/>
                  <w:tcBorders>
                    <w:tl2br w:val="nil"/>
                    <w:tr2bl w:val="nil"/>
                  </w:tcBorders>
                  <w:vAlign w:val="center"/>
                </w:tcPr>
                <w:p w14:paraId="05B90D88">
                  <w:pPr>
                    <w:widowControl/>
                    <w:jc w:val="center"/>
                    <w:rPr>
                      <w:kern w:val="0"/>
                      <w:szCs w:val="21"/>
                    </w:rPr>
                  </w:pPr>
                  <w:r>
                    <w:rPr>
                      <w:kern w:val="0"/>
                      <w:szCs w:val="21"/>
                    </w:rPr>
                    <w:t>钢化玻璃生产工艺</w:t>
                  </w:r>
                  <w:r>
                    <w:rPr>
                      <w:rFonts w:hint="eastAsia"/>
                      <w:kern w:val="0"/>
                      <w:szCs w:val="21"/>
                    </w:rPr>
                    <w:t>：</w:t>
                  </w:r>
                  <w:r>
                    <w:rPr>
                      <w:kern w:val="0"/>
                      <w:szCs w:val="21"/>
                    </w:rPr>
                    <w:t>玻璃原片→切割→磨边→清洗→钢化→钢化玻璃</w:t>
                  </w:r>
                  <w:r>
                    <w:rPr>
                      <w:rFonts w:hint="eastAsia"/>
                      <w:kern w:val="0"/>
                      <w:szCs w:val="21"/>
                    </w:rPr>
                    <w:t>；</w:t>
                  </w:r>
                </w:p>
                <w:p w14:paraId="6C9D93E0">
                  <w:pPr>
                    <w:widowControl/>
                    <w:jc w:val="center"/>
                    <w:rPr>
                      <w:kern w:val="0"/>
                      <w:szCs w:val="21"/>
                      <w:highlight w:val="yellow"/>
                    </w:rPr>
                  </w:pPr>
                  <w:r>
                    <w:rPr>
                      <w:kern w:val="0"/>
                      <w:szCs w:val="21"/>
                    </w:rPr>
                    <w:t>中空玻璃生产工艺</w:t>
                  </w:r>
                  <w:r>
                    <w:rPr>
                      <w:rFonts w:hint="eastAsia"/>
                      <w:kern w:val="0"/>
                      <w:szCs w:val="21"/>
                    </w:rPr>
                    <w:t>：钢化玻璃/玻璃原片</w:t>
                  </w:r>
                  <w:r>
                    <w:rPr>
                      <w:kern w:val="0"/>
                      <w:szCs w:val="21"/>
                    </w:rPr>
                    <w:t>→</w:t>
                  </w:r>
                  <w:r>
                    <w:rPr>
                      <w:rFonts w:hint="eastAsia"/>
                      <w:kern w:val="0"/>
                      <w:szCs w:val="21"/>
                    </w:rPr>
                    <w:t>铝隔条折弯</w:t>
                  </w:r>
                  <w:r>
                    <w:rPr>
                      <w:kern w:val="0"/>
                      <w:szCs w:val="21"/>
                    </w:rPr>
                    <w:t>→</w:t>
                  </w:r>
                  <w:r>
                    <w:rPr>
                      <w:rFonts w:hint="eastAsia"/>
                      <w:kern w:val="0"/>
                      <w:szCs w:val="21"/>
                    </w:rPr>
                    <w:t>切割</w:t>
                  </w:r>
                  <w:r>
                    <w:rPr>
                      <w:kern w:val="0"/>
                      <w:szCs w:val="21"/>
                    </w:rPr>
                    <w:t>→</w:t>
                  </w:r>
                  <w:r>
                    <w:rPr>
                      <w:rFonts w:hint="eastAsia"/>
                      <w:kern w:val="0"/>
                      <w:szCs w:val="21"/>
                    </w:rPr>
                    <w:t>灌装干燥剂</w:t>
                  </w:r>
                  <w:r>
                    <w:rPr>
                      <w:kern w:val="0"/>
                      <w:szCs w:val="21"/>
                    </w:rPr>
                    <w:t>→</w:t>
                  </w:r>
                  <w:r>
                    <w:rPr>
                      <w:rFonts w:hint="eastAsia"/>
                      <w:kern w:val="0"/>
                      <w:szCs w:val="21"/>
                    </w:rPr>
                    <w:t>涂</w:t>
                  </w:r>
                  <w:r>
                    <w:rPr>
                      <w:kern w:val="0"/>
                      <w:szCs w:val="21"/>
                    </w:rPr>
                    <w:t>胶→固定→封胶→中空玻璃</w:t>
                  </w:r>
                </w:p>
              </w:tc>
              <w:tc>
                <w:tcPr>
                  <w:tcW w:w="1037" w:type="dxa"/>
                  <w:tcBorders>
                    <w:tl2br w:val="nil"/>
                    <w:tr2bl w:val="nil"/>
                  </w:tcBorders>
                  <w:vAlign w:val="center"/>
                </w:tcPr>
                <w:p w14:paraId="7E42D1B7">
                  <w:pPr>
                    <w:widowControl/>
                    <w:jc w:val="center"/>
                    <w:rPr>
                      <w:kern w:val="0"/>
                      <w:szCs w:val="21"/>
                    </w:rPr>
                  </w:pPr>
                  <w:r>
                    <w:rPr>
                      <w:rFonts w:hint="eastAsia"/>
                      <w:kern w:val="0"/>
                      <w:szCs w:val="21"/>
                    </w:rPr>
                    <w:t>基本</w:t>
                  </w:r>
                  <w:r>
                    <w:rPr>
                      <w:kern w:val="0"/>
                      <w:szCs w:val="21"/>
                    </w:rPr>
                    <w:t>相符</w:t>
                  </w:r>
                  <w:r>
                    <w:rPr>
                      <w:rFonts w:hint="eastAsia"/>
                      <w:kern w:val="0"/>
                      <w:szCs w:val="21"/>
                    </w:rPr>
                    <w:t>，中空玻璃生产中的</w:t>
                  </w:r>
                  <w:r>
                    <w:rPr>
                      <w:kern w:val="0"/>
                      <w:szCs w:val="21"/>
                    </w:rPr>
                    <w:t>铺间隔框</w:t>
                  </w:r>
                  <w:r>
                    <w:rPr>
                      <w:rFonts w:hint="eastAsia"/>
                      <w:kern w:val="0"/>
                      <w:szCs w:val="21"/>
                    </w:rPr>
                    <w:t>工艺进行了细化</w:t>
                  </w:r>
                </w:p>
              </w:tc>
            </w:tr>
            <w:tr w14:paraId="29E0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53" w:type="dxa"/>
                  <w:tcBorders>
                    <w:tl2br w:val="nil"/>
                    <w:tr2bl w:val="nil"/>
                  </w:tcBorders>
                  <w:vAlign w:val="center"/>
                </w:tcPr>
                <w:p w14:paraId="5A8B612D">
                  <w:pPr>
                    <w:widowControl/>
                    <w:jc w:val="center"/>
                    <w:rPr>
                      <w:kern w:val="0"/>
                      <w:szCs w:val="21"/>
                    </w:rPr>
                  </w:pPr>
                  <w:r>
                    <w:rPr>
                      <w:rFonts w:hint="eastAsia"/>
                      <w:kern w:val="0"/>
                      <w:szCs w:val="21"/>
                    </w:rPr>
                    <w:t>8</w:t>
                  </w:r>
                </w:p>
              </w:tc>
              <w:tc>
                <w:tcPr>
                  <w:tcW w:w="1149" w:type="dxa"/>
                  <w:tcBorders>
                    <w:tl2br w:val="nil"/>
                    <w:tr2bl w:val="nil"/>
                  </w:tcBorders>
                  <w:vAlign w:val="center"/>
                </w:tcPr>
                <w:p w14:paraId="028AA686">
                  <w:pPr>
                    <w:widowControl/>
                    <w:jc w:val="center"/>
                    <w:rPr>
                      <w:kern w:val="0"/>
                      <w:szCs w:val="21"/>
                    </w:rPr>
                  </w:pPr>
                  <w:r>
                    <w:rPr>
                      <w:rFonts w:hint="eastAsia"/>
                      <w:kern w:val="0"/>
                      <w:szCs w:val="21"/>
                    </w:rPr>
                    <w:t>主要设备</w:t>
                  </w:r>
                </w:p>
              </w:tc>
              <w:tc>
                <w:tcPr>
                  <w:tcW w:w="2551" w:type="dxa"/>
                  <w:tcBorders>
                    <w:tl2br w:val="nil"/>
                    <w:tr2bl w:val="nil"/>
                  </w:tcBorders>
                  <w:vAlign w:val="center"/>
                </w:tcPr>
                <w:p w14:paraId="5B67D605">
                  <w:pPr>
                    <w:widowControl/>
                    <w:jc w:val="center"/>
                    <w:rPr>
                      <w:kern w:val="0"/>
                      <w:szCs w:val="21"/>
                    </w:rPr>
                  </w:pPr>
                  <w:r>
                    <w:rPr>
                      <w:rFonts w:hint="eastAsia"/>
                      <w:kern w:val="0"/>
                      <w:szCs w:val="21"/>
                    </w:rPr>
                    <w:t>切割机、磨边机、清洗干燥机、钢化炉、全自动中空剥离机等</w:t>
                  </w:r>
                </w:p>
              </w:tc>
              <w:tc>
                <w:tcPr>
                  <w:tcW w:w="2492" w:type="dxa"/>
                  <w:tcBorders>
                    <w:tl2br w:val="nil"/>
                    <w:tr2bl w:val="nil"/>
                  </w:tcBorders>
                  <w:vAlign w:val="center"/>
                </w:tcPr>
                <w:p w14:paraId="2819ADC1">
                  <w:pPr>
                    <w:widowControl/>
                    <w:jc w:val="center"/>
                    <w:rPr>
                      <w:kern w:val="0"/>
                      <w:szCs w:val="21"/>
                      <w:highlight w:val="yellow"/>
                    </w:rPr>
                  </w:pPr>
                  <w:r>
                    <w:rPr>
                      <w:rFonts w:hint="eastAsia"/>
                      <w:kern w:val="0"/>
                      <w:szCs w:val="21"/>
                    </w:rPr>
                    <w:t>切割机、磨边机、清洗干燥机、钢化炉、全自动中空剥离机等</w:t>
                  </w:r>
                </w:p>
              </w:tc>
              <w:tc>
                <w:tcPr>
                  <w:tcW w:w="1037" w:type="dxa"/>
                  <w:tcBorders>
                    <w:tl2br w:val="nil"/>
                    <w:tr2bl w:val="nil"/>
                  </w:tcBorders>
                  <w:vAlign w:val="center"/>
                </w:tcPr>
                <w:p w14:paraId="4F5BCC94">
                  <w:pPr>
                    <w:widowControl/>
                    <w:jc w:val="center"/>
                    <w:rPr>
                      <w:kern w:val="0"/>
                      <w:szCs w:val="21"/>
                    </w:rPr>
                  </w:pPr>
                  <w:r>
                    <w:rPr>
                      <w:kern w:val="0"/>
                      <w:szCs w:val="21"/>
                    </w:rPr>
                    <w:t>相符</w:t>
                  </w:r>
                </w:p>
              </w:tc>
            </w:tr>
          </w:tbl>
          <w:p w14:paraId="4E952C41">
            <w:pPr>
              <w:spacing w:line="360" w:lineRule="auto"/>
              <w:ind w:firstLine="480" w:firstLineChars="200"/>
              <w:jc w:val="left"/>
              <w:rPr>
                <w:sz w:val="24"/>
              </w:rPr>
            </w:pPr>
            <w:bookmarkStart w:id="2" w:name="_Toc17250"/>
            <w:r>
              <w:rPr>
                <w:rFonts w:hint="eastAsia"/>
                <w:sz w:val="24"/>
              </w:rPr>
              <w:t>由上表可知，本项目建设内容与备案内容基本相符</w:t>
            </w:r>
            <w:bookmarkEnd w:id="2"/>
            <w:r>
              <w:rPr>
                <w:rFonts w:hint="eastAsia"/>
                <w:sz w:val="24"/>
              </w:rPr>
              <w:t>。</w:t>
            </w:r>
          </w:p>
          <w:p w14:paraId="60AA3403">
            <w:pPr>
              <w:adjustRightInd w:val="0"/>
              <w:snapToGrid w:val="0"/>
              <w:spacing w:line="360" w:lineRule="auto"/>
              <w:ind w:firstLine="482" w:firstLineChars="200"/>
              <w:rPr>
                <w:b/>
                <w:bCs/>
                <w:sz w:val="24"/>
              </w:rPr>
            </w:pPr>
            <w:r>
              <w:rPr>
                <w:rFonts w:hint="eastAsia"/>
                <w:b/>
                <w:bCs/>
                <w:sz w:val="24"/>
              </w:rPr>
              <w:t>7、</w:t>
            </w:r>
            <w:r>
              <w:rPr>
                <w:b/>
                <w:bCs/>
                <w:sz w:val="24"/>
              </w:rPr>
              <w:t>工作制度及劳动定员</w:t>
            </w:r>
          </w:p>
          <w:p w14:paraId="79EB1CD7">
            <w:pPr>
              <w:spacing w:line="360" w:lineRule="auto"/>
              <w:ind w:firstLine="480" w:firstLineChars="200"/>
              <w:jc w:val="left"/>
              <w:rPr>
                <w:sz w:val="24"/>
                <w:u w:val="single"/>
              </w:rPr>
            </w:pPr>
            <w:r>
              <w:rPr>
                <w:rFonts w:hint="eastAsia"/>
                <w:sz w:val="24"/>
                <w:u w:val="single"/>
              </w:rPr>
              <w:t>劳动定员：</w:t>
            </w:r>
            <w:r>
              <w:rPr>
                <w:rFonts w:hint="eastAsia"/>
                <w:sz w:val="24"/>
                <w:u w:val="single"/>
                <w:lang w:val="en-US" w:eastAsia="zh-CN"/>
              </w:rPr>
              <w:t>原审批项目劳动定员40人，本</w:t>
            </w:r>
            <w:r>
              <w:rPr>
                <w:rFonts w:hint="eastAsia"/>
                <w:sz w:val="24"/>
                <w:u w:val="single"/>
              </w:rPr>
              <w:t>项目劳动定员30人。</w:t>
            </w:r>
          </w:p>
          <w:p w14:paraId="5648F717">
            <w:pPr>
              <w:spacing w:line="360" w:lineRule="auto"/>
              <w:ind w:firstLine="480" w:firstLineChars="200"/>
              <w:jc w:val="left"/>
              <w:rPr>
                <w:sz w:val="24"/>
                <w:u w:val="single"/>
              </w:rPr>
            </w:pPr>
            <w:r>
              <w:rPr>
                <w:rFonts w:hint="eastAsia"/>
                <w:sz w:val="24"/>
                <w:u w:val="single"/>
              </w:rPr>
              <w:t>工作制度：</w:t>
            </w:r>
            <w:r>
              <w:rPr>
                <w:rFonts w:hint="eastAsia"/>
                <w:sz w:val="24"/>
                <w:u w:val="single"/>
                <w:lang w:val="en-US" w:eastAsia="zh-CN"/>
              </w:rPr>
              <w:t>原审批项目</w:t>
            </w:r>
            <w:r>
              <w:rPr>
                <w:rFonts w:hint="eastAsia"/>
                <w:sz w:val="24"/>
                <w:u w:val="single"/>
              </w:rPr>
              <w:t>年</w:t>
            </w:r>
            <w:r>
              <w:rPr>
                <w:rFonts w:hint="eastAsia"/>
                <w:sz w:val="24"/>
                <w:u w:val="single"/>
                <w:lang w:val="en-US" w:eastAsia="zh-CN"/>
              </w:rPr>
              <w:t>生产</w:t>
            </w:r>
            <w:r>
              <w:rPr>
                <w:rFonts w:hint="eastAsia"/>
                <w:sz w:val="24"/>
                <w:u w:val="single"/>
              </w:rPr>
              <w:t>300天，两班制，每班</w:t>
            </w:r>
            <w:r>
              <w:rPr>
                <w:sz w:val="24"/>
                <w:u w:val="single"/>
              </w:rPr>
              <w:t>8h</w:t>
            </w:r>
            <w:r>
              <w:rPr>
                <w:rFonts w:hint="eastAsia"/>
                <w:sz w:val="24"/>
                <w:u w:val="single"/>
                <w:lang w:eastAsia="zh-CN"/>
              </w:rPr>
              <w:t>，</w:t>
            </w:r>
            <w:r>
              <w:rPr>
                <w:rFonts w:hint="eastAsia"/>
                <w:sz w:val="24"/>
                <w:u w:val="single"/>
              </w:rPr>
              <w:t>厂区不提供食宿</w:t>
            </w:r>
            <w:r>
              <w:rPr>
                <w:rFonts w:hint="eastAsia"/>
                <w:sz w:val="24"/>
                <w:u w:val="single"/>
                <w:lang w:eastAsia="zh-CN"/>
              </w:rPr>
              <w:t>；</w:t>
            </w:r>
            <w:r>
              <w:rPr>
                <w:rFonts w:hint="eastAsia"/>
                <w:sz w:val="24"/>
                <w:u w:val="single"/>
                <w:lang w:val="en-US" w:eastAsia="zh-CN"/>
              </w:rPr>
              <w:t>本</w:t>
            </w:r>
            <w:r>
              <w:rPr>
                <w:rFonts w:hint="eastAsia"/>
                <w:sz w:val="24"/>
                <w:u w:val="single"/>
              </w:rPr>
              <w:t>项目年</w:t>
            </w:r>
            <w:r>
              <w:rPr>
                <w:rFonts w:hint="eastAsia"/>
                <w:sz w:val="24"/>
                <w:u w:val="single"/>
                <w:lang w:val="en-US" w:eastAsia="zh-CN"/>
              </w:rPr>
              <w:t>工作</w:t>
            </w:r>
            <w:r>
              <w:rPr>
                <w:rFonts w:hint="eastAsia"/>
                <w:sz w:val="24"/>
                <w:u w:val="single"/>
              </w:rPr>
              <w:t>300天，每天工作8h，厂区不提供食宿。</w:t>
            </w:r>
          </w:p>
          <w:p w14:paraId="6C8D89B9">
            <w:pPr>
              <w:adjustRightInd w:val="0"/>
              <w:snapToGrid w:val="0"/>
              <w:spacing w:line="360" w:lineRule="auto"/>
              <w:ind w:firstLine="482" w:firstLineChars="200"/>
              <w:rPr>
                <w:b/>
                <w:sz w:val="24"/>
              </w:rPr>
            </w:pPr>
            <w:r>
              <w:rPr>
                <w:rFonts w:hint="eastAsia"/>
                <w:b/>
                <w:sz w:val="24"/>
              </w:rPr>
              <w:t>8</w:t>
            </w:r>
            <w:r>
              <w:rPr>
                <w:b/>
                <w:sz w:val="24"/>
              </w:rPr>
              <w:t>、</w:t>
            </w:r>
            <w:r>
              <w:rPr>
                <w:b/>
                <w:bCs/>
                <w:sz w:val="24"/>
              </w:rPr>
              <w:t>公用工程</w:t>
            </w:r>
          </w:p>
          <w:p w14:paraId="322E2327">
            <w:pPr>
              <w:widowControl/>
              <w:adjustRightInd w:val="0"/>
              <w:snapToGrid w:val="0"/>
              <w:spacing w:line="360" w:lineRule="auto"/>
              <w:ind w:firstLine="482" w:firstLineChars="200"/>
              <w:rPr>
                <w:b/>
                <w:sz w:val="24"/>
              </w:rPr>
            </w:pPr>
            <w:r>
              <w:rPr>
                <w:rFonts w:hint="eastAsia"/>
                <w:b/>
                <w:sz w:val="24"/>
              </w:rPr>
              <w:t>8.1</w:t>
            </w:r>
            <w:r>
              <w:rPr>
                <w:b/>
                <w:sz w:val="24"/>
              </w:rPr>
              <w:t>给排水</w:t>
            </w:r>
          </w:p>
          <w:p w14:paraId="1624FD3B">
            <w:pPr>
              <w:widowControl/>
              <w:adjustRightInd w:val="0"/>
              <w:snapToGrid w:val="0"/>
              <w:spacing w:line="360" w:lineRule="auto"/>
              <w:ind w:firstLine="480" w:firstLineChars="200"/>
              <w:rPr>
                <w:sz w:val="24"/>
              </w:rPr>
            </w:pPr>
            <w:r>
              <w:rPr>
                <w:rFonts w:hint="eastAsia"/>
                <w:sz w:val="24"/>
                <w:lang w:val="en-US" w:eastAsia="zh-CN"/>
              </w:rPr>
              <w:t>本</w:t>
            </w:r>
            <w:r>
              <w:rPr>
                <w:rFonts w:hint="eastAsia"/>
                <w:sz w:val="24"/>
              </w:rPr>
              <w:t>项目用水主要为磨边、清洗工序用水、纯水制备用水和员工生活用水。</w:t>
            </w:r>
          </w:p>
          <w:p w14:paraId="7188737B">
            <w:pPr>
              <w:widowControl/>
              <w:adjustRightInd w:val="0"/>
              <w:snapToGrid w:val="0"/>
              <w:spacing w:line="360" w:lineRule="auto"/>
              <w:ind w:firstLine="480" w:firstLineChars="200"/>
              <w:rPr>
                <w:sz w:val="24"/>
                <w:u w:val="single"/>
              </w:rPr>
            </w:pPr>
            <w:r>
              <w:rPr>
                <w:rFonts w:hint="eastAsia"/>
                <w:sz w:val="24"/>
                <w:u w:val="single"/>
              </w:rPr>
              <w:t>（1）磨边、清洗工序用水</w:t>
            </w:r>
          </w:p>
          <w:p w14:paraId="4D596F27">
            <w:pPr>
              <w:widowControl/>
              <w:adjustRightInd w:val="0"/>
              <w:snapToGrid w:val="0"/>
              <w:spacing w:line="360" w:lineRule="auto"/>
              <w:ind w:firstLine="480" w:firstLineChars="200"/>
              <w:rPr>
                <w:sz w:val="24"/>
              </w:rPr>
            </w:pPr>
            <w:r>
              <w:rPr>
                <w:rFonts w:hint="eastAsia"/>
                <w:sz w:val="24"/>
                <w:u w:val="single"/>
              </w:rPr>
              <w:t>根据建设单位提供的设计资料，项目磨边工序对水质没有要求，使用自来水和回用水；清洗工序使用纯水。磨边和清洗废水经设备自带循环水槽收集后循环使用，循环水槽废水定期更换，并对槽底的玻璃碎屑进行清理。更换的废水进入设备旁配套的一座29.4m</w:t>
            </w:r>
            <w:r>
              <w:rPr>
                <w:rFonts w:hint="eastAsia"/>
                <w:sz w:val="24"/>
                <w:u w:val="single"/>
                <w:vertAlign w:val="superscript"/>
              </w:rPr>
              <w:t>3</w:t>
            </w:r>
            <w:r>
              <w:rPr>
                <w:rFonts w:hint="eastAsia"/>
                <w:sz w:val="24"/>
                <w:u w:val="single"/>
              </w:rPr>
              <w:t>三级沉淀池（1.5m×7m×2.8m），经三级沉淀池处理后部分回用于磨边工序，剩余废水</w:t>
            </w:r>
            <w:r>
              <w:rPr>
                <w:rFonts w:hint="eastAsia"/>
                <w:bCs/>
                <w:sz w:val="24"/>
                <w:u w:val="single"/>
              </w:rPr>
              <w:t>排入市政管网，通过市政管网排入清丰中州水务有限公司第二污水处理厂进行处理。</w:t>
            </w:r>
          </w:p>
          <w:p w14:paraId="10616F15">
            <w:pPr>
              <w:widowControl/>
              <w:adjustRightInd w:val="0"/>
              <w:snapToGrid w:val="0"/>
              <w:spacing w:line="360" w:lineRule="auto"/>
              <w:ind w:firstLine="480" w:firstLineChars="200"/>
              <w:rPr>
                <w:sz w:val="24"/>
                <w:u w:val="single"/>
              </w:rPr>
            </w:pPr>
            <w:r>
              <w:rPr>
                <w:rFonts w:hint="eastAsia"/>
                <w:sz w:val="24"/>
                <w:u w:val="single"/>
              </w:rPr>
              <w:t>根据建设单位提供的设计资料，磨边机设备自带循环水槽尺寸为</w:t>
            </w:r>
            <w:r>
              <w:rPr>
                <w:sz w:val="24"/>
                <w:u w:val="single"/>
              </w:rPr>
              <w:t>40cm</w:t>
            </w:r>
            <w:r>
              <w:rPr>
                <w:rFonts w:hint="eastAsia" w:ascii="MS Gothic" w:hAnsi="MS Gothic" w:cs="MS Gothic" w:eastAsiaTheme="minorEastAsia"/>
                <w:sz w:val="24"/>
                <w:u w:val="single"/>
              </w:rPr>
              <w:t>×</w:t>
            </w:r>
            <w:r>
              <w:rPr>
                <w:sz w:val="24"/>
                <w:u w:val="single"/>
              </w:rPr>
              <w:t>160</w:t>
            </w:r>
            <w:r>
              <w:rPr>
                <w:rFonts w:hint="eastAsia"/>
                <w:sz w:val="24"/>
                <w:u w:val="single"/>
              </w:rPr>
              <w:t>cm×</w:t>
            </w:r>
            <w:r>
              <w:rPr>
                <w:sz w:val="24"/>
                <w:u w:val="single"/>
              </w:rPr>
              <w:t>38</w:t>
            </w:r>
            <w:r>
              <w:rPr>
                <w:rFonts w:hint="eastAsia"/>
                <w:sz w:val="24"/>
                <w:u w:val="single"/>
              </w:rPr>
              <w:t>cm，有效容积为0.19m</w:t>
            </w:r>
            <w:r>
              <w:rPr>
                <w:rFonts w:hint="eastAsia"/>
                <w:sz w:val="24"/>
                <w:u w:val="single"/>
                <w:vertAlign w:val="superscript"/>
              </w:rPr>
              <w:t>3</w:t>
            </w:r>
            <w:r>
              <w:rPr>
                <w:rFonts w:hint="eastAsia"/>
                <w:sz w:val="24"/>
                <w:u w:val="single"/>
              </w:rPr>
              <w:t>，磨边每天用水消耗量按循环水槽容积的20%计，则磨边工序消耗水量为0.04m</w:t>
            </w:r>
            <w:r>
              <w:rPr>
                <w:rFonts w:hint="eastAsia"/>
                <w:sz w:val="24"/>
                <w:u w:val="single"/>
                <w:vertAlign w:val="superscript"/>
              </w:rPr>
              <w:t>3</w:t>
            </w:r>
            <w:r>
              <w:rPr>
                <w:rFonts w:hint="eastAsia"/>
                <w:sz w:val="24"/>
                <w:u w:val="single"/>
              </w:rPr>
              <w:t>/d；磨边废水每2天更换一次，更换水量为0.1m</w:t>
            </w:r>
            <w:r>
              <w:rPr>
                <w:rFonts w:hint="eastAsia"/>
                <w:sz w:val="24"/>
                <w:u w:val="single"/>
                <w:vertAlign w:val="superscript"/>
              </w:rPr>
              <w:t>3</w:t>
            </w:r>
            <w:r>
              <w:rPr>
                <w:rFonts w:hint="eastAsia"/>
                <w:sz w:val="24"/>
                <w:u w:val="single"/>
              </w:rPr>
              <w:t>/d；则磨边工序补充水量为0.14m</w:t>
            </w:r>
            <w:r>
              <w:rPr>
                <w:rFonts w:hint="eastAsia"/>
                <w:sz w:val="24"/>
                <w:u w:val="single"/>
                <w:vertAlign w:val="superscript"/>
              </w:rPr>
              <w:t>3</w:t>
            </w:r>
            <w:r>
              <w:rPr>
                <w:rFonts w:hint="eastAsia"/>
                <w:sz w:val="24"/>
                <w:u w:val="single"/>
              </w:rPr>
              <w:t>/d。</w:t>
            </w:r>
            <w:r>
              <w:rPr>
                <w:sz w:val="24"/>
                <w:u w:val="single"/>
              </w:rPr>
              <w:t>清洗机自带循环水槽尺寸为100cm</w:t>
            </w:r>
            <w:r>
              <w:rPr>
                <w:rFonts w:hint="eastAsia" w:ascii="MS Gothic" w:hAnsi="MS Gothic" w:cs="MS Gothic" w:eastAsiaTheme="minorEastAsia"/>
                <w:sz w:val="24"/>
                <w:u w:val="single"/>
              </w:rPr>
              <w:t>×</w:t>
            </w:r>
            <w:r>
              <w:rPr>
                <w:sz w:val="24"/>
                <w:u w:val="single"/>
              </w:rPr>
              <w:t>200cm</w:t>
            </w:r>
            <w:r>
              <w:rPr>
                <w:rFonts w:hint="eastAsia" w:ascii="MS Gothic" w:hAnsi="MS Gothic" w:cs="MS Gothic" w:eastAsiaTheme="minorEastAsia"/>
                <w:sz w:val="24"/>
                <w:u w:val="single"/>
              </w:rPr>
              <w:t>×</w:t>
            </w:r>
            <w:r>
              <w:rPr>
                <w:sz w:val="24"/>
                <w:u w:val="single"/>
              </w:rPr>
              <w:t>38cm</w:t>
            </w:r>
            <w:r>
              <w:rPr>
                <w:rFonts w:hint="eastAsia"/>
                <w:sz w:val="24"/>
                <w:u w:val="single"/>
              </w:rPr>
              <w:t>，</w:t>
            </w:r>
            <w:r>
              <w:rPr>
                <w:sz w:val="24"/>
                <w:u w:val="single"/>
              </w:rPr>
              <w:t>有效容积为</w:t>
            </w:r>
            <w:r>
              <w:rPr>
                <w:rFonts w:hint="eastAsia"/>
                <w:sz w:val="24"/>
                <w:u w:val="single"/>
              </w:rPr>
              <w:t>0.61m</w:t>
            </w:r>
            <w:r>
              <w:rPr>
                <w:rFonts w:hint="eastAsia"/>
                <w:sz w:val="24"/>
                <w:u w:val="single"/>
                <w:vertAlign w:val="superscript"/>
              </w:rPr>
              <w:t>3</w:t>
            </w:r>
            <w:r>
              <w:rPr>
                <w:rFonts w:hint="eastAsia"/>
                <w:sz w:val="24"/>
                <w:u w:val="single"/>
              </w:rPr>
              <w:t>，清洗每天用水消耗量按循环水槽容积的20%计，则清洗工序消耗水量为0.12 m</w:t>
            </w:r>
            <w:r>
              <w:rPr>
                <w:rFonts w:hint="eastAsia"/>
                <w:sz w:val="24"/>
                <w:u w:val="single"/>
                <w:vertAlign w:val="superscript"/>
              </w:rPr>
              <w:t>3</w:t>
            </w:r>
            <w:r>
              <w:rPr>
                <w:rFonts w:hint="eastAsia"/>
                <w:sz w:val="24"/>
                <w:u w:val="single"/>
              </w:rPr>
              <w:t>/d；清洗废水每2天更换一次，更换水量为0.3m</w:t>
            </w:r>
            <w:r>
              <w:rPr>
                <w:rFonts w:hint="eastAsia"/>
                <w:sz w:val="24"/>
                <w:u w:val="single"/>
                <w:vertAlign w:val="superscript"/>
              </w:rPr>
              <w:t>3</w:t>
            </w:r>
            <w:r>
              <w:rPr>
                <w:rFonts w:hint="eastAsia"/>
                <w:sz w:val="24"/>
                <w:u w:val="single"/>
              </w:rPr>
              <w:t>/d；清洗工序补充水量为0.42m</w:t>
            </w:r>
            <w:r>
              <w:rPr>
                <w:rFonts w:hint="eastAsia"/>
                <w:sz w:val="24"/>
                <w:u w:val="single"/>
                <w:vertAlign w:val="superscript"/>
              </w:rPr>
              <w:t>3</w:t>
            </w:r>
            <w:r>
              <w:rPr>
                <w:rFonts w:hint="eastAsia"/>
                <w:sz w:val="24"/>
                <w:u w:val="single"/>
              </w:rPr>
              <w:t>/d。</w:t>
            </w:r>
          </w:p>
          <w:p w14:paraId="3D4D53E6">
            <w:pPr>
              <w:widowControl/>
              <w:adjustRightInd w:val="0"/>
              <w:snapToGrid w:val="0"/>
              <w:spacing w:line="360" w:lineRule="auto"/>
              <w:ind w:firstLine="480" w:firstLineChars="200"/>
              <w:rPr>
                <w:sz w:val="24"/>
              </w:rPr>
            </w:pPr>
            <w:r>
              <w:rPr>
                <w:rFonts w:hint="eastAsia"/>
                <w:sz w:val="24"/>
                <w:u w:val="single"/>
              </w:rPr>
              <w:t>综上，磨边、清洗废水产生量合计为0.4m</w:t>
            </w:r>
            <w:r>
              <w:rPr>
                <w:rFonts w:hint="eastAsia"/>
                <w:sz w:val="24"/>
                <w:u w:val="single"/>
                <w:vertAlign w:val="superscript"/>
              </w:rPr>
              <w:t>3</w:t>
            </w:r>
            <w:r>
              <w:rPr>
                <w:rFonts w:hint="eastAsia"/>
                <w:sz w:val="24"/>
                <w:u w:val="single"/>
              </w:rPr>
              <w:t>/d，设备旁配套的一座29.4m</w:t>
            </w:r>
            <w:r>
              <w:rPr>
                <w:rFonts w:hint="eastAsia"/>
                <w:sz w:val="24"/>
                <w:u w:val="single"/>
                <w:vertAlign w:val="superscript"/>
              </w:rPr>
              <w:t>3</w:t>
            </w:r>
            <w:r>
              <w:rPr>
                <w:rFonts w:hint="eastAsia"/>
                <w:sz w:val="24"/>
                <w:u w:val="single"/>
              </w:rPr>
              <w:t>三级沉淀池（1.5m×7m×2.8m），经三级沉淀池处理后部分（0.14m</w:t>
            </w:r>
            <w:r>
              <w:rPr>
                <w:rFonts w:hint="eastAsia"/>
                <w:sz w:val="24"/>
                <w:u w:val="single"/>
                <w:vertAlign w:val="superscript"/>
              </w:rPr>
              <w:t>3</w:t>
            </w:r>
            <w:r>
              <w:rPr>
                <w:rFonts w:hint="eastAsia"/>
                <w:sz w:val="24"/>
                <w:u w:val="single"/>
              </w:rPr>
              <w:t>/d）回用于磨边工序，剩余废水（0.26m</w:t>
            </w:r>
            <w:r>
              <w:rPr>
                <w:rFonts w:hint="eastAsia"/>
                <w:sz w:val="24"/>
                <w:u w:val="single"/>
                <w:vertAlign w:val="superscript"/>
              </w:rPr>
              <w:t>3</w:t>
            </w:r>
            <w:r>
              <w:rPr>
                <w:rFonts w:hint="eastAsia"/>
                <w:sz w:val="24"/>
                <w:u w:val="single"/>
              </w:rPr>
              <w:t>/d）排入市政管网，通过市政管网排入清丰中州水务有限公司第二污水处理厂进行处理。</w:t>
            </w:r>
          </w:p>
          <w:p w14:paraId="0E3DBB92">
            <w:pPr>
              <w:widowControl/>
              <w:adjustRightInd w:val="0"/>
              <w:snapToGrid w:val="0"/>
              <w:spacing w:line="360" w:lineRule="auto"/>
              <w:ind w:firstLine="480" w:firstLineChars="200"/>
              <w:rPr>
                <w:sz w:val="24"/>
                <w:u w:val="single"/>
              </w:rPr>
            </w:pPr>
            <w:r>
              <w:rPr>
                <w:rFonts w:hint="eastAsia"/>
                <w:sz w:val="24"/>
                <w:u w:val="single"/>
              </w:rPr>
              <w:t>（2）纯水制备用水</w:t>
            </w:r>
          </w:p>
          <w:p w14:paraId="26AF29B6">
            <w:pPr>
              <w:widowControl/>
              <w:adjustRightInd w:val="0"/>
              <w:snapToGrid w:val="0"/>
              <w:spacing w:line="360" w:lineRule="auto"/>
              <w:ind w:firstLine="480" w:firstLineChars="200"/>
              <w:rPr>
                <w:sz w:val="24"/>
                <w:u w:val="single"/>
              </w:rPr>
            </w:pPr>
            <w:r>
              <w:rPr>
                <w:rFonts w:hint="eastAsia"/>
                <w:sz w:val="24"/>
                <w:u w:val="single"/>
              </w:rPr>
              <w:t>项目玻璃清洗纯水用量为0.42m</w:t>
            </w:r>
            <w:r>
              <w:rPr>
                <w:rFonts w:hint="eastAsia"/>
                <w:sz w:val="24"/>
                <w:u w:val="single"/>
                <w:vertAlign w:val="superscript"/>
              </w:rPr>
              <w:t>3</w:t>
            </w:r>
            <w:r>
              <w:rPr>
                <w:rFonts w:hint="eastAsia"/>
                <w:sz w:val="24"/>
                <w:u w:val="single"/>
              </w:rPr>
              <w:t>/d，纯水机</w:t>
            </w:r>
            <w:r>
              <w:rPr>
                <w:rFonts w:hint="eastAsia"/>
                <w:bCs/>
                <w:sz w:val="24"/>
                <w:u w:val="single"/>
              </w:rPr>
              <w:t>采用RO反渗透工艺，</w:t>
            </w:r>
            <w:r>
              <w:rPr>
                <w:rFonts w:hint="eastAsia"/>
                <w:bCs/>
                <w:sz w:val="24"/>
                <w:u w:val="single"/>
                <w:lang w:val="en-US" w:eastAsia="zh-CN"/>
              </w:rPr>
              <w:t>纯水制备率设计范围在60%~80%，</w:t>
            </w:r>
            <w:r>
              <w:rPr>
                <w:rFonts w:hint="eastAsia"/>
                <w:sz w:val="24"/>
                <w:u w:val="single"/>
                <w:lang w:val="en-US" w:eastAsia="zh-CN"/>
              </w:rPr>
              <w:t>本次评价</w:t>
            </w:r>
            <w:r>
              <w:rPr>
                <w:rFonts w:hint="eastAsia"/>
                <w:sz w:val="24"/>
                <w:u w:val="single"/>
              </w:rPr>
              <w:t>按</w:t>
            </w:r>
            <w:r>
              <w:rPr>
                <w:rFonts w:hint="eastAsia"/>
                <w:sz w:val="24"/>
                <w:u w:val="single"/>
                <w:lang w:val="en-US" w:eastAsia="zh-CN"/>
              </w:rPr>
              <w:t>7</w:t>
            </w:r>
            <w:r>
              <w:rPr>
                <w:rFonts w:hint="eastAsia"/>
                <w:sz w:val="24"/>
                <w:u w:val="single"/>
              </w:rPr>
              <w:t>0%计，则需新鲜水量为0.</w:t>
            </w:r>
            <w:r>
              <w:rPr>
                <w:rFonts w:hint="eastAsia"/>
                <w:sz w:val="24"/>
                <w:u w:val="single"/>
                <w:lang w:val="en-US" w:eastAsia="zh-CN"/>
              </w:rPr>
              <w:t>6</w:t>
            </w:r>
            <w:r>
              <w:rPr>
                <w:rFonts w:hint="eastAsia"/>
                <w:sz w:val="24"/>
                <w:u w:val="single"/>
              </w:rPr>
              <w:t>m</w:t>
            </w:r>
            <w:r>
              <w:rPr>
                <w:rFonts w:hint="eastAsia"/>
                <w:sz w:val="24"/>
                <w:u w:val="single"/>
                <w:vertAlign w:val="superscript"/>
              </w:rPr>
              <w:t>3</w:t>
            </w:r>
            <w:r>
              <w:rPr>
                <w:rFonts w:hint="eastAsia"/>
                <w:sz w:val="24"/>
                <w:u w:val="single"/>
              </w:rPr>
              <w:t>/d，浓水排放量为0.1</w:t>
            </w:r>
            <w:r>
              <w:rPr>
                <w:rFonts w:hint="eastAsia"/>
                <w:sz w:val="24"/>
                <w:u w:val="single"/>
                <w:lang w:val="en-US" w:eastAsia="zh-CN"/>
              </w:rPr>
              <w:t>8</w:t>
            </w:r>
            <w:r>
              <w:rPr>
                <w:rFonts w:hint="eastAsia"/>
                <w:sz w:val="24"/>
                <w:u w:val="single"/>
              </w:rPr>
              <w:t>m</w:t>
            </w:r>
            <w:r>
              <w:rPr>
                <w:rFonts w:hint="eastAsia"/>
                <w:sz w:val="24"/>
                <w:u w:val="single"/>
                <w:vertAlign w:val="superscript"/>
              </w:rPr>
              <w:t>3</w:t>
            </w:r>
            <w:r>
              <w:rPr>
                <w:rFonts w:hint="eastAsia"/>
                <w:sz w:val="24"/>
                <w:u w:val="single"/>
              </w:rPr>
              <w:t>/d，</w:t>
            </w:r>
            <w:r>
              <w:rPr>
                <w:rFonts w:hint="eastAsia"/>
                <w:bCs/>
                <w:sz w:val="24"/>
                <w:u w:val="single"/>
              </w:rPr>
              <w:t>浓水含盐量较高，污染物浓度较低，可直接排入市政管网，引入清丰中州水务有限公司第二污水处理厂进行处理。</w:t>
            </w:r>
          </w:p>
          <w:p w14:paraId="028E6709">
            <w:pPr>
              <w:widowControl/>
              <w:adjustRightInd w:val="0"/>
              <w:snapToGrid w:val="0"/>
              <w:spacing w:line="360" w:lineRule="auto"/>
              <w:ind w:firstLine="480" w:firstLineChars="200"/>
              <w:rPr>
                <w:sz w:val="24"/>
              </w:rPr>
            </w:pPr>
            <w:r>
              <w:rPr>
                <w:rFonts w:hint="eastAsia"/>
                <w:sz w:val="24"/>
              </w:rPr>
              <w:t>（3）员工生活用水</w:t>
            </w:r>
          </w:p>
          <w:p w14:paraId="438CFB67">
            <w:pPr>
              <w:widowControl/>
              <w:adjustRightInd w:val="0"/>
              <w:snapToGrid w:val="0"/>
              <w:spacing w:line="360" w:lineRule="auto"/>
              <w:ind w:firstLine="480" w:firstLineChars="200"/>
              <w:rPr>
                <w:bCs/>
                <w:sz w:val="24"/>
              </w:rPr>
            </w:pPr>
            <w:r>
              <w:rPr>
                <w:sz w:val="24"/>
              </w:rPr>
              <w:t>项目</w:t>
            </w:r>
            <w:r>
              <w:rPr>
                <w:rFonts w:hint="eastAsia"/>
                <w:bCs/>
                <w:sz w:val="24"/>
              </w:rPr>
              <w:t>劳动定员30人，厂区无食堂和住宿，用水量参照《工业与城镇生活用水定额》（DB41/T385-2020）表48公共管理、社会保障和社会组织用水定额，机关（无食堂）用水定额22m</w:t>
            </w:r>
            <w:r>
              <w:rPr>
                <w:rFonts w:hint="eastAsia"/>
                <w:bCs/>
                <w:sz w:val="24"/>
                <w:vertAlign w:val="superscript"/>
              </w:rPr>
              <w:t>3</w:t>
            </w:r>
            <w:r>
              <w:rPr>
                <w:rFonts w:hint="eastAsia"/>
                <w:bCs/>
                <w:sz w:val="24"/>
              </w:rPr>
              <w:t>/（人•a），则项目生活用水量为2.2m</w:t>
            </w:r>
            <w:r>
              <w:rPr>
                <w:rFonts w:hint="eastAsia"/>
                <w:bCs/>
                <w:sz w:val="24"/>
                <w:vertAlign w:val="superscript"/>
              </w:rPr>
              <w:t>3</w:t>
            </w:r>
            <w:r>
              <w:rPr>
                <w:rFonts w:hint="eastAsia"/>
                <w:bCs/>
                <w:sz w:val="24"/>
              </w:rPr>
              <w:t>/d（660m</w:t>
            </w:r>
            <w:r>
              <w:rPr>
                <w:rFonts w:hint="eastAsia"/>
                <w:bCs/>
                <w:sz w:val="24"/>
                <w:vertAlign w:val="superscript"/>
              </w:rPr>
              <w:t>3</w:t>
            </w:r>
            <w:r>
              <w:rPr>
                <w:rFonts w:hint="eastAsia"/>
                <w:bCs/>
                <w:sz w:val="24"/>
              </w:rPr>
              <w:t>/a），生活污水产污系数按0.8计，则生活污水产生量为1.76m</w:t>
            </w:r>
            <w:r>
              <w:rPr>
                <w:rFonts w:hint="eastAsia"/>
                <w:bCs/>
                <w:sz w:val="24"/>
                <w:vertAlign w:val="superscript"/>
              </w:rPr>
              <w:t>3</w:t>
            </w:r>
            <w:r>
              <w:rPr>
                <w:rFonts w:hint="eastAsia"/>
                <w:bCs/>
                <w:sz w:val="24"/>
              </w:rPr>
              <w:t>/d（528m</w:t>
            </w:r>
            <w:r>
              <w:rPr>
                <w:rFonts w:hint="eastAsia"/>
                <w:bCs/>
                <w:sz w:val="24"/>
                <w:vertAlign w:val="superscript"/>
              </w:rPr>
              <w:t>3</w:t>
            </w:r>
            <w:r>
              <w:rPr>
                <w:rFonts w:hint="eastAsia"/>
                <w:bCs/>
                <w:sz w:val="24"/>
              </w:rPr>
              <w:t>/a）。生活污水经化粪池处理后排入市政管网，通过市政管网排入清丰中州水务有限公司第二污水处理厂进行处理。</w:t>
            </w:r>
          </w:p>
          <w:p w14:paraId="656CCDB4">
            <w:pPr>
              <w:widowControl/>
              <w:adjustRightInd w:val="0"/>
              <w:snapToGrid w:val="0"/>
              <w:spacing w:line="360" w:lineRule="auto"/>
              <w:ind w:firstLine="480" w:firstLineChars="200"/>
              <w:rPr>
                <w:bCs/>
                <w:sz w:val="24"/>
              </w:rPr>
            </w:pPr>
            <w:r>
              <w:rPr>
                <w:rFonts w:hint="eastAsia"/>
                <w:bCs/>
                <w:sz w:val="24"/>
                <w:u w:val="single"/>
              </w:rPr>
              <w:t>综上，项目生活污水经化粪池处理；生产废水（磨边、清洗废水）经循环水槽收集后循环使用，定期更换的生产废水经三级沉淀池（容积29.4m</w:t>
            </w:r>
            <w:r>
              <w:rPr>
                <w:rFonts w:hint="eastAsia"/>
                <w:bCs/>
                <w:sz w:val="24"/>
                <w:u w:val="single"/>
                <w:vertAlign w:val="superscript"/>
              </w:rPr>
              <w:t>3</w:t>
            </w:r>
            <w:r>
              <w:rPr>
                <w:rFonts w:hint="eastAsia"/>
                <w:bCs/>
                <w:sz w:val="24"/>
                <w:u w:val="single"/>
              </w:rPr>
              <w:t>）处理后部分回用于磨边工序，剩余废水定期外排；处理后的生产废水和生活污水与纯水制备浓水一起排入市政管网，通过市政管网排入清丰中州水务有限公司第二污水处理厂进一步处理。本项目水平衡如下：</w:t>
            </w:r>
          </w:p>
          <w:p w14:paraId="18FA3501">
            <w:pPr>
              <w:widowControl/>
              <w:adjustRightInd w:val="0"/>
              <w:snapToGrid w:val="0"/>
              <w:spacing w:line="360" w:lineRule="auto"/>
              <w:jc w:val="center"/>
              <w:rPr>
                <w:b/>
                <w:sz w:val="24"/>
                <w:szCs w:val="21"/>
              </w:rPr>
            </w:pPr>
            <w:r>
              <w:rPr>
                <w:b/>
                <w:sz w:val="24"/>
                <w:szCs w:val="21"/>
              </w:rPr>
              <w:object>
                <v:shape id="_x0000_i1025" o:spt="75" type="#_x0000_t75" style="height:218pt;width:340.35pt;" o:ole="t" filled="f" o:preferrelative="t" stroked="f" coordsize="21600,21600">
                  <v:path/>
                  <v:fill on="f" focussize="0,0"/>
                  <v:stroke on="f"/>
                  <v:imagedata r:id="rId14" o:title=""/>
                  <o:lock v:ext="edit" aspectratio="f"/>
                  <w10:wrap type="none"/>
                  <w10:anchorlock/>
                </v:shape>
                <o:OLEObject Type="Embed" ProgID="Visio.Drawing.15" ShapeID="_x0000_i1025" DrawAspect="Content" ObjectID="_1468075725" r:id="rId13">
                  <o:LockedField>false</o:LockedField>
                </o:OLEObject>
              </w:object>
            </w:r>
          </w:p>
          <w:p w14:paraId="7089A1AF">
            <w:pPr>
              <w:pStyle w:val="137"/>
              <w:widowControl/>
              <w:numPr>
                <w:ilvl w:val="0"/>
                <w:numId w:val="5"/>
              </w:numPr>
              <w:adjustRightInd w:val="0"/>
              <w:snapToGrid w:val="0"/>
              <w:spacing w:line="360" w:lineRule="auto"/>
              <w:ind w:firstLineChars="0"/>
              <w:jc w:val="center"/>
              <w:rPr>
                <w:b/>
                <w:szCs w:val="21"/>
                <w:u w:val="single"/>
              </w:rPr>
            </w:pPr>
            <w:r>
              <w:rPr>
                <w:rFonts w:hint="eastAsia"/>
                <w:b/>
                <w:szCs w:val="21"/>
                <w:u w:val="single"/>
              </w:rPr>
              <w:t>本项目水平衡图</w:t>
            </w:r>
            <w:r>
              <w:rPr>
                <w:rFonts w:hint="eastAsia"/>
                <w:u w:val="single"/>
              </w:rPr>
              <w:t xml:space="preserve">  </w:t>
            </w:r>
            <w:r>
              <w:rPr>
                <w:rFonts w:hint="eastAsia"/>
                <w:b/>
                <w:szCs w:val="21"/>
                <w:u w:val="single"/>
              </w:rPr>
              <w:t>单位：m</w:t>
            </w:r>
            <w:r>
              <w:rPr>
                <w:rFonts w:hint="eastAsia"/>
                <w:b/>
                <w:szCs w:val="21"/>
                <w:u w:val="single"/>
                <w:vertAlign w:val="superscript"/>
              </w:rPr>
              <w:t>3</w:t>
            </w:r>
            <w:r>
              <w:rPr>
                <w:rFonts w:hint="eastAsia"/>
                <w:b/>
                <w:szCs w:val="21"/>
                <w:u w:val="single"/>
              </w:rPr>
              <w:t>/d</w:t>
            </w:r>
          </w:p>
          <w:p w14:paraId="562C4CB0">
            <w:pPr>
              <w:widowControl/>
              <w:adjustRightInd w:val="0"/>
              <w:snapToGrid w:val="0"/>
              <w:spacing w:line="360" w:lineRule="auto"/>
              <w:ind w:firstLine="482" w:firstLineChars="200"/>
              <w:rPr>
                <w:b/>
                <w:sz w:val="24"/>
              </w:rPr>
            </w:pPr>
            <w:r>
              <w:rPr>
                <w:rFonts w:hint="eastAsia"/>
                <w:b/>
                <w:sz w:val="24"/>
              </w:rPr>
              <w:t>8.2</w:t>
            </w:r>
            <w:r>
              <w:rPr>
                <w:b/>
                <w:sz w:val="24"/>
              </w:rPr>
              <w:t>供电</w:t>
            </w:r>
          </w:p>
          <w:p w14:paraId="5E9C2756">
            <w:pPr>
              <w:spacing w:line="360" w:lineRule="auto"/>
              <w:ind w:firstLine="480" w:firstLineChars="200"/>
              <w:rPr>
                <w:sz w:val="24"/>
              </w:rPr>
            </w:pPr>
            <w:r>
              <w:rPr>
                <w:rFonts w:hint="eastAsia"/>
                <w:sz w:val="24"/>
              </w:rPr>
              <w:t>本项目用电由清丰先进制造业开发区统一供给，可满足项目生产与生活需求</w:t>
            </w:r>
            <w:r>
              <w:rPr>
                <w:sz w:val="24"/>
              </w:rPr>
              <w:t>。</w:t>
            </w:r>
          </w:p>
          <w:p w14:paraId="3C71A1E5">
            <w:pPr>
              <w:spacing w:line="360" w:lineRule="auto"/>
              <w:ind w:firstLine="482" w:firstLineChars="200"/>
              <w:rPr>
                <w:b/>
                <w:sz w:val="24"/>
              </w:rPr>
            </w:pPr>
            <w:r>
              <w:rPr>
                <w:rFonts w:hint="eastAsia"/>
                <w:b/>
                <w:sz w:val="24"/>
              </w:rPr>
              <w:t>8.3供热</w:t>
            </w:r>
          </w:p>
          <w:p w14:paraId="2D1C6D12">
            <w:pPr>
              <w:spacing w:line="360" w:lineRule="auto"/>
              <w:ind w:firstLine="480" w:firstLineChars="200"/>
              <w:rPr>
                <w:sz w:val="24"/>
              </w:rPr>
            </w:pPr>
            <w:r>
              <w:rPr>
                <w:rFonts w:hint="eastAsia"/>
                <w:sz w:val="24"/>
              </w:rPr>
              <w:t>本</w:t>
            </w:r>
            <w:r>
              <w:rPr>
                <w:sz w:val="24"/>
              </w:rPr>
              <w:t>项目厂区不设锅炉及其他集中供暖设施。办公区取暖采用分体式空调。</w:t>
            </w:r>
          </w:p>
          <w:p w14:paraId="1560A2F7">
            <w:pPr>
              <w:pStyle w:val="74"/>
              <w:spacing w:before="0" w:beforeAutospacing="0" w:after="0" w:afterAutospacing="0" w:line="360" w:lineRule="auto"/>
              <w:ind w:firstLine="482" w:firstLineChars="200"/>
              <w:jc w:val="both"/>
              <w:rPr>
                <w:rFonts w:hint="default" w:ascii="Times New Roman" w:hAnsi="Times New Roman"/>
                <w:bCs/>
                <w:sz w:val="24"/>
                <w:szCs w:val="24"/>
              </w:rPr>
            </w:pPr>
            <w:r>
              <w:rPr>
                <w:rFonts w:ascii="Times New Roman" w:hAnsi="Times New Roman"/>
                <w:bCs/>
                <w:sz w:val="24"/>
                <w:szCs w:val="24"/>
              </w:rPr>
              <w:t>9</w:t>
            </w:r>
            <w:r>
              <w:rPr>
                <w:rFonts w:hint="default" w:ascii="Times New Roman" w:hAnsi="Times New Roman"/>
                <w:bCs/>
                <w:sz w:val="24"/>
                <w:szCs w:val="24"/>
              </w:rPr>
              <w:t>、</w:t>
            </w:r>
            <w:r>
              <w:rPr>
                <w:rFonts w:ascii="Times New Roman" w:hAnsi="Times New Roman"/>
                <w:bCs/>
                <w:sz w:val="24"/>
                <w:szCs w:val="24"/>
              </w:rPr>
              <w:t>总平面布置</w:t>
            </w:r>
          </w:p>
          <w:p w14:paraId="78695F9F">
            <w:pPr>
              <w:widowControl/>
              <w:adjustRightInd w:val="0"/>
              <w:snapToGrid w:val="0"/>
              <w:spacing w:line="360" w:lineRule="auto"/>
              <w:ind w:firstLine="480" w:firstLineChars="200"/>
              <w:rPr>
                <w:bCs/>
                <w:sz w:val="24"/>
              </w:rPr>
            </w:pPr>
            <w:r>
              <w:rPr>
                <w:rFonts w:hint="eastAsia"/>
                <w:bCs/>
                <w:sz w:val="24"/>
              </w:rPr>
              <w:t>本</w:t>
            </w:r>
            <w:r>
              <w:rPr>
                <w:bCs/>
                <w:sz w:val="24"/>
              </w:rPr>
              <w:t>项目</w:t>
            </w:r>
            <w:r>
              <w:rPr>
                <w:rFonts w:hint="eastAsia"/>
                <w:bCs/>
                <w:sz w:val="24"/>
              </w:rPr>
              <w:t>租用清丰叶茂家具有限公司一座单层厂房作为本项目生产车间，该厂房呈南北走向长方形布置，原料、生产线、成品全部位于生产厂房内，玻璃原片位于车间东部，成品区位于车间南部，钢化玻璃生产区位于车间西部，中空玻璃生产区位于车间中部，玻璃切割磨边清洗区位于车间东北部，车间内各生产区根据生产工艺流程布置，方便流水式操作，布局紧凑连贯，保证了生产连续进行。本项目车间</w:t>
            </w:r>
            <w:r>
              <w:rPr>
                <w:bCs/>
                <w:sz w:val="24"/>
              </w:rPr>
              <w:t>布局功能分区明确，符合工艺过程、转运顺序和安全生产的需要，总平面布置合理。</w:t>
            </w:r>
          </w:p>
          <w:p w14:paraId="0A49024C">
            <w:pPr>
              <w:pStyle w:val="74"/>
              <w:spacing w:before="0" w:beforeAutospacing="0" w:after="0" w:afterAutospacing="0" w:line="360" w:lineRule="auto"/>
              <w:ind w:firstLine="480" w:firstLineChars="200"/>
              <w:jc w:val="both"/>
              <w:rPr>
                <w:rFonts w:hint="default"/>
              </w:rPr>
            </w:pPr>
            <w:r>
              <w:rPr>
                <w:rFonts w:ascii="Times New Roman" w:hAnsi="Times New Roman"/>
                <w:b w:val="0"/>
                <w:bCs/>
                <w:sz w:val="24"/>
                <w:szCs w:val="24"/>
              </w:rPr>
              <w:t>本项目总平面布置详见附图4。</w:t>
            </w:r>
          </w:p>
        </w:tc>
      </w:tr>
    </w:tbl>
    <w:p w14:paraId="4E7F0C24">
      <w:pPr>
        <w:pStyle w:val="33"/>
        <w:sectPr>
          <w:pgSz w:w="11906" w:h="16838"/>
          <w:pgMar w:top="1701" w:right="1531" w:bottom="1701" w:left="1531" w:header="851" w:footer="1134" w:gutter="0"/>
          <w:cols w:space="720" w:num="1"/>
          <w:docGrid w:linePitch="312" w:charSpace="0"/>
        </w:sectPr>
      </w:pP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9"/>
        <w:gridCol w:w="8205"/>
      </w:tblGrid>
      <w:tr w14:paraId="5F6C1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8" w:hRule="atLeast"/>
          <w:jc w:val="center"/>
        </w:trPr>
        <w:tc>
          <w:tcPr>
            <w:tcW w:w="779" w:type="dxa"/>
            <w:vAlign w:val="center"/>
          </w:tcPr>
          <w:p w14:paraId="26D229D1">
            <w:pPr>
              <w:pStyle w:val="33"/>
            </w:pPr>
            <w:bookmarkStart w:id="3" w:name="_Toc157673386"/>
            <w:r>
              <w:rPr>
                <w:rFonts w:hint="eastAsia"/>
              </w:rPr>
              <w:t>工艺流程和产排污环节</w:t>
            </w:r>
            <w:bookmarkEnd w:id="3"/>
          </w:p>
        </w:tc>
        <w:tc>
          <w:tcPr>
            <w:tcW w:w="8205" w:type="dxa"/>
          </w:tcPr>
          <w:p w14:paraId="20FE907D">
            <w:pPr>
              <w:spacing w:line="360" w:lineRule="auto"/>
              <w:ind w:firstLine="482" w:firstLineChars="200"/>
              <w:rPr>
                <w:b/>
                <w:sz w:val="24"/>
              </w:rPr>
            </w:pPr>
            <w:r>
              <w:rPr>
                <w:rFonts w:hint="eastAsia"/>
                <w:b/>
                <w:sz w:val="24"/>
              </w:rPr>
              <w:t>1、施工期工艺流程及产污分析</w:t>
            </w:r>
          </w:p>
          <w:p w14:paraId="3EA9382C">
            <w:pPr>
              <w:adjustRightInd w:val="0"/>
              <w:snapToGrid w:val="0"/>
              <w:spacing w:line="360" w:lineRule="auto"/>
              <w:ind w:firstLine="480" w:firstLineChars="200"/>
              <w:rPr>
                <w:sz w:val="24"/>
              </w:rPr>
            </w:pPr>
            <w:r>
              <w:rPr>
                <w:rFonts w:hint="eastAsia"/>
                <w:sz w:val="24"/>
              </w:rPr>
              <w:t>本项目为</w:t>
            </w:r>
            <w:r>
              <w:rPr>
                <w:rFonts w:hint="eastAsia"/>
                <w:sz w:val="24"/>
                <w:lang w:eastAsia="zh-CN"/>
              </w:rPr>
              <w:t>因厂址变化导致重大变动后重新报批项目</w:t>
            </w:r>
            <w:r>
              <w:rPr>
                <w:rFonts w:hint="eastAsia"/>
                <w:sz w:val="24"/>
              </w:rPr>
              <w:t>，</w:t>
            </w:r>
            <w:r>
              <w:rPr>
                <w:rFonts w:hint="eastAsia"/>
                <w:sz w:val="24"/>
                <w:lang w:val="en-US" w:eastAsia="zh-CN"/>
              </w:rPr>
              <w:t>本</w:t>
            </w:r>
            <w:r>
              <w:rPr>
                <w:rFonts w:hint="eastAsia"/>
                <w:sz w:val="24"/>
              </w:rPr>
              <w:t>项目</w:t>
            </w:r>
            <w:r>
              <w:rPr>
                <w:rFonts w:hint="eastAsia"/>
                <w:bCs/>
                <w:sz w:val="24"/>
              </w:rPr>
              <w:t>租用1座单层厂房作为本项目生产车间</w:t>
            </w:r>
            <w:r>
              <w:rPr>
                <w:rFonts w:hint="eastAsia"/>
                <w:sz w:val="24"/>
              </w:rPr>
              <w:t>，施工期主要为生产设备的安装、调试。施工量较少，施工期较短，因此，本次评价不再对施工期工艺流程及产污环节进行分析。</w:t>
            </w:r>
          </w:p>
          <w:p w14:paraId="4FD5B912">
            <w:pPr>
              <w:spacing w:line="360" w:lineRule="auto"/>
              <w:ind w:firstLine="482" w:firstLineChars="200"/>
              <w:rPr>
                <w:b/>
                <w:sz w:val="24"/>
              </w:rPr>
            </w:pPr>
            <w:r>
              <w:rPr>
                <w:rFonts w:hint="eastAsia"/>
                <w:b/>
                <w:sz w:val="24"/>
              </w:rPr>
              <w:t>2、营运期生产工艺流程及产污环节</w:t>
            </w:r>
          </w:p>
          <w:p w14:paraId="79761178">
            <w:pPr>
              <w:adjustRightInd w:val="0"/>
              <w:snapToGrid w:val="0"/>
              <w:spacing w:line="360" w:lineRule="auto"/>
              <w:ind w:firstLine="480" w:firstLineChars="200"/>
              <w:rPr>
                <w:sz w:val="24"/>
              </w:rPr>
            </w:pPr>
            <w:r>
              <w:rPr>
                <w:rFonts w:hint="eastAsia"/>
                <w:sz w:val="24"/>
              </w:rPr>
              <w:t>本项目重新选址后产品及生产工艺均不变，项目产品为钢化玻璃和中空玻璃。具体生产工艺流程如下：</w:t>
            </w:r>
          </w:p>
          <w:p w14:paraId="5657CDF4">
            <w:pPr>
              <w:adjustRightInd w:val="0"/>
              <w:snapToGrid w:val="0"/>
              <w:spacing w:line="360" w:lineRule="auto"/>
              <w:ind w:firstLine="482" w:firstLineChars="200"/>
              <w:rPr>
                <w:b/>
                <w:sz w:val="24"/>
              </w:rPr>
            </w:pPr>
            <w:r>
              <w:rPr>
                <w:rFonts w:hint="eastAsia"/>
                <w:b/>
                <w:sz w:val="24"/>
              </w:rPr>
              <w:t>（1）钢化玻璃生产工艺</w:t>
            </w:r>
          </w:p>
          <w:p w14:paraId="256F1536">
            <w:pPr>
              <w:adjustRightInd w:val="0"/>
              <w:snapToGrid w:val="0"/>
              <w:spacing w:line="360" w:lineRule="auto"/>
              <w:ind w:firstLine="480" w:firstLineChars="200"/>
              <w:rPr>
                <w:sz w:val="24"/>
              </w:rPr>
            </w:pPr>
            <w:r>
              <w:rPr>
                <w:rFonts w:hint="eastAsia"/>
                <w:sz w:val="24"/>
              </w:rPr>
              <w:t>钢化玻璃生产工艺流程及产污环节分析示意图见下图。</w:t>
            </w:r>
          </w:p>
          <w:p w14:paraId="372D86ED">
            <w:pPr>
              <w:adjustRightInd w:val="0"/>
              <w:snapToGrid w:val="0"/>
              <w:spacing w:line="360" w:lineRule="auto"/>
              <w:jc w:val="center"/>
              <w:rPr>
                <w:sz w:val="24"/>
              </w:rPr>
            </w:pPr>
            <w:r>
              <w:rPr>
                <w:sz w:val="24"/>
              </w:rPr>
              <mc:AlternateContent>
                <mc:Choice Requires="wpc">
                  <w:drawing>
                    <wp:inline distT="0" distB="0" distL="0" distR="0">
                      <wp:extent cx="4953635" cy="1502410"/>
                      <wp:effectExtent l="0" t="0" r="0" b="0"/>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矩形 2"/>
                              <wps:cNvSpPr/>
                              <wps:spPr>
                                <a:xfrm>
                                  <a:off x="0" y="636102"/>
                                  <a:ext cx="739471" cy="254441"/>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F492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玻璃原片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矩形 4"/>
                              <wps:cNvSpPr/>
                              <wps:spPr>
                                <a:xfrm>
                                  <a:off x="1062595" y="636543"/>
                                  <a:ext cx="511764" cy="2540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FD68F">
                                    <w:pPr>
                                      <w:pStyle w:val="33"/>
                                      <w:rPr>
                                        <w:b w:val="0"/>
                                      </w:rPr>
                                    </w:pPr>
                                    <w:r>
                                      <w:rPr>
                                        <w:rFonts w:hint="eastAsia" w:ascii="Times New Roman"/>
                                        <w:b w:val="0"/>
                                        <w:color w:val="000000"/>
                                        <w:kern w:val="2"/>
                                        <w:sz w:val="21"/>
                                        <w:szCs w:val="21"/>
                                      </w:rPr>
                                      <w:t>切割</w:t>
                                    </w:r>
                                  </w:p>
                                </w:txbxContent>
                              </wps:txbx>
                              <wps:bodyPr rot="0" spcFirstLastPara="0" vert="horz" wrap="square" lIns="91440" tIns="45720" rIns="91440" bIns="45720" numCol="1" spcCol="0" rtlCol="0" fromWordArt="0" anchor="ctr" anchorCtr="0" forceAA="0" compatLnSpc="1">
                                <a:noAutofit/>
                              </wps:bodyPr>
                            </wps:wsp>
                            <wps:wsp>
                              <wps:cNvPr id="3" name="直接箭头连接符 3"/>
                              <wps:cNvCnPr>
                                <a:stCxn id="2" idx="3"/>
                                <a:endCxn id="4" idx="1"/>
                              </wps:cNvCnPr>
                              <wps:spPr>
                                <a:xfrm>
                                  <a:off x="739471" y="763323"/>
                                  <a:ext cx="323124" cy="2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矩形 6"/>
                              <wps:cNvSpPr/>
                              <wps:spPr>
                                <a:xfrm>
                                  <a:off x="1896939" y="636543"/>
                                  <a:ext cx="511175" cy="2540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E7DDD">
                                    <w:pPr>
                                      <w:pStyle w:val="33"/>
                                      <w:rPr>
                                        <w:b w:val="0"/>
                                      </w:rPr>
                                    </w:pPr>
                                    <w:r>
                                      <w:rPr>
                                        <w:rFonts w:hint="eastAsia" w:ascii="Times New Roman"/>
                                        <w:b w:val="0"/>
                                        <w:color w:val="000000"/>
                                        <w:kern w:val="2"/>
                                        <w:sz w:val="21"/>
                                        <w:szCs w:val="21"/>
                                      </w:rPr>
                                      <w:t>磨边</w:t>
                                    </w:r>
                                  </w:p>
                                </w:txbxContent>
                              </wps:txbx>
                              <wps:bodyPr rot="0" spcFirstLastPara="0" vert="horz" wrap="square" lIns="91440" tIns="45720" rIns="91440" bIns="45720" numCol="1" spcCol="0" rtlCol="0" fromWordArt="0" anchor="ctr" anchorCtr="0" forceAA="0" compatLnSpc="1">
                                <a:noAutofit/>
                              </wps:bodyPr>
                            </wps:wsp>
                            <wps:wsp>
                              <wps:cNvPr id="7" name="矩形 7"/>
                              <wps:cNvSpPr/>
                              <wps:spPr>
                                <a:xfrm>
                                  <a:off x="2730694" y="641173"/>
                                  <a:ext cx="511175" cy="2540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26CFD">
                                    <w:pPr>
                                      <w:pStyle w:val="33"/>
                                      <w:rPr>
                                        <w:b w:val="0"/>
                                      </w:rPr>
                                    </w:pPr>
                                    <w:r>
                                      <w:rPr>
                                        <w:rFonts w:hint="eastAsia" w:ascii="Times New Roman"/>
                                        <w:b w:val="0"/>
                                        <w:color w:val="000000"/>
                                        <w:kern w:val="2"/>
                                        <w:sz w:val="21"/>
                                        <w:szCs w:val="21"/>
                                      </w:rPr>
                                      <w:t>清洗</w:t>
                                    </w:r>
                                  </w:p>
                                </w:txbxContent>
                              </wps:txbx>
                              <wps:bodyPr rot="0" spcFirstLastPara="0" vert="horz" wrap="square" lIns="91440" tIns="45720" rIns="91440" bIns="45720" numCol="1" spcCol="0" rtlCol="0" fromWordArt="0" anchor="ctr" anchorCtr="0" forceAA="0" compatLnSpc="1">
                                <a:noAutofit/>
                              </wps:bodyPr>
                            </wps:wsp>
                            <wps:wsp>
                              <wps:cNvPr id="8" name="直接箭头连接符 8"/>
                              <wps:cNvCnPr/>
                              <wps:spPr>
                                <a:xfrm>
                                  <a:off x="1574359" y="760029"/>
                                  <a:ext cx="32258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直接箭头连接符 9"/>
                              <wps:cNvCnPr/>
                              <wps:spPr>
                                <a:xfrm>
                                  <a:off x="2408114" y="763543"/>
                                  <a:ext cx="32258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矩形 10"/>
                              <wps:cNvSpPr/>
                              <wps:spPr>
                                <a:xfrm>
                                  <a:off x="3559303" y="636102"/>
                                  <a:ext cx="511175" cy="2540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16F61">
                                    <w:pPr>
                                      <w:pStyle w:val="33"/>
                                      <w:rPr>
                                        <w:b w:val="0"/>
                                      </w:rPr>
                                    </w:pPr>
                                    <w:r>
                                      <w:rPr>
                                        <w:rFonts w:hint="eastAsia" w:ascii="Times New Roman"/>
                                        <w:b w:val="0"/>
                                        <w:color w:val="000000"/>
                                        <w:kern w:val="2"/>
                                        <w:sz w:val="21"/>
                                        <w:szCs w:val="21"/>
                                      </w:rPr>
                                      <w:t>钢化</w:t>
                                    </w:r>
                                  </w:p>
                                </w:txbxContent>
                              </wps:txbx>
                              <wps:bodyPr rot="0" spcFirstLastPara="0" vert="horz" wrap="square" lIns="91440" tIns="45720" rIns="91440" bIns="45720" numCol="1" spcCol="0" rtlCol="0" fromWordArt="0" anchor="ctr" anchorCtr="0" forceAA="0" compatLnSpc="1">
                                <a:noAutofit/>
                              </wps:bodyPr>
                            </wps:wsp>
                            <wps:wsp>
                              <wps:cNvPr id="11" name="矩形 11"/>
                              <wps:cNvSpPr/>
                              <wps:spPr>
                                <a:xfrm>
                                  <a:off x="4378285" y="640731"/>
                                  <a:ext cx="511175" cy="254000"/>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78028">
                                    <w:pPr>
                                      <w:pStyle w:val="33"/>
                                      <w:rPr>
                                        <w:b w:val="0"/>
                                      </w:rPr>
                                    </w:pPr>
                                    <w:r>
                                      <w:rPr>
                                        <w:rFonts w:hint="eastAsia" w:ascii="Times New Roman"/>
                                        <w:b w:val="0"/>
                                        <w:color w:val="000000"/>
                                        <w:kern w:val="2"/>
                                        <w:sz w:val="21"/>
                                        <w:szCs w:val="21"/>
                                      </w:rPr>
                                      <w:t>成品</w:t>
                                    </w:r>
                                  </w:p>
                                </w:txbxContent>
                              </wps:txbx>
                              <wps:bodyPr rot="0" spcFirstLastPara="0" vert="horz" wrap="square" lIns="91440" tIns="45720" rIns="91440" bIns="45720" numCol="1" spcCol="0" rtlCol="0" fromWordArt="0" anchor="ctr" anchorCtr="0" forceAA="0" compatLnSpc="1">
                                <a:noAutofit/>
                              </wps:bodyPr>
                            </wps:wsp>
                            <wps:wsp>
                              <wps:cNvPr id="12" name="直接箭头连接符 12"/>
                              <wps:cNvCnPr/>
                              <wps:spPr>
                                <a:xfrm>
                                  <a:off x="3241869" y="763543"/>
                                  <a:ext cx="32258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直接箭头连接符 13"/>
                              <wps:cNvCnPr/>
                              <wps:spPr>
                                <a:xfrm>
                                  <a:off x="4070475" y="763547"/>
                                  <a:ext cx="3219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直接箭头连接符 14"/>
                              <wps:cNvCnPr/>
                              <wps:spPr>
                                <a:xfrm flipV="1">
                                  <a:off x="1311959" y="359063"/>
                                  <a:ext cx="0" cy="276942"/>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 name="直接箭头连接符 15"/>
                              <wps:cNvCnPr/>
                              <wps:spPr>
                                <a:xfrm flipV="1">
                                  <a:off x="2167771" y="359075"/>
                                  <a:ext cx="0" cy="27686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6" name="直接箭头连接符 16"/>
                              <wps:cNvCnPr/>
                              <wps:spPr>
                                <a:xfrm>
                                  <a:off x="1311956" y="890062"/>
                                  <a:ext cx="2947" cy="294682"/>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7" name="矩形 17"/>
                              <wps:cNvSpPr/>
                              <wps:spPr>
                                <a:xfrm>
                                  <a:off x="1022834" y="125549"/>
                                  <a:ext cx="595678" cy="254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5A52F">
                                    <w:pPr>
                                      <w:pStyle w:val="33"/>
                                      <w:rPr>
                                        <w:b w:val="0"/>
                                      </w:rPr>
                                    </w:pPr>
                                    <w:r>
                                      <w:rPr>
                                        <w:rFonts w:hint="eastAsia" w:ascii="Times New Roman"/>
                                        <w:b w:val="0"/>
                                        <w:color w:val="000000"/>
                                        <w:kern w:val="2"/>
                                        <w:sz w:val="21"/>
                                        <w:szCs w:val="21"/>
                                      </w:rPr>
                                      <w:t>噪声</w:t>
                                    </w:r>
                                  </w:p>
                                </w:txbxContent>
                              </wps:txbx>
                              <wps:bodyPr rot="0" spcFirstLastPara="0" vert="horz" wrap="square" lIns="91440" tIns="45720" rIns="91440" bIns="45720" numCol="1" spcCol="0" rtlCol="0" fromWordArt="0" anchor="ctr" anchorCtr="0" forceAA="0" compatLnSpc="1">
                                <a:noAutofit/>
                              </wps:bodyPr>
                            </wps:wsp>
                            <wps:wsp>
                              <wps:cNvPr id="18" name="矩形 18"/>
                              <wps:cNvSpPr/>
                              <wps:spPr>
                                <a:xfrm>
                                  <a:off x="1896929" y="130147"/>
                                  <a:ext cx="595630" cy="25336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6F840">
                                    <w:pPr>
                                      <w:pStyle w:val="33"/>
                                      <w:rPr>
                                        <w:b w:val="0"/>
                                      </w:rPr>
                                    </w:pPr>
                                    <w:r>
                                      <w:rPr>
                                        <w:rFonts w:hint="eastAsia" w:ascii="Times New Roman"/>
                                        <w:b w:val="0"/>
                                        <w:color w:val="000000"/>
                                        <w:kern w:val="2"/>
                                        <w:sz w:val="21"/>
                                        <w:szCs w:val="21"/>
                                      </w:rPr>
                                      <w:t>噪声</w:t>
                                    </w:r>
                                  </w:p>
                                </w:txbxContent>
                              </wps:txbx>
                              <wps:bodyPr rot="0" spcFirstLastPara="0" vert="horz" wrap="square" lIns="91440" tIns="45720" rIns="91440" bIns="45720" numCol="1" spcCol="0" rtlCol="0" fromWordArt="0" anchor="ctr" anchorCtr="0" forceAA="0" compatLnSpc="1">
                                <a:noAutofit/>
                              </wps:bodyPr>
                            </wps:wsp>
                            <wps:wsp>
                              <wps:cNvPr id="19" name="矩形 19"/>
                              <wps:cNvSpPr/>
                              <wps:spPr>
                                <a:xfrm>
                                  <a:off x="1022829" y="1184671"/>
                                  <a:ext cx="595630" cy="25336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3D965">
                                    <w:pPr>
                                      <w:pStyle w:val="33"/>
                                      <w:rPr>
                                        <w:b w:val="0"/>
                                      </w:rPr>
                                    </w:pPr>
                                    <w:r>
                                      <w:rPr>
                                        <w:rFonts w:hint="eastAsia" w:ascii="Times New Roman"/>
                                        <w:b w:val="0"/>
                                        <w:color w:val="000000"/>
                                        <w:kern w:val="2"/>
                                        <w:sz w:val="21"/>
                                        <w:szCs w:val="21"/>
                                      </w:rPr>
                                      <w:t>固废</w:t>
                                    </w:r>
                                  </w:p>
                                </w:txbxContent>
                              </wps:txbx>
                              <wps:bodyPr rot="0" spcFirstLastPara="0" vert="horz" wrap="square" lIns="91440" tIns="45720" rIns="91440" bIns="45720" numCol="1" spcCol="0" rtlCol="0" fromWordArt="0" anchor="ctr" anchorCtr="0" forceAA="0" compatLnSpc="1">
                                <a:noAutofit/>
                              </wps:bodyPr>
                            </wps:wsp>
                            <wps:wsp>
                              <wps:cNvPr id="21" name="矩形 21"/>
                              <wps:cNvSpPr/>
                              <wps:spPr>
                                <a:xfrm>
                                  <a:off x="1762348" y="1188252"/>
                                  <a:ext cx="821826" cy="25273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457C5">
                                    <w:pPr>
                                      <w:pStyle w:val="33"/>
                                      <w:rPr>
                                        <w:b w:val="0"/>
                                      </w:rPr>
                                    </w:pPr>
                                    <w:r>
                                      <w:rPr>
                                        <w:rFonts w:hint="eastAsia" w:ascii="Times New Roman"/>
                                        <w:b w:val="0"/>
                                        <w:color w:val="000000"/>
                                        <w:kern w:val="2"/>
                                        <w:sz w:val="21"/>
                                        <w:szCs w:val="21"/>
                                      </w:rPr>
                                      <w:t>废水、固废</w:t>
                                    </w:r>
                                  </w:p>
                                </w:txbxContent>
                              </wps:txbx>
                              <wps:bodyPr rot="0" spcFirstLastPara="0" vert="horz" wrap="square" lIns="91440" tIns="45720" rIns="91440" bIns="45720" numCol="1" spcCol="0" rtlCol="0" fromWordArt="0" anchor="ctr" anchorCtr="0" forceAA="0" compatLnSpc="1">
                                <a:noAutofit/>
                              </wps:bodyPr>
                            </wps:wsp>
                            <wps:wsp>
                              <wps:cNvPr id="22" name="直接箭头连接符 22"/>
                              <wps:cNvCnPr/>
                              <wps:spPr>
                                <a:xfrm>
                                  <a:off x="2167760" y="889977"/>
                                  <a:ext cx="2540" cy="29464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 name="直接箭头连接符 23"/>
                              <wps:cNvCnPr/>
                              <wps:spPr>
                                <a:xfrm>
                                  <a:off x="3010664" y="895120"/>
                                  <a:ext cx="2540" cy="29464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 name="矩形 24"/>
                              <wps:cNvSpPr/>
                              <wps:spPr>
                                <a:xfrm>
                                  <a:off x="2613102" y="1189687"/>
                                  <a:ext cx="821690" cy="2520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31694">
                                    <w:pPr>
                                      <w:pStyle w:val="33"/>
                                      <w:rPr>
                                        <w:b w:val="0"/>
                                      </w:rPr>
                                    </w:pPr>
                                    <w:r>
                                      <w:rPr>
                                        <w:rFonts w:hint="eastAsia" w:ascii="Times New Roman"/>
                                        <w:b w:val="0"/>
                                        <w:color w:val="000000"/>
                                        <w:kern w:val="2"/>
                                        <w:sz w:val="21"/>
                                        <w:szCs w:val="21"/>
                                      </w:rPr>
                                      <w:t>废水、固废</w:t>
                                    </w:r>
                                  </w:p>
                                </w:txbxContent>
                              </wps:txbx>
                              <wps:bodyPr rot="0" spcFirstLastPara="0" vert="horz" wrap="square" lIns="91440" tIns="45720" rIns="91440" bIns="45720" numCol="1" spcCol="0" rtlCol="0" fromWordArt="0" anchor="ctr" anchorCtr="0" forceAA="0" compatLnSpc="1">
                                <a:noAutofit/>
                              </wps:bodyPr>
                            </wps:wsp>
                            <wps:wsp>
                              <wps:cNvPr id="50" name="直接箭头连接符 50"/>
                              <wps:cNvCnPr/>
                              <wps:spPr>
                                <a:xfrm flipV="1">
                                  <a:off x="3010660" y="359110"/>
                                  <a:ext cx="0" cy="276225"/>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1" name="矩形 51"/>
                              <wps:cNvSpPr/>
                              <wps:spPr>
                                <a:xfrm>
                                  <a:off x="2730680" y="131937"/>
                                  <a:ext cx="594995" cy="25273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AA06D">
                                    <w:pPr>
                                      <w:pStyle w:val="33"/>
                                      <w:rPr>
                                        <w:b w:val="0"/>
                                      </w:rPr>
                                    </w:pPr>
                                    <w:r>
                                      <w:rPr>
                                        <w:rFonts w:hint="eastAsia" w:ascii="Times New Roman"/>
                                        <w:b w:val="0"/>
                                        <w:color w:val="000000"/>
                                        <w:kern w:val="2"/>
                                        <w:sz w:val="21"/>
                                        <w:szCs w:val="21"/>
                                      </w:rPr>
                                      <w:t>噪声</w:t>
                                    </w:r>
                                  </w:p>
                                </w:txbxContent>
                              </wps:txbx>
                              <wps:bodyPr rot="0" spcFirstLastPara="0" vert="horz" wrap="square" lIns="91440" tIns="45720" rIns="91440" bIns="45720" numCol="1" spcCol="0" rtlCol="0" fromWordArt="0" anchor="ctr" anchorCtr="0" forceAA="0" compatLnSpc="1">
                                <a:noAutofit/>
                              </wps:bodyPr>
                            </wps:wsp>
                            <wps:wsp>
                              <wps:cNvPr id="52" name="矩形 52"/>
                              <wps:cNvSpPr/>
                              <wps:spPr>
                                <a:xfrm>
                                  <a:off x="3531140" y="130240"/>
                                  <a:ext cx="594995" cy="25273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9F752">
                                    <w:pPr>
                                      <w:pStyle w:val="33"/>
                                      <w:rPr>
                                        <w:b w:val="0"/>
                                      </w:rPr>
                                    </w:pPr>
                                    <w:r>
                                      <w:rPr>
                                        <w:rFonts w:hint="eastAsia" w:ascii="Times New Roman"/>
                                        <w:b w:val="0"/>
                                        <w:color w:val="000000"/>
                                        <w:kern w:val="2"/>
                                        <w:sz w:val="21"/>
                                        <w:szCs w:val="21"/>
                                      </w:rPr>
                                      <w:t>噪声</w:t>
                                    </w:r>
                                  </w:p>
                                </w:txbxContent>
                              </wps:txbx>
                              <wps:bodyPr rot="0" spcFirstLastPara="0" vert="horz" wrap="square" lIns="91440" tIns="45720" rIns="91440" bIns="45720" numCol="1" spcCol="0" rtlCol="0" fromWordArt="0" anchor="ctr" anchorCtr="0" forceAA="0" compatLnSpc="1">
                                <a:noAutofit/>
                              </wps:bodyPr>
                            </wps:wsp>
                            <wps:wsp>
                              <wps:cNvPr id="53" name="直接箭头连接符 53"/>
                              <wps:cNvCnPr/>
                              <wps:spPr>
                                <a:xfrm flipV="1">
                                  <a:off x="3818688" y="365186"/>
                                  <a:ext cx="0" cy="27559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18.3pt;width:390.05pt;" coordsize="4953635,1502410" editas="canvas" o:gfxdata="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&#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">
                      <o:lock v:ext="edit" aspectratio="f"/>
                      <v:shape id="_x0000_s1026" o:spid="_x0000_s1026" style="position:absolute;left:0;top:0;height:1502410;width:4953635;" filled="f" stroked="f" coordsize="21600,21600" o:gfxdata="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">
                        <v:fill on="f" focussize="0,0"/>
                        <v:stroke on="f"/>
                        <v:imagedata o:title=""/>
                        <o:lock v:ext="edit" aspectratio="t"/>
                      </v:shape>
                      <v:rect id="_x0000_s1026" o:spid="_x0000_s1026" o:spt="1" style="position:absolute;left:0;top:636102;height:254441;width:739471;v-text-anchor:middle;" filled="f" stroked="f" coordsize="21600,21600" o:gfxdata="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PhWNdcAAAAF&#10;AQAADwAAAAAAAAABACAAAAAiAAAAZHJzL2Rvd25yZXYueG1sUEsBAhQAFAAAAAgAh07iQL55X4ZW&#10;AgAAmQQAAA4AAAAAAAAAAQAgAAAAJgEAAGRycy9lMm9Eb2MueG1sUEsFBgAAAAAGAAYAWQEAAO4F&#10;AAAAAA==&#10;">
                        <v:fill on="f" focussize="0,0"/>
                        <v:stroke on="f" weight="0.5pt"/>
                        <v:imagedata o:title=""/>
                        <o:lock v:ext="edit" aspectratio="f"/>
                        <v:textbox>
                          <w:txbxContent>
                            <w:p w14:paraId="23CF492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玻璃原片</w:t>
                              </w:r>
                            </w:p>
                          </w:txbxContent>
                        </v:textbox>
                      </v:rect>
                      <v:rect id="_x0000_s1026" o:spid="_x0000_s1026" o:spt="1" style="position:absolute;left:1062595;top:636543;height:254000;width:511764;v-text-anchor:middle;" fillcolor="#FFFFFF [3212]" filled="t" stroked="t" coordsize="21600,21600" o:gfxdata="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bF729YAAAAFAQAADwAAAAAAAAABACAAAAAiAAAAZHJzL2Rvd25yZXYueG1sUEsBAhQA&#10;FAAAAAgAh07iQEtLsdtmAgAAwQQAAA4AAAAAAAAAAQAgAAAAJQEAAGRycy9lMm9Eb2MueG1sUEsF&#10;BgAAAAAGAAYAWQEAAP0FAAAAAA==&#10;">
                        <v:fill on="t" focussize="0,0"/>
                        <v:stroke weight="0.5pt" color="#000000 [3213]" joinstyle="round"/>
                        <v:imagedata o:title=""/>
                        <o:lock v:ext="edit" aspectratio="f"/>
                        <v:textbox>
                          <w:txbxContent>
                            <w:p w14:paraId="277FD68F">
                              <w:pPr>
                                <w:pStyle w:val="33"/>
                                <w:rPr>
                                  <w:b w:val="0"/>
                                </w:rPr>
                              </w:pPr>
                              <w:r>
                                <w:rPr>
                                  <w:rFonts w:hint="eastAsia" w:ascii="Times New Roman"/>
                                  <w:b w:val="0"/>
                                  <w:color w:val="000000"/>
                                  <w:kern w:val="2"/>
                                  <w:sz w:val="21"/>
                                  <w:szCs w:val="21"/>
                                </w:rPr>
                                <w:t>切割</w:t>
                              </w:r>
                            </w:p>
                          </w:txbxContent>
                        </v:textbox>
                      </v:rect>
                      <v:shape id="_x0000_s1026" o:spid="_x0000_s1026" o:spt="32" type="#_x0000_t32" style="position:absolute;left:739471;top:763323;height:220;width:323124;" filled="f" stroked="t" coordsize="21600,21600" o:gfxdata="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GLxIdYAAAAF&#10;AQAADwAAAAAAAAABACAAAAAiAAAAZHJzL2Rvd25yZXYueG1sUEsBAhQAFAAAAAgAh07iQB7a404e&#10;AgAAFQQAAA4AAAAAAAAAAQAgAAAAJQEAAGRycy9lMm9Eb2MueG1sUEsFBgAAAAAGAAYAWQEAALUF&#10;AAAAAA==&#10;">
                        <v:fill on="f" focussize="0,0"/>
                        <v:stroke color="#000000 [3213]" joinstyle="round" endarrow="block"/>
                        <v:imagedata o:title=""/>
                        <o:lock v:ext="edit" aspectratio="f"/>
                      </v:shape>
                      <v:rect id="_x0000_s1026" o:spid="_x0000_s1026" o:spt="1" style="position:absolute;left:1896939;top:636543;height:254000;width:511175;v-text-anchor:middle;" fillcolor="#FFFFFF [3212]" filled="t" stroked="t" coordsize="21600,21600" o:gfxdata="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1sXvb1gAAAAUBAAAPAAAAAAAAAAEAIAAAACIAAABkcnMvZG93bnJldi54bWxQSwECFAAU&#10;AAAACACHTuJA16Yoq2UCAADBBAAADgAAAAAAAAABACAAAAAlAQAAZHJzL2Uyb0RvYy54bWxQSwUG&#10;AAAAAAYABgBZAQAA/AUAAAAA&#10;">
                        <v:fill on="t" focussize="0,0"/>
                        <v:stroke weight="0.5pt" color="#000000 [3213]" joinstyle="round"/>
                        <v:imagedata o:title=""/>
                        <o:lock v:ext="edit" aspectratio="f"/>
                        <v:textbox>
                          <w:txbxContent>
                            <w:p w14:paraId="4AEE7DDD">
                              <w:pPr>
                                <w:pStyle w:val="33"/>
                                <w:rPr>
                                  <w:b w:val="0"/>
                                </w:rPr>
                              </w:pPr>
                              <w:r>
                                <w:rPr>
                                  <w:rFonts w:hint="eastAsia" w:ascii="Times New Roman"/>
                                  <w:b w:val="0"/>
                                  <w:color w:val="000000"/>
                                  <w:kern w:val="2"/>
                                  <w:sz w:val="21"/>
                                  <w:szCs w:val="21"/>
                                </w:rPr>
                                <w:t>磨边</w:t>
                              </w:r>
                            </w:p>
                          </w:txbxContent>
                        </v:textbox>
                      </v:rect>
                      <v:rect id="_x0000_s1026" o:spid="_x0000_s1026" o:spt="1" style="position:absolute;left:2730694;top:641173;height:254000;width:511175;v-text-anchor:middle;" fillcolor="#FFFFFF [3212]" filled="t" stroked="t" coordsize="21600,21600" o:gfxdata="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bF729YAAAAFAQAADwAAAAAAAAABACAAAAAiAAAAZHJzL2Rvd25yZXYueG1sUEsBAhQA&#10;FAAAAAgAh07iQAX0JpBmAgAAwQQAAA4AAAAAAAAAAQAgAAAAJQEAAGRycy9lMm9Eb2MueG1sUEsF&#10;BgAAAAAGAAYAWQEAAP0FAAAAAA==&#10;">
                        <v:fill on="t" focussize="0,0"/>
                        <v:stroke weight="0.5pt" color="#000000 [3213]" joinstyle="round"/>
                        <v:imagedata o:title=""/>
                        <o:lock v:ext="edit" aspectratio="f"/>
                        <v:textbox>
                          <w:txbxContent>
                            <w:p w14:paraId="28D26CFD">
                              <w:pPr>
                                <w:pStyle w:val="33"/>
                                <w:rPr>
                                  <w:b w:val="0"/>
                                </w:rPr>
                              </w:pPr>
                              <w:r>
                                <w:rPr>
                                  <w:rFonts w:hint="eastAsia" w:ascii="Times New Roman"/>
                                  <w:b w:val="0"/>
                                  <w:color w:val="000000"/>
                                  <w:kern w:val="2"/>
                                  <w:sz w:val="21"/>
                                  <w:szCs w:val="21"/>
                                </w:rPr>
                                <w:t>清洗</w:t>
                              </w:r>
                            </w:p>
                          </w:txbxContent>
                        </v:textbox>
                      </v:rect>
                      <v:shape id="_x0000_s1026" o:spid="_x0000_s1026" o:spt="32" type="#_x0000_t32" style="position:absolute;left:1574359;top:760029;height:0;width:322580;" filled="f" stroked="t" coordsize="21600,21600" o:gfxdata="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&#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YvEh1gAAAAUBAAAPAAAAAAAAAAEAIAAAACIAAABk&#10;cnMvZG93bnJldi54bWxQSwECFAAUAAAACACHTuJAijb3HQgCAADUAwAADgAAAAAAAAABACAAAAAl&#10;AQAAZHJzL2Uyb0RvYy54bWxQSwUGAAAAAAYABgBZAQAAnwUAAAAA&#10;">
                        <v:fill on="f" focussize="0,0"/>
                        <v:stroke color="#000000 [3213]" joinstyle="round" endarrow="block"/>
                        <v:imagedata o:title=""/>
                        <o:lock v:ext="edit" aspectratio="f"/>
                      </v:shape>
                      <v:shape id="_x0000_s1026" o:spid="_x0000_s1026" o:spt="32" type="#_x0000_t32" style="position:absolute;left:2408114;top:763543;height:0;width:322580;" filled="f" stroked="t" coordsize="21600,21600" o:gfxdata="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Ri8SHWAAAABQEAAA8AAAAAAAAAAQAgAAAAIgAAAGRy&#10;cy9kb3ducmV2LnhtbFBLAQIUABQAAAAIAIdO4kCT5P8BBwIAANQDAAAOAAAAAAAAAAEAIAAAACUB&#10;AABkcnMvZTJvRG9jLnhtbFBLBQYAAAAABgAGAFkBAACeBQAAAAA=&#10;">
                        <v:fill on="f" focussize="0,0"/>
                        <v:stroke color="#000000 [3213]" joinstyle="round" endarrow="block"/>
                        <v:imagedata o:title=""/>
                        <o:lock v:ext="edit" aspectratio="f"/>
                      </v:shape>
                      <v:rect id="_x0000_s1026" o:spid="_x0000_s1026" o:spt="1" style="position:absolute;left:3559303;top:636102;height:254000;width:511175;v-text-anchor:middle;" fillcolor="#FFFFFF [3212]" filled="t" stroked="t" coordsize="21600,21600" o:gfxdata="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Wxe9vWAAAABQEAAA8AAAAAAAAAAQAgAAAAIgAAAGRycy9kb3ducmV2LnhtbFBLAQIU&#10;ABQAAAAIAIdO4kDj0WnHZwIAAMMEAAAOAAAAAAAAAAEAIAAAACUBAABkcnMvZTJvRG9jLnhtbFBL&#10;BQYAAAAABgAGAFkBAAD+BQAAAAA=&#10;">
                        <v:fill on="t" focussize="0,0"/>
                        <v:stroke weight="0.5pt" color="#000000 [3213]" joinstyle="round"/>
                        <v:imagedata o:title=""/>
                        <o:lock v:ext="edit" aspectratio="f"/>
                        <v:textbox>
                          <w:txbxContent>
                            <w:p w14:paraId="4BC16F61">
                              <w:pPr>
                                <w:pStyle w:val="33"/>
                                <w:rPr>
                                  <w:b w:val="0"/>
                                </w:rPr>
                              </w:pPr>
                              <w:r>
                                <w:rPr>
                                  <w:rFonts w:hint="eastAsia" w:ascii="Times New Roman"/>
                                  <w:b w:val="0"/>
                                  <w:color w:val="000000"/>
                                  <w:kern w:val="2"/>
                                  <w:sz w:val="21"/>
                                  <w:szCs w:val="21"/>
                                </w:rPr>
                                <w:t>钢化</w:t>
                              </w:r>
                            </w:p>
                          </w:txbxContent>
                        </v:textbox>
                      </v:rect>
                      <v:rect id="_x0000_s1026" o:spid="_x0000_s1026" o:spt="1" style="position:absolute;left:4378285;top:640731;height:254000;width:511175;v-text-anchor:middle;" fillcolor="#FFFFFF [3212]" filled="t" stroked="f" coordsize="21600,21600" o:gfxdata="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0A&#10;PNMAAAAFAQAADwAAAAAAAAABACAAAAAiAAAAZHJzL2Rvd25yZXYueG1sUEsBAhQAFAAAAAgAh07i&#10;QJaEBAhgAgAAmgQAAA4AAAAAAAAAAQAgAAAAIgEAAGRycy9lMm9Eb2MueG1sUEsFBgAAAAAGAAYA&#10;WQEAAPQFAAAAAA==&#10;">
                        <v:fill on="t" focussize="0,0"/>
                        <v:stroke on="f" weight="0.5pt"/>
                        <v:imagedata o:title=""/>
                        <o:lock v:ext="edit" aspectratio="f"/>
                        <v:textbox>
                          <w:txbxContent>
                            <w:p w14:paraId="0CB78028">
                              <w:pPr>
                                <w:pStyle w:val="33"/>
                                <w:rPr>
                                  <w:b w:val="0"/>
                                </w:rPr>
                              </w:pPr>
                              <w:r>
                                <w:rPr>
                                  <w:rFonts w:hint="eastAsia" w:ascii="Times New Roman"/>
                                  <w:b w:val="0"/>
                                  <w:color w:val="000000"/>
                                  <w:kern w:val="2"/>
                                  <w:sz w:val="21"/>
                                  <w:szCs w:val="21"/>
                                </w:rPr>
                                <w:t>成品</w:t>
                              </w:r>
                            </w:p>
                          </w:txbxContent>
                        </v:textbox>
                      </v:rect>
                      <v:shape id="_x0000_s1026" o:spid="_x0000_s1026" o:spt="32" type="#_x0000_t32" style="position:absolute;left:3241869;top:763543;height:0;width:322580;" filled="f" stroked="t" coordsize="21600,21600" o:gfxdata="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Ri8SHWAAAABQEAAA8AAAAAAAAAAQAgAAAAIgAAAGRy&#10;cy9kb3ducmV2LnhtbFBLAQIUABQAAAAIAIdO4kAFptJxBwIAANYDAAAOAAAAAAAAAAEAIAAAACUB&#10;AABkcnMvZTJvRG9jLnhtbFBLBQYAAAAABgAGAFkBAACeBQAAAAA=&#10;">
                        <v:fill on="f" focussize="0,0"/>
                        <v:stroke color="#000000 [3213]" joinstyle="round" endarrow="block"/>
                        <v:imagedata o:title=""/>
                        <o:lock v:ext="edit" aspectratio="f"/>
                      </v:shape>
                      <v:shape id="_x0000_s1026" o:spid="_x0000_s1026" o:spt="32" type="#_x0000_t32" style="position:absolute;left:4070475;top:763547;height:0;width:321945;" filled="f" stroked="t" coordsize="21600,21600" o:gfxdata="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Ri8SHWAAAABQEAAA8AAAAAAAAAAQAgAAAAIgAAAGRy&#10;cy9kb3ducmV2LnhtbFBLAQIUABQAAAAIAIdO4kCH/YvGBwIAANYDAAAOAAAAAAAAAAEAIAAAACUB&#10;AABkcnMvZTJvRG9jLnhtbFBLBQYAAAAABgAGAFkBAACeBQAAAAA=&#10;">
                        <v:fill on="f" focussize="0,0"/>
                        <v:stroke color="#000000 [3213]" joinstyle="round" endarrow="block"/>
                        <v:imagedata o:title=""/>
                        <o:lock v:ext="edit" aspectratio="f"/>
                      </v:shape>
                      <v:shape id="_x0000_s1026" o:spid="_x0000_s1026" o:spt="32" type="#_x0000_t32" style="position:absolute;left:1311959;top:359063;flip:y;height:276942;width:0;" filled="f" stroked="t" coordsize="21600,21600" o:gfxdata="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yuSuNIAAAAFAQAADwAAAAAAAAABACAAAAAiAAAA&#10;ZHJzL2Rvd25yZXYueG1sUEsBAhQAFAAAAAgAh07iQKCsjEkNAgAA3wMAAA4AAAAAAAAAAQAgAAAA&#10;IQEAAGRycy9lMm9Eb2MueG1sUEsFBgAAAAAGAAYAWQEAAKAFAAAAAA==&#10;">
                        <v:fill on="f" focussize="0,0"/>
                        <v:stroke color="#000000 [3213]" joinstyle="round" dashstyle="dash" endarrow="block"/>
                        <v:imagedata o:title=""/>
                        <o:lock v:ext="edit" aspectratio="f"/>
                      </v:shape>
                      <v:shape id="_x0000_s1026" o:spid="_x0000_s1026" o:spt="32" type="#_x0000_t32" style="position:absolute;left:2167771;top:359075;flip:y;height:276860;width:0;" filled="f" stroked="t" coordsize="21600,21600" o:gfxdata="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yuSuNIAAAAFAQAADwAAAAAAAAABACAAAAAi&#10;AAAAZHJzL2Rvd25yZXYueG1sUEsBAhQAFAAAAAgAh07iQFJnvIEQAgAA3wMAAA4AAAAAAAAAAQAg&#10;AAAAIQEAAGRycy9lMm9Eb2MueG1sUEsFBgAAAAAGAAYAWQEAAKMFAAAAAA==&#10;">
                        <v:fill on="f" focussize="0,0"/>
                        <v:stroke color="#000000 [3213]" joinstyle="round" dashstyle="dash" endarrow="block"/>
                        <v:imagedata o:title=""/>
                        <o:lock v:ext="edit" aspectratio="f"/>
                      </v:shape>
                      <v:shape id="_x0000_s1026" o:spid="_x0000_s1026" o:spt="32" type="#_x0000_t32" style="position:absolute;left:1311956;top:890062;height:294682;width:2947;" filled="f" stroked="t" coordsize="21600,21600" o:gfxdata="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vcLa0wAAAAUBAAAPAAAAAAAAAAEAIAAAACIAAABkcnMv&#10;ZG93bnJldi54bWxQSwECFAAUAAAACACHTuJAq6kg3AgCAADYAwAADgAAAAAAAAABACAAAAAiAQAA&#10;ZHJzL2Uyb0RvYy54bWxQSwUGAAAAAAYABgBZAQAAnAUAAAAA&#10;">
                        <v:fill on="f" focussize="0,0"/>
                        <v:stroke color="#000000 [3213]" joinstyle="round" dashstyle="dash" endarrow="block"/>
                        <v:imagedata o:title=""/>
                        <o:lock v:ext="edit" aspectratio="f"/>
                      </v:shape>
                      <v:rect id="_x0000_s1026" o:spid="_x0000_s1026" o:spt="1" style="position:absolute;left:1022834;top:125549;height:254000;width:595678;v-text-anchor:middle;" filled="f" stroked="f" coordsize="21600,21600" o:gfxdata="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PhWNdcAAAAFAQAADwAAAAAA&#10;AAABACAAAAAiAAAAZHJzL2Rvd25yZXYueG1sUEsBAhQAFAAAAAgAh07iQMllWF9NAgAAcQQAAA4A&#10;AAAAAAAAAQAgAAAAJgEAAGRycy9lMm9Eb2MueG1sUEsFBgAAAAAGAAYAWQEAAOUFAAAAAA==&#10;">
                        <v:fill on="f" focussize="0,0"/>
                        <v:stroke on="f" weight="0.5pt"/>
                        <v:imagedata o:title=""/>
                        <o:lock v:ext="edit" aspectratio="f"/>
                        <v:textbox>
                          <w:txbxContent>
                            <w:p w14:paraId="3245A52F">
                              <w:pPr>
                                <w:pStyle w:val="33"/>
                                <w:rPr>
                                  <w:b w:val="0"/>
                                </w:rPr>
                              </w:pPr>
                              <w:r>
                                <w:rPr>
                                  <w:rFonts w:hint="eastAsia" w:ascii="Times New Roman"/>
                                  <w:b w:val="0"/>
                                  <w:color w:val="000000"/>
                                  <w:kern w:val="2"/>
                                  <w:sz w:val="21"/>
                                  <w:szCs w:val="21"/>
                                </w:rPr>
                                <w:t>噪声</w:t>
                              </w:r>
                            </w:p>
                          </w:txbxContent>
                        </v:textbox>
                      </v:rect>
                      <v:rect id="_x0000_s1026" o:spid="_x0000_s1026" o:spt="1" style="position:absolute;left:1896929;top:130147;height:253365;width:595630;v-text-anchor:middle;" filled="f" stroked="f" coordsize="21600,21600" o:gfxdata="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0+FY11wAAAAUBAAAPAAAAAAAAAAEA&#10;IAAAACIAAABkcnMvZG93bnJldi54bWxQSwECFAAUAAAACACHTuJALt0k2EkCAABxBAAADgAAAAAA&#10;AAABACAAAAAmAQAAZHJzL2Uyb0RvYy54bWxQSwUGAAAAAAYABgBZAQAA4QUAAAAA&#10;">
                        <v:fill on="f" focussize="0,0"/>
                        <v:stroke on="f" weight="0.5pt"/>
                        <v:imagedata o:title=""/>
                        <o:lock v:ext="edit" aspectratio="f"/>
                        <v:textbox>
                          <w:txbxContent>
                            <w:p w14:paraId="47E6F840">
                              <w:pPr>
                                <w:pStyle w:val="33"/>
                                <w:rPr>
                                  <w:b w:val="0"/>
                                </w:rPr>
                              </w:pPr>
                              <w:r>
                                <w:rPr>
                                  <w:rFonts w:hint="eastAsia" w:ascii="Times New Roman"/>
                                  <w:b w:val="0"/>
                                  <w:color w:val="000000"/>
                                  <w:kern w:val="2"/>
                                  <w:sz w:val="21"/>
                                  <w:szCs w:val="21"/>
                                </w:rPr>
                                <w:t>噪声</w:t>
                              </w:r>
                            </w:p>
                          </w:txbxContent>
                        </v:textbox>
                      </v:rect>
                      <v:rect id="_x0000_s1026" o:spid="_x0000_s1026" o:spt="1" style="position:absolute;left:1022829;top:1184671;height:253365;width:595630;v-text-anchor:middle;" filled="f" stroked="f" coordsize="21600,21600" o:gfxdata="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0+FY11wAAAAUBAAAPAAAAAAAA&#10;AAEAIAAAACIAAABkcnMvZG93bnJldi54bWxQSwECFAAUAAAACACHTuJAg1g7dUwCAAByBAAADgAA&#10;AAAAAAABACAAAAAmAQAAZHJzL2Uyb0RvYy54bWxQSwUGAAAAAAYABgBZAQAA5AUAAAAA&#10;">
                        <v:fill on="f" focussize="0,0"/>
                        <v:stroke on="f" weight="0.5pt"/>
                        <v:imagedata o:title=""/>
                        <o:lock v:ext="edit" aspectratio="f"/>
                        <v:textbox>
                          <w:txbxContent>
                            <w:p w14:paraId="09D3D965">
                              <w:pPr>
                                <w:pStyle w:val="33"/>
                                <w:rPr>
                                  <w:b w:val="0"/>
                                </w:rPr>
                              </w:pPr>
                              <w:r>
                                <w:rPr>
                                  <w:rFonts w:hint="eastAsia" w:ascii="Times New Roman"/>
                                  <w:b w:val="0"/>
                                  <w:color w:val="000000"/>
                                  <w:kern w:val="2"/>
                                  <w:sz w:val="21"/>
                                  <w:szCs w:val="21"/>
                                </w:rPr>
                                <w:t>固废</w:t>
                              </w:r>
                            </w:p>
                          </w:txbxContent>
                        </v:textbox>
                      </v:rect>
                      <v:rect id="_x0000_s1026" o:spid="_x0000_s1026" o:spt="1" style="position:absolute;left:1762348;top:1188252;height:252730;width:821826;v-text-anchor:middle;" filled="f" stroked="f" coordsize="21600,21600" o:gfxdata="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PhWNdcAAAAFAQAADwAAAAAA&#10;AAABACAAAAAiAAAAZHJzL2Rvd25yZXYueG1sUEsBAhQAFAAAAAgAh07iQAx+/iJNAgAAcgQAAA4A&#10;AAAAAAAAAQAgAAAAJgEAAGRycy9lMm9Eb2MueG1sUEsFBgAAAAAGAAYAWQEAAOUFAAAAAA==&#10;">
                        <v:fill on="f" focussize="0,0"/>
                        <v:stroke on="f" weight="0.5pt"/>
                        <v:imagedata o:title=""/>
                        <o:lock v:ext="edit" aspectratio="f"/>
                        <v:textbox>
                          <w:txbxContent>
                            <w:p w14:paraId="7B7457C5">
                              <w:pPr>
                                <w:pStyle w:val="33"/>
                                <w:rPr>
                                  <w:b w:val="0"/>
                                </w:rPr>
                              </w:pPr>
                              <w:r>
                                <w:rPr>
                                  <w:rFonts w:hint="eastAsia" w:ascii="Times New Roman"/>
                                  <w:b w:val="0"/>
                                  <w:color w:val="000000"/>
                                  <w:kern w:val="2"/>
                                  <w:sz w:val="21"/>
                                  <w:szCs w:val="21"/>
                                </w:rPr>
                                <w:t>废水、固废</w:t>
                              </w:r>
                            </w:p>
                          </w:txbxContent>
                        </v:textbox>
                      </v:rect>
                      <v:shape id="_x0000_s1026" o:spid="_x0000_s1026" o:spt="32" type="#_x0000_t32" style="position:absolute;left:2167760;top:889977;height:294640;width:2540;" filled="f" stroked="t" coordsize="21600,21600" o:gfxdata="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vcLa0wAAAAUBAAAPAAAAAAAAAAEAIAAAACIAAABkcnMv&#10;ZG93bnJldi54bWxQSwECFAAUAAAACACHTuJA3L6JeAgCAADYAwAADgAAAAAAAAABACAAAAAiAQAA&#10;ZHJzL2Uyb0RvYy54bWxQSwUGAAAAAAYABgBZAQAAnAUAAAAA&#10;">
                        <v:fill on="f" focussize="0,0"/>
                        <v:stroke color="#000000 [3213]" joinstyle="round" dashstyle="dash" endarrow="block"/>
                        <v:imagedata o:title=""/>
                        <o:lock v:ext="edit" aspectratio="f"/>
                      </v:shape>
                      <v:shape id="_x0000_s1026" o:spid="_x0000_s1026" o:spt="32" type="#_x0000_t32" style="position:absolute;left:3010664;top:895120;height:294640;width:2540;" filled="f" stroked="t" coordsize="21600,21600" o:gfxdata="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73C2tMAAAAFAQAADwAAAAAAAAABACAAAAAiAAAAZHJz&#10;L2Rvd25yZXYueG1sUEsBAhQAFAAAAAgAh07iQBfRV4wJAgAA2AMAAA4AAAAAAAAAAQAgAAAAIgEA&#10;AGRycy9lMm9Eb2MueG1sUEsFBgAAAAAGAAYAWQEAAJ0FAAAAAA==&#10;">
                        <v:fill on="f" focussize="0,0"/>
                        <v:stroke color="#000000 [3213]" joinstyle="round" dashstyle="dash" endarrow="block"/>
                        <v:imagedata o:title=""/>
                        <o:lock v:ext="edit" aspectratio="f"/>
                      </v:shape>
                      <v:rect id="_x0000_s1026" o:spid="_x0000_s1026" o:spt="1" style="position:absolute;left:2613102;top:1189687;height:252095;width:821690;v-text-anchor:middle;" filled="f" stroked="f" coordsize="21600,21600" o:gfxdata="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T4VjXXAAAABQEAAA8AAAAA&#10;AAAAAQAgAAAAIgAAAGRycy9kb3ducmV2LnhtbFBLAQIUABQAAAAIAIdO4kBAvcOFTgIAAHIEAAAO&#10;AAAAAAAAAAEAIAAAACYBAABkcnMvZTJvRG9jLnhtbFBLBQYAAAAABgAGAFkBAADmBQAAAAA=&#10;">
                        <v:fill on="f" focussize="0,0"/>
                        <v:stroke on="f" weight="0.5pt"/>
                        <v:imagedata o:title=""/>
                        <o:lock v:ext="edit" aspectratio="f"/>
                        <v:textbox>
                          <w:txbxContent>
                            <w:p w14:paraId="51531694">
                              <w:pPr>
                                <w:pStyle w:val="33"/>
                                <w:rPr>
                                  <w:b w:val="0"/>
                                </w:rPr>
                              </w:pPr>
                              <w:r>
                                <w:rPr>
                                  <w:rFonts w:hint="eastAsia" w:ascii="Times New Roman"/>
                                  <w:b w:val="0"/>
                                  <w:color w:val="000000"/>
                                  <w:kern w:val="2"/>
                                  <w:sz w:val="21"/>
                                  <w:szCs w:val="21"/>
                                </w:rPr>
                                <w:t>废水、固废</w:t>
                              </w:r>
                            </w:p>
                          </w:txbxContent>
                        </v:textbox>
                      </v:rect>
                      <v:shape id="_x0000_s1026" o:spid="_x0000_s1026" o:spt="32" type="#_x0000_t32" style="position:absolute;left:3010660;top:359110;flip:y;height:276225;width:0;" filled="f" stroked="t" coordsize="21600,21600" o:gfxdata="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&#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8rkrjSAAAABQEAAA8AAAAAAAAAAQAgAAAAIgAAAGRy&#10;cy9kb3ducmV2LnhtbFBLAQIUABQAAAAIAIdO4kD7SxD6CwIAAN8DAAAOAAAAAAAAAAEAIAAAACEB&#10;AABkcnMvZTJvRG9jLnhtbFBLBQYAAAAABgAGAFkBAACeBQAAAAA=&#10;">
                        <v:fill on="f" focussize="0,0"/>
                        <v:stroke color="#000000 [3213]" joinstyle="round" dashstyle="dash" endarrow="block"/>
                        <v:imagedata o:title=""/>
                        <o:lock v:ext="edit" aspectratio="f"/>
                      </v:shape>
                      <v:rect id="_x0000_s1026" o:spid="_x0000_s1026" o:spt="1" style="position:absolute;left:2730680;top:131937;height:252730;width:594995;v-text-anchor:middle;" filled="f" stroked="f" coordsize="21600,21600" o:gfxdata="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T4VjXXAAAABQEAAA8AAAAAAAAA&#10;AQAgAAAAIgAAAGRycy9kb3ducmV2LnhtbFBLAQIUABQAAAAIAIdO4kBFk2cjSwIAAHEEAAAOAAAA&#10;AAAAAAEAIAAAACYBAABkcnMvZTJvRG9jLnhtbFBLBQYAAAAABgAGAFkBAADjBQAAAAA=&#10;">
                        <v:fill on="f" focussize="0,0"/>
                        <v:stroke on="f" weight="0.5pt"/>
                        <v:imagedata o:title=""/>
                        <o:lock v:ext="edit" aspectratio="f"/>
                        <v:textbox>
                          <w:txbxContent>
                            <w:p w14:paraId="305AA06D">
                              <w:pPr>
                                <w:pStyle w:val="33"/>
                                <w:rPr>
                                  <w:b w:val="0"/>
                                </w:rPr>
                              </w:pPr>
                              <w:r>
                                <w:rPr>
                                  <w:rFonts w:hint="eastAsia" w:ascii="Times New Roman"/>
                                  <w:b w:val="0"/>
                                  <w:color w:val="000000"/>
                                  <w:kern w:val="2"/>
                                  <w:sz w:val="21"/>
                                  <w:szCs w:val="21"/>
                                </w:rPr>
                                <w:t>噪声</w:t>
                              </w:r>
                            </w:p>
                          </w:txbxContent>
                        </v:textbox>
                      </v:rect>
                      <v:rect id="_x0000_s1026" o:spid="_x0000_s1026" o:spt="1" style="position:absolute;left:3531140;top:130240;height:252730;width:594995;v-text-anchor:middle;" filled="f" stroked="f" coordsize="21600,21600" o:gfxdata="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T4VjXXAAAABQEAAA8AAAAAAAAA&#10;AQAgAAAAIgAAAGRycy9kb3ducmV2LnhtbFBLAQIUABQAAAAIAIdO4kAMemh7SwIAAHEEAAAOAAAA&#10;AAAAAAEAIAAAACYBAABkcnMvZTJvRG9jLnhtbFBLBQYAAAAABgAGAFkBAADjBQAAAAA=&#10;">
                        <v:fill on="f" focussize="0,0"/>
                        <v:stroke on="f" weight="0.5pt"/>
                        <v:imagedata o:title=""/>
                        <o:lock v:ext="edit" aspectratio="f"/>
                        <v:textbox>
                          <w:txbxContent>
                            <w:p w14:paraId="2D79F752">
                              <w:pPr>
                                <w:pStyle w:val="33"/>
                                <w:rPr>
                                  <w:b w:val="0"/>
                                </w:rPr>
                              </w:pPr>
                              <w:r>
                                <w:rPr>
                                  <w:rFonts w:hint="eastAsia" w:ascii="Times New Roman"/>
                                  <w:b w:val="0"/>
                                  <w:color w:val="000000"/>
                                  <w:kern w:val="2"/>
                                  <w:sz w:val="21"/>
                                  <w:szCs w:val="21"/>
                                </w:rPr>
                                <w:t>噪声</w:t>
                              </w:r>
                            </w:p>
                          </w:txbxContent>
                        </v:textbox>
                      </v:rect>
                      <v:shape id="_x0000_s1026" o:spid="_x0000_s1026" o:spt="32" type="#_x0000_t32" style="position:absolute;left:3818688;top:365186;flip:y;height:275590;width:0;" filled="f" stroked="t" coordsize="21600,21600" o:gfxdata="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rkrjSAAAABQEAAA8AAAAAAAAAAQAgAAAAIgAA&#10;AGRycy9kb3ducmV2LnhtbFBLAQIUABQAAAAIAIdO4kDV3GS6DgIAAN8DAAAOAAAAAAAAAAEAIAAA&#10;ACEBAABkcnMvZTJvRG9jLnhtbFBLBQYAAAAABgAGAFkBAAChBQAAAAA=&#10;">
                        <v:fill on="f" focussize="0,0"/>
                        <v:stroke color="#000000 [3213]" joinstyle="round" dashstyle="dash" endarrow="block"/>
                        <v:imagedata o:title=""/>
                        <o:lock v:ext="edit" aspectratio="f"/>
                      </v:shape>
                      <w10:wrap type="none"/>
                      <w10:anchorlock/>
                    </v:group>
                  </w:pict>
                </mc:Fallback>
              </mc:AlternateContent>
            </w:r>
          </w:p>
          <w:p w14:paraId="21FDA438">
            <w:pPr>
              <w:pStyle w:val="137"/>
              <w:widowControl/>
              <w:numPr>
                <w:ilvl w:val="0"/>
                <w:numId w:val="5"/>
              </w:numPr>
              <w:adjustRightInd w:val="0"/>
              <w:snapToGrid w:val="0"/>
              <w:spacing w:line="360" w:lineRule="auto"/>
              <w:ind w:firstLineChars="0"/>
              <w:jc w:val="center"/>
            </w:pPr>
            <w:r>
              <w:rPr>
                <w:rFonts w:hint="eastAsia"/>
                <w:b/>
                <w:szCs w:val="21"/>
              </w:rPr>
              <w:t>钢化玻璃生产工艺流程及产污环节图</w:t>
            </w:r>
          </w:p>
          <w:p w14:paraId="4CED8215">
            <w:pPr>
              <w:spacing w:line="360" w:lineRule="auto"/>
              <w:ind w:firstLine="482" w:firstLineChars="200"/>
              <w:rPr>
                <w:b/>
                <w:bCs/>
                <w:sz w:val="24"/>
              </w:rPr>
            </w:pPr>
            <w:r>
              <w:rPr>
                <w:b/>
                <w:bCs/>
                <w:sz w:val="24"/>
              </w:rPr>
              <w:t>工艺流程简述：</w:t>
            </w:r>
          </w:p>
          <w:p w14:paraId="28990165">
            <w:pPr>
              <w:spacing w:line="360" w:lineRule="auto"/>
              <w:ind w:firstLine="482" w:firstLineChars="200"/>
              <w:rPr>
                <w:bCs/>
                <w:sz w:val="24"/>
                <w:highlight w:val="yellow"/>
              </w:rPr>
            </w:pPr>
            <w:r>
              <w:rPr>
                <w:rFonts w:hint="eastAsia"/>
                <w:b/>
                <w:bCs/>
                <w:sz w:val="24"/>
              </w:rPr>
              <w:t>切割：</w:t>
            </w:r>
            <w:r>
              <w:rPr>
                <w:rFonts w:hint="eastAsia"/>
                <w:bCs/>
                <w:sz w:val="24"/>
              </w:rPr>
              <w:t>将原材料(玻璃原片)放入自动玻璃切割机，按要求切割成所需要的尺寸。玻璃切割原理是在一个工作平面上，用三轴控制切割头的动作，XY两向移动来确定机器的行走，用C轴旋转控制转刀角度，利用气压与弹簧并用控制下刀。在玻璃上切岀划痕，由于玻璃是脆性材料，按刀纹施加压力可将玻璃顶开。所谓切割，并不是通常意义上的直接切割，而是制造划痕，造成应力集中，然后裂片，故切割过程无粉尘产生，该工序会产生少量废玻璃边角料、不合格品。</w:t>
            </w:r>
          </w:p>
          <w:p w14:paraId="46F928A8">
            <w:pPr>
              <w:spacing w:line="360" w:lineRule="auto"/>
              <w:ind w:firstLine="482" w:firstLineChars="200"/>
            </w:pPr>
            <w:r>
              <w:rPr>
                <w:rFonts w:hint="eastAsia"/>
                <w:b/>
                <w:bCs/>
                <w:sz w:val="24"/>
              </w:rPr>
              <w:t>磨边：</w:t>
            </w:r>
            <w:r>
              <w:rPr>
                <w:rFonts w:hint="eastAsia"/>
                <w:bCs/>
                <w:sz w:val="24"/>
              </w:rPr>
              <w:t>用磨边机对切割后的玻璃边角进行打磨，去除玻璃棱角和边缘毛刺使其边缘光滑。项目磨边采用加水湿法工艺，即在磨边时用水冲洗砂轮进行抑尘、冷却磨轮，故磨边过程无粉尘产生。</w:t>
            </w:r>
          </w:p>
          <w:p w14:paraId="51873D73">
            <w:pPr>
              <w:spacing w:line="360" w:lineRule="auto"/>
              <w:ind w:firstLine="480" w:firstLineChars="200"/>
              <w:rPr>
                <w:bCs/>
                <w:sz w:val="24"/>
              </w:rPr>
            </w:pPr>
            <w:r>
              <w:rPr>
                <w:rFonts w:hint="eastAsia"/>
                <w:bCs/>
                <w:sz w:val="24"/>
              </w:rPr>
              <w:t>该工序会产生磨边废水，磨边废水经沉淀池沉淀处理后循环使用，不外排；沉淀池底部定期清渣，会产生玻璃沉渣；设备运行会产生噪声。</w:t>
            </w:r>
          </w:p>
          <w:p w14:paraId="44EB322E">
            <w:pPr>
              <w:spacing w:line="360" w:lineRule="auto"/>
              <w:ind w:firstLine="482" w:firstLineChars="200"/>
              <w:rPr>
                <w:bCs/>
                <w:sz w:val="24"/>
              </w:rPr>
            </w:pPr>
            <w:r>
              <w:rPr>
                <w:rFonts w:hint="eastAsia"/>
                <w:b/>
                <w:bCs/>
                <w:sz w:val="24"/>
              </w:rPr>
              <w:t>清洗：</w:t>
            </w:r>
            <w:r>
              <w:rPr>
                <w:rFonts w:hint="eastAsia"/>
                <w:bCs/>
                <w:sz w:val="24"/>
              </w:rPr>
              <w:t>采用玻璃清洗干燥机对玻璃进行清洗，去除表面的灰尘。根据建设单位提供资料，清洗工序不使用清洗剂，采用自来水清洗，清洗后通过设备自带电加热干燥热风设备对清洗后的玻璃进行干燥。</w:t>
            </w:r>
          </w:p>
          <w:p w14:paraId="1015BFFC">
            <w:pPr>
              <w:spacing w:line="360" w:lineRule="auto"/>
              <w:ind w:firstLine="480" w:firstLineChars="200"/>
              <w:rPr>
                <w:bCs/>
                <w:sz w:val="24"/>
              </w:rPr>
            </w:pPr>
            <w:r>
              <w:rPr>
                <w:rFonts w:hint="eastAsia"/>
                <w:bCs/>
                <w:sz w:val="24"/>
              </w:rPr>
              <w:t>该工序会产生清洗废水，清洗废水经沉淀池沉淀处理后循环使用，不外排；沉淀池底部定期清渣，会产生玻璃沉渣；设备运行会产生噪声。</w:t>
            </w:r>
          </w:p>
          <w:p w14:paraId="05DA7A8F">
            <w:pPr>
              <w:spacing w:line="360" w:lineRule="auto"/>
              <w:ind w:firstLine="482" w:firstLineChars="200"/>
              <w:rPr>
                <w:bCs/>
                <w:sz w:val="24"/>
              </w:rPr>
            </w:pPr>
            <w:r>
              <w:rPr>
                <w:rFonts w:hint="eastAsia"/>
                <w:b/>
                <w:bCs/>
                <w:sz w:val="24"/>
              </w:rPr>
              <w:t>钢化：</w:t>
            </w:r>
            <w:r>
              <w:rPr>
                <w:rFonts w:hint="eastAsia"/>
                <w:bCs/>
                <w:sz w:val="24"/>
              </w:rPr>
              <w:t>将清洗干燥后玻璃送入钢化炉加热段，根据产品的不同厚度及规格，钢化不同时间。钢化玻璃是将普通退火玻璃先切割成要求尺寸，然后加热到接近软化点的700度左右，再进行快速均匀的冷却而得到的（通常4-6mm的玻璃在700度高温下加热240秒左右，降温150秒左右；8-10mm玻璃在700度高温下加热500秒左右，降温300秒左右；12mm玻璃在700度高温下加热600秒左右，降温400秒左右。总之，根据玻璃厚度不同，选择加热降温的时间也不同）。钢化处理后玻璃表面形成均匀压应力，而内部则形成张应力，使玻璃的抗弯和抗冲击强度得以提高，其强度约是普通退火玻璃的四倍以上。已钢化处理好的钢化玻璃，不能再作任何切割、磨削等加工或受破损，否则就会因破坏均匀压应力平衡而“粉身碎骨”，然后采用风机吹风降温至20℃，制得钢化玻璃。其中一部分钢化玻璃入库暂存待售，另一部分钢化玻璃进行深加工，制得中空玻璃。钢化炉加热采用电作为能源，本工序不产生废气污染物。设备运行会产生噪声。</w:t>
            </w:r>
          </w:p>
          <w:p w14:paraId="018D2654">
            <w:pPr>
              <w:spacing w:line="360" w:lineRule="auto"/>
              <w:ind w:firstLine="482" w:firstLineChars="200"/>
              <w:rPr>
                <w:b/>
                <w:bCs/>
                <w:sz w:val="24"/>
              </w:rPr>
            </w:pPr>
            <w:r>
              <w:rPr>
                <w:rFonts w:hint="eastAsia"/>
                <w:b/>
                <w:bCs/>
                <w:sz w:val="24"/>
              </w:rPr>
              <w:t>（2）中空玻璃生产工艺</w:t>
            </w:r>
          </w:p>
          <w:p w14:paraId="272BF406">
            <w:pPr>
              <w:adjustRightInd w:val="0"/>
              <w:snapToGrid w:val="0"/>
              <w:spacing w:line="360" w:lineRule="auto"/>
              <w:ind w:firstLine="480" w:firstLineChars="200"/>
              <w:rPr>
                <w:sz w:val="24"/>
              </w:rPr>
            </w:pPr>
            <w:r>
              <w:rPr>
                <w:rFonts w:hint="eastAsia"/>
                <w:sz w:val="24"/>
              </w:rPr>
              <w:t>中空玻璃生产工艺流程及产污环节分析示意图见下图。</w:t>
            </w:r>
          </w:p>
          <w:p w14:paraId="79F1FEDF">
            <w:pPr>
              <w:adjustRightInd w:val="0"/>
              <w:snapToGrid w:val="0"/>
              <w:spacing w:line="360" w:lineRule="auto"/>
              <w:ind w:firstLine="480" w:firstLineChars="200"/>
              <w:rPr>
                <w:sz w:val="24"/>
              </w:rPr>
            </w:pPr>
          </w:p>
          <w:p w14:paraId="5B821669">
            <w:pPr>
              <w:adjustRightInd w:val="0"/>
              <w:snapToGrid w:val="0"/>
              <w:spacing w:line="360" w:lineRule="auto"/>
              <w:ind w:firstLine="480" w:firstLineChars="200"/>
              <w:rPr>
                <w:sz w:val="24"/>
              </w:rPr>
            </w:pPr>
          </w:p>
          <w:p w14:paraId="3D633FC9">
            <w:pPr>
              <w:adjustRightInd w:val="0"/>
              <w:snapToGrid w:val="0"/>
              <w:spacing w:line="360" w:lineRule="auto"/>
              <w:ind w:firstLine="480" w:firstLineChars="200"/>
              <w:rPr>
                <w:sz w:val="24"/>
              </w:rPr>
            </w:pPr>
          </w:p>
          <w:p w14:paraId="33C485FC">
            <w:pPr>
              <w:adjustRightInd w:val="0"/>
              <w:snapToGrid w:val="0"/>
              <w:spacing w:line="360" w:lineRule="auto"/>
              <w:ind w:firstLine="480" w:firstLineChars="200"/>
              <w:rPr>
                <w:sz w:val="24"/>
              </w:rPr>
            </w:pPr>
          </w:p>
          <w:p w14:paraId="3F7F8C32">
            <w:pPr>
              <w:adjustRightInd w:val="0"/>
              <w:snapToGrid w:val="0"/>
              <w:spacing w:line="360" w:lineRule="auto"/>
              <w:ind w:firstLine="480" w:firstLineChars="200"/>
              <w:rPr>
                <w:sz w:val="24"/>
              </w:rPr>
            </w:pPr>
          </w:p>
          <w:p w14:paraId="4314117B">
            <w:pPr>
              <w:adjustRightInd w:val="0"/>
              <w:snapToGrid w:val="0"/>
              <w:spacing w:line="360" w:lineRule="auto"/>
              <w:ind w:firstLine="480" w:firstLineChars="200"/>
              <w:rPr>
                <w:sz w:val="24"/>
              </w:rPr>
            </w:pPr>
          </w:p>
          <w:p w14:paraId="2B701BCE">
            <w:pPr>
              <w:adjustRightInd w:val="0"/>
              <w:snapToGrid w:val="0"/>
              <w:spacing w:line="360" w:lineRule="auto"/>
              <w:ind w:firstLine="480" w:firstLineChars="200"/>
              <w:rPr>
                <w:sz w:val="24"/>
              </w:rPr>
            </w:pPr>
          </w:p>
          <w:p w14:paraId="1176C730">
            <w:pPr>
              <w:adjustRightInd w:val="0"/>
              <w:snapToGrid w:val="0"/>
              <w:spacing w:line="360" w:lineRule="auto"/>
              <w:jc w:val="center"/>
              <w:rPr>
                <w:sz w:val="24"/>
              </w:rPr>
            </w:pPr>
            <w:r>
              <w:rPr>
                <w:sz w:val="24"/>
              </w:rPr>
              <mc:AlternateContent>
                <mc:Choice Requires="wpc">
                  <w:drawing>
                    <wp:inline distT="0" distB="0" distL="0" distR="0">
                      <wp:extent cx="4953635" cy="4342765"/>
                      <wp:effectExtent l="0" t="0" r="0" b="635"/>
                      <wp:docPr id="45" name="画布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矩形 5"/>
                              <wps:cNvSpPr/>
                              <wps:spPr>
                                <a:xfrm>
                                  <a:off x="1024628" y="2517313"/>
                                  <a:ext cx="858740" cy="438047"/>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CB82B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钢化玻璃或玻璃原片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直接箭头连接符 26"/>
                              <wps:cNvCnPr>
                                <a:stCxn id="54" idx="2"/>
                              </wps:cNvCnPr>
                              <wps:spPr>
                                <a:xfrm flipH="1">
                                  <a:off x="2491290" y="324046"/>
                                  <a:ext cx="1010" cy="21154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矩形 27"/>
                              <wps:cNvSpPr/>
                              <wps:spPr>
                                <a:xfrm>
                                  <a:off x="2257981" y="2018512"/>
                                  <a:ext cx="511175" cy="2540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707A3">
                                    <w:pPr>
                                      <w:pStyle w:val="33"/>
                                      <w:spacing w:line="240" w:lineRule="auto"/>
                                      <w:rPr>
                                        <w:b w:val="0"/>
                                      </w:rPr>
                                    </w:pPr>
                                    <w:r>
                                      <w:rPr>
                                        <w:rFonts w:hint="eastAsia" w:ascii="Times New Roman"/>
                                        <w:b w:val="0"/>
                                        <w:color w:val="000000"/>
                                        <w:kern w:val="2"/>
                                        <w:sz w:val="21"/>
                                        <w:szCs w:val="21"/>
                                      </w:rPr>
                                      <w:t>涂胶</w:t>
                                    </w:r>
                                  </w:p>
                                </w:txbxContent>
                              </wps:txbx>
                              <wps:bodyPr rot="0" spcFirstLastPara="0" vert="horz" wrap="square" lIns="91440" tIns="45720" rIns="91440" bIns="45720" numCol="1" spcCol="0" rtlCol="0" fromWordArt="0" anchor="ctr" anchorCtr="0" forceAA="0" compatLnSpc="1">
                                <a:noAutofit/>
                              </wps:bodyPr>
                            </wps:wsp>
                            <wps:wsp>
                              <wps:cNvPr id="28" name="矩形 28"/>
                              <wps:cNvSpPr/>
                              <wps:spPr>
                                <a:xfrm>
                                  <a:off x="2258944" y="2594581"/>
                                  <a:ext cx="511175" cy="2540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EAA51">
                                    <w:pPr>
                                      <w:pStyle w:val="33"/>
                                      <w:spacing w:line="240" w:lineRule="auto"/>
                                      <w:rPr>
                                        <w:b w:val="0"/>
                                      </w:rPr>
                                    </w:pPr>
                                    <w:r>
                                      <w:rPr>
                                        <w:rFonts w:hint="eastAsia" w:ascii="Times New Roman"/>
                                        <w:b w:val="0"/>
                                        <w:color w:val="000000"/>
                                        <w:kern w:val="2"/>
                                        <w:sz w:val="21"/>
                                        <w:szCs w:val="21"/>
                                      </w:rPr>
                                      <w:t>固定</w:t>
                                    </w:r>
                                  </w:p>
                                </w:txbxContent>
                              </wps:txbx>
                              <wps:bodyPr rot="0" spcFirstLastPara="0" vert="horz" wrap="square" lIns="91440" tIns="45720" rIns="91440" bIns="45720" numCol="1" spcCol="0" rtlCol="0" fromWordArt="0" anchor="ctr" anchorCtr="0" forceAA="0" compatLnSpc="1">
                                <a:noAutofit/>
                              </wps:bodyPr>
                            </wps:wsp>
                            <wps:wsp>
                              <wps:cNvPr id="29" name="直接箭头连接符 29"/>
                              <wps:cNvCnPr>
                                <a:stCxn id="56" idx="2"/>
                              </wps:cNvCnPr>
                              <wps:spPr>
                                <a:xfrm flipH="1">
                                  <a:off x="2510723" y="1261743"/>
                                  <a:ext cx="254" cy="205328"/>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a:endCxn id="27" idx="1"/>
                              </wps:cNvCnPr>
                              <wps:spPr>
                                <a:xfrm>
                                  <a:off x="1883391" y="2145433"/>
                                  <a:ext cx="374590" cy="7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矩形 31"/>
                              <wps:cNvSpPr/>
                              <wps:spPr>
                                <a:xfrm>
                                  <a:off x="2258327" y="3504127"/>
                                  <a:ext cx="511175" cy="2540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44CDA">
                                    <w:pPr>
                                      <w:pStyle w:val="33"/>
                                      <w:spacing w:line="240" w:lineRule="auto"/>
                                      <w:rPr>
                                        <w:b w:val="0"/>
                                      </w:rPr>
                                    </w:pPr>
                                    <w:r>
                                      <w:rPr>
                                        <w:rFonts w:hint="eastAsia" w:ascii="Times New Roman"/>
                                        <w:b w:val="0"/>
                                        <w:color w:val="000000"/>
                                        <w:kern w:val="2"/>
                                        <w:sz w:val="21"/>
                                        <w:szCs w:val="21"/>
                                      </w:rPr>
                                      <w:t>封胶</w:t>
                                    </w:r>
                                  </w:p>
                                </w:txbxContent>
                              </wps:txbx>
                              <wps:bodyPr rot="0" spcFirstLastPara="0" vert="horz" wrap="square" lIns="91440" tIns="45720" rIns="91440" bIns="45720" numCol="1" spcCol="0" rtlCol="0" fromWordArt="0" anchor="ctr" anchorCtr="0" forceAA="0" compatLnSpc="1">
                                <a:noAutofit/>
                              </wps:bodyPr>
                            </wps:wsp>
                            <wps:wsp>
                              <wps:cNvPr id="32" name="矩形 32"/>
                              <wps:cNvSpPr/>
                              <wps:spPr>
                                <a:xfrm>
                                  <a:off x="2252117" y="4087859"/>
                                  <a:ext cx="535671" cy="254000"/>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F8441">
                                    <w:pPr>
                                      <w:pStyle w:val="33"/>
                                      <w:spacing w:line="240" w:lineRule="auto"/>
                                      <w:rPr>
                                        <w:b w:val="0"/>
                                      </w:rPr>
                                    </w:pPr>
                                    <w:r>
                                      <w:rPr>
                                        <w:rFonts w:hint="eastAsia" w:ascii="Times New Roman"/>
                                        <w:b w:val="0"/>
                                        <w:color w:val="000000"/>
                                        <w:kern w:val="2"/>
                                        <w:sz w:val="21"/>
                                        <w:szCs w:val="21"/>
                                      </w:rPr>
                                      <w:t>成品</w:t>
                                    </w:r>
                                  </w:p>
                                </w:txbxContent>
                              </wps:txbx>
                              <wps:bodyPr rot="0" spcFirstLastPara="0" vert="horz" wrap="square" lIns="91440" tIns="45720" rIns="91440" bIns="45720" numCol="1" spcCol="0" rtlCol="0" fromWordArt="0" anchor="ctr" anchorCtr="0" forceAA="0" compatLnSpc="1">
                                <a:noAutofit/>
                              </wps:bodyPr>
                            </wps:wsp>
                            <wps:wsp>
                              <wps:cNvPr id="33" name="直接箭头连接符 33"/>
                              <wps:cNvCnPr>
                                <a:stCxn id="55" idx="2"/>
                                <a:endCxn id="56" idx="0"/>
                              </wps:cNvCnPr>
                              <wps:spPr>
                                <a:xfrm>
                                  <a:off x="2509814" y="788937"/>
                                  <a:ext cx="1163" cy="22007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矩形 39"/>
                              <wps:cNvSpPr/>
                              <wps:spPr>
                                <a:xfrm>
                                  <a:off x="3179008" y="2012336"/>
                                  <a:ext cx="1272167" cy="25336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7894D">
                                    <w:pPr>
                                      <w:pStyle w:val="33"/>
                                      <w:spacing w:line="240" w:lineRule="auto"/>
                                      <w:rPr>
                                        <w:b w:val="0"/>
                                      </w:rPr>
                                    </w:pPr>
                                    <w:r>
                                      <w:rPr>
                                        <w:rFonts w:hint="eastAsia" w:ascii="Times New Roman"/>
                                        <w:b w:val="0"/>
                                        <w:color w:val="000000"/>
                                        <w:kern w:val="2"/>
                                        <w:sz w:val="21"/>
                                        <w:szCs w:val="21"/>
                                      </w:rPr>
                                      <w:t>废气、噪声、固废</w:t>
                                    </w:r>
                                  </w:p>
                                </w:txbxContent>
                              </wps:txbx>
                              <wps:bodyPr rot="0" spcFirstLastPara="0" vert="horz" wrap="square" lIns="91440" tIns="45720" rIns="91440" bIns="45720" numCol="1" spcCol="0" rtlCol="0" fromWordArt="0" anchor="ctr" anchorCtr="0" forceAA="0" compatLnSpc="1">
                                <a:noAutofit/>
                              </wps:bodyPr>
                            </wps:wsp>
                            <wps:wsp>
                              <wps:cNvPr id="46" name="直接箭头连接符 46"/>
                              <wps:cNvCnPr/>
                              <wps:spPr>
                                <a:xfrm flipV="1">
                                  <a:off x="1624009" y="3246419"/>
                                  <a:ext cx="0" cy="276225"/>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4" name="矩形 54"/>
                              <wps:cNvSpPr/>
                              <wps:spPr>
                                <a:xfrm>
                                  <a:off x="2063040" y="33959"/>
                                  <a:ext cx="858520" cy="290087"/>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17828">
                                    <w:pPr>
                                      <w:pStyle w:val="33"/>
                                      <w:spacing w:line="240" w:lineRule="auto"/>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铝隔条</w:t>
                                    </w:r>
                                  </w:p>
                                </w:txbxContent>
                              </wps:txbx>
                              <wps:bodyPr rot="0" spcFirstLastPara="0" vert="horz" wrap="square" lIns="91440" tIns="45720" rIns="91440" bIns="45720" numCol="1" spcCol="0" rtlCol="0" fromWordArt="0" anchor="ctr" anchorCtr="0" forceAA="0" compatLnSpc="1">
                                <a:noAutofit/>
                              </wps:bodyPr>
                            </wps:wsp>
                            <wps:wsp>
                              <wps:cNvPr id="55" name="矩形 55"/>
                              <wps:cNvSpPr/>
                              <wps:spPr>
                                <a:xfrm>
                                  <a:off x="2254544" y="535572"/>
                                  <a:ext cx="510540" cy="25336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42823">
                                    <w:pPr>
                                      <w:pStyle w:val="33"/>
                                      <w:spacing w:line="240" w:lineRule="auto"/>
                                      <w:rPr>
                                        <w:b w:val="0"/>
                                      </w:rPr>
                                    </w:pPr>
                                    <w:r>
                                      <w:rPr>
                                        <w:rFonts w:hint="eastAsia" w:ascii="Times New Roman"/>
                                        <w:b w:val="0"/>
                                        <w:color w:val="000000"/>
                                        <w:kern w:val="2"/>
                                        <w:sz w:val="21"/>
                                        <w:szCs w:val="21"/>
                                      </w:rPr>
                                      <w:t>折弯</w:t>
                                    </w:r>
                                  </w:p>
                                </w:txbxContent>
                              </wps:txbx>
                              <wps:bodyPr rot="0" spcFirstLastPara="0" vert="horz" wrap="square" lIns="91440" tIns="45720" rIns="91440" bIns="45720" numCol="1" spcCol="0" rtlCol="0" fromWordArt="0" anchor="ctr" anchorCtr="0" forceAA="0" compatLnSpc="1">
                                <a:noAutofit/>
                              </wps:bodyPr>
                            </wps:wsp>
                            <wps:wsp>
                              <wps:cNvPr id="56" name="矩形 56"/>
                              <wps:cNvSpPr/>
                              <wps:spPr>
                                <a:xfrm>
                                  <a:off x="2256024" y="1009013"/>
                                  <a:ext cx="509905" cy="25273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4B5EB">
                                    <w:pPr>
                                      <w:pStyle w:val="33"/>
                                      <w:spacing w:line="240" w:lineRule="auto"/>
                                      <w:rPr>
                                        <w:b w:val="0"/>
                                      </w:rPr>
                                    </w:pPr>
                                    <w:r>
                                      <w:rPr>
                                        <w:rFonts w:hint="eastAsia" w:ascii="Times New Roman"/>
                                        <w:b w:val="0"/>
                                        <w:color w:val="000000"/>
                                        <w:kern w:val="2"/>
                                        <w:sz w:val="21"/>
                                        <w:szCs w:val="21"/>
                                      </w:rPr>
                                      <w:t>切割</w:t>
                                    </w:r>
                                  </w:p>
                                </w:txbxContent>
                              </wps:txbx>
                              <wps:bodyPr rot="0" spcFirstLastPara="0" vert="horz" wrap="square" lIns="91440" tIns="45720" rIns="91440" bIns="45720" numCol="1" spcCol="0" rtlCol="0" fromWordArt="0" anchor="ctr" anchorCtr="0" forceAA="0" compatLnSpc="1">
                                <a:noAutofit/>
                              </wps:bodyPr>
                            </wps:wsp>
                            <wps:wsp>
                              <wps:cNvPr id="57" name="矩形 57"/>
                              <wps:cNvSpPr/>
                              <wps:spPr>
                                <a:xfrm>
                                  <a:off x="2049399" y="1466913"/>
                                  <a:ext cx="936078" cy="25336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B9FE0">
                                    <w:pPr>
                                      <w:pStyle w:val="33"/>
                                      <w:spacing w:line="240" w:lineRule="auto"/>
                                      <w:rPr>
                                        <w:b w:val="0"/>
                                      </w:rPr>
                                    </w:pPr>
                                    <w:r>
                                      <w:rPr>
                                        <w:rFonts w:hint="eastAsia" w:ascii="Times New Roman"/>
                                        <w:b w:val="0"/>
                                        <w:color w:val="000000"/>
                                        <w:kern w:val="2"/>
                                        <w:sz w:val="21"/>
                                        <w:szCs w:val="21"/>
                                      </w:rPr>
                                      <w:t>灌装干燥剂</w:t>
                                    </w:r>
                                  </w:p>
                                </w:txbxContent>
                              </wps:txbx>
                              <wps:bodyPr rot="0" spcFirstLastPara="0" vert="horz" wrap="square" lIns="91440" tIns="45720" rIns="91440" bIns="45720" numCol="1" spcCol="0" rtlCol="0" fromWordArt="0" anchor="ctr" anchorCtr="0" forceAA="0" compatLnSpc="1">
                                <a:noAutofit/>
                              </wps:bodyPr>
                            </wps:wsp>
                            <wps:wsp>
                              <wps:cNvPr id="58" name="直接箭头连接符 58"/>
                              <wps:cNvCnPr>
                                <a:stCxn id="55" idx="3"/>
                              </wps:cNvCnPr>
                              <wps:spPr>
                                <a:xfrm>
                                  <a:off x="2765084" y="662255"/>
                                  <a:ext cx="408020" cy="440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9" name="直接箭头连接符 59"/>
                              <wps:cNvCnPr/>
                              <wps:spPr>
                                <a:xfrm>
                                  <a:off x="2765666" y="1138667"/>
                                  <a:ext cx="407670" cy="381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0" name="矩形 60"/>
                              <wps:cNvSpPr/>
                              <wps:spPr>
                                <a:xfrm>
                                  <a:off x="3178984" y="552608"/>
                                  <a:ext cx="512736" cy="25273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A072E">
                                    <w:pPr>
                                      <w:pStyle w:val="33"/>
                                      <w:spacing w:line="240" w:lineRule="auto"/>
                                      <w:rPr>
                                        <w:b w:val="0"/>
                                      </w:rPr>
                                    </w:pPr>
                                    <w:r>
                                      <w:rPr>
                                        <w:rFonts w:hint="eastAsia" w:ascii="Times New Roman"/>
                                        <w:b w:val="0"/>
                                        <w:color w:val="000000"/>
                                        <w:kern w:val="2"/>
                                        <w:sz w:val="21"/>
                                        <w:szCs w:val="21"/>
                                      </w:rPr>
                                      <w:t>噪声</w:t>
                                    </w:r>
                                  </w:p>
                                </w:txbxContent>
                              </wps:txbx>
                              <wps:bodyPr rot="0" spcFirstLastPara="0" vert="horz" wrap="square" lIns="91440" tIns="45720" rIns="91440" bIns="45720" numCol="1" spcCol="0" rtlCol="0" fromWordArt="0" anchor="ctr" anchorCtr="0" forceAA="0" compatLnSpc="1">
                                <a:noAutofit/>
                              </wps:bodyPr>
                            </wps:wsp>
                            <wps:wsp>
                              <wps:cNvPr id="61" name="矩形 61"/>
                              <wps:cNvSpPr/>
                              <wps:spPr>
                                <a:xfrm>
                                  <a:off x="3172480" y="1011753"/>
                                  <a:ext cx="799018" cy="2520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0A4B1">
                                    <w:pPr>
                                      <w:pStyle w:val="33"/>
                                      <w:spacing w:line="240" w:lineRule="auto"/>
                                      <w:rPr>
                                        <w:b w:val="0"/>
                                      </w:rPr>
                                    </w:pPr>
                                    <w:r>
                                      <w:rPr>
                                        <w:rFonts w:hint="eastAsia" w:ascii="Times New Roman"/>
                                        <w:b w:val="0"/>
                                        <w:color w:val="000000"/>
                                        <w:kern w:val="2"/>
                                        <w:sz w:val="21"/>
                                        <w:szCs w:val="21"/>
                                      </w:rPr>
                                      <w:t>噪声、固废</w:t>
                                    </w:r>
                                  </w:p>
                                </w:txbxContent>
                              </wps:txbx>
                              <wps:bodyPr rot="0" spcFirstLastPara="0" vert="horz" wrap="square" lIns="91440" tIns="45720" rIns="91440" bIns="45720" numCol="1" spcCol="0" rtlCol="0" fromWordArt="0" anchor="ctr" anchorCtr="0" forceAA="0" compatLnSpc="1">
                                <a:noAutofit/>
                              </wps:bodyPr>
                            </wps:wsp>
                            <wps:wsp>
                              <wps:cNvPr id="63" name="直接箭头连接符 63"/>
                              <wps:cNvCnPr/>
                              <wps:spPr>
                                <a:xfrm>
                                  <a:off x="2985192" y="1595867"/>
                                  <a:ext cx="407035" cy="381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4" name="矩形 64"/>
                              <wps:cNvSpPr/>
                              <wps:spPr>
                                <a:xfrm>
                                  <a:off x="3391902" y="1477133"/>
                                  <a:ext cx="512445" cy="2520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1F3FA">
                                    <w:pPr>
                                      <w:pStyle w:val="33"/>
                                      <w:spacing w:line="240" w:lineRule="auto"/>
                                      <w:rPr>
                                        <w:b w:val="0"/>
                                      </w:rPr>
                                    </w:pPr>
                                    <w:r>
                                      <w:rPr>
                                        <w:rFonts w:hint="eastAsia" w:ascii="Times New Roman"/>
                                        <w:b w:val="0"/>
                                        <w:color w:val="000000"/>
                                        <w:kern w:val="2"/>
                                        <w:sz w:val="21"/>
                                        <w:szCs w:val="21"/>
                                      </w:rPr>
                                      <w:t>噪声</w:t>
                                    </w:r>
                                  </w:p>
                                </w:txbxContent>
                              </wps:txbx>
                              <wps:bodyPr rot="0" spcFirstLastPara="0" vert="horz" wrap="square" lIns="91440" tIns="45720" rIns="91440" bIns="45720" numCol="1" spcCol="0" rtlCol="0" fromWordArt="0" anchor="ctr" anchorCtr="0" forceAA="0" compatLnSpc="1">
                                <a:noAutofit/>
                              </wps:bodyPr>
                            </wps:wsp>
                            <wps:wsp>
                              <wps:cNvPr id="65" name="直接箭头连接符 65"/>
                              <wps:cNvCnPr>
                                <a:stCxn id="57" idx="2"/>
                                <a:endCxn id="27" idx="0"/>
                              </wps:cNvCnPr>
                              <wps:spPr>
                                <a:xfrm flipH="1">
                                  <a:off x="2513569" y="1720278"/>
                                  <a:ext cx="3869" cy="298234"/>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矩形 66"/>
                              <wps:cNvSpPr/>
                              <wps:spPr>
                                <a:xfrm>
                                  <a:off x="1229791" y="1976049"/>
                                  <a:ext cx="653545" cy="30653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E4B33">
                                    <w:pPr>
                                      <w:pStyle w:val="33"/>
                                      <w:spacing w:line="240" w:lineRule="auto"/>
                                      <w:rPr>
                                        <w:b w:val="0"/>
                                      </w:rPr>
                                    </w:pPr>
                                    <w:r>
                                      <w:rPr>
                                        <w:rFonts w:hint="eastAsia"/>
                                        <w:b w:val="0"/>
                                        <w:color w:val="000000"/>
                                        <w:sz w:val="21"/>
                                        <w:szCs w:val="21"/>
                                      </w:rPr>
                                      <w:t>丁基胶</w:t>
                                    </w:r>
                                  </w:p>
                                </w:txbxContent>
                              </wps:txbx>
                              <wps:bodyPr rot="0" spcFirstLastPara="0" vert="horz" wrap="square" lIns="91440" tIns="45720" rIns="91440" bIns="45720" numCol="1" spcCol="0" rtlCol="0" fromWordArt="0" anchor="ctr" anchorCtr="0" forceAA="0" compatLnSpc="1">
                                <a:noAutofit/>
                              </wps:bodyPr>
                            </wps:wsp>
                            <wps:wsp>
                              <wps:cNvPr id="67" name="直接箭头连接符 67"/>
                              <wps:cNvCnPr/>
                              <wps:spPr>
                                <a:xfrm>
                                  <a:off x="2764822" y="2137488"/>
                                  <a:ext cx="406400" cy="381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8" name="矩形 68"/>
                              <wps:cNvSpPr/>
                              <wps:spPr>
                                <a:xfrm>
                                  <a:off x="3185827" y="2603930"/>
                                  <a:ext cx="860334" cy="25273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75AED5">
                                    <w:pPr>
                                      <w:pStyle w:val="33"/>
                                      <w:spacing w:line="240" w:lineRule="auto"/>
                                      <w:rPr>
                                        <w:b w:val="0"/>
                                      </w:rPr>
                                    </w:pPr>
                                    <w:r>
                                      <w:rPr>
                                        <w:rFonts w:hint="eastAsia" w:ascii="Times New Roman"/>
                                        <w:b w:val="0"/>
                                        <w:color w:val="000000"/>
                                        <w:kern w:val="2"/>
                                        <w:sz w:val="21"/>
                                        <w:szCs w:val="21"/>
                                      </w:rPr>
                                      <w:t>废气、噪声</w:t>
                                    </w:r>
                                  </w:p>
                                </w:txbxContent>
                              </wps:txbx>
                              <wps:bodyPr rot="0" spcFirstLastPara="0" vert="horz" wrap="square" lIns="91440" tIns="45720" rIns="91440" bIns="45720" numCol="1" spcCol="0" rtlCol="0" fromWordArt="0" anchor="ctr" anchorCtr="0" forceAA="0" compatLnSpc="1">
                                <a:noAutofit/>
                              </wps:bodyPr>
                            </wps:wsp>
                            <wps:wsp>
                              <wps:cNvPr id="69" name="直接箭头连接符 69"/>
                              <wps:cNvCnPr>
                                <a:stCxn id="27" idx="2"/>
                                <a:endCxn id="28" idx="0"/>
                              </wps:cNvCnPr>
                              <wps:spPr>
                                <a:xfrm>
                                  <a:off x="2513569" y="2272512"/>
                                  <a:ext cx="963" cy="32206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直接箭头连接符 70"/>
                              <wps:cNvCnPr>
                                <a:stCxn id="28" idx="2"/>
                                <a:endCxn id="31" idx="0"/>
                              </wps:cNvCnPr>
                              <wps:spPr>
                                <a:xfrm flipH="1">
                                  <a:off x="2513915" y="2848581"/>
                                  <a:ext cx="617" cy="65554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直接箭头连接符 71"/>
                              <wps:cNvCnPr/>
                              <wps:spPr>
                                <a:xfrm>
                                  <a:off x="1880284" y="2730049"/>
                                  <a:ext cx="37401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矩形 72"/>
                              <wps:cNvSpPr/>
                              <wps:spPr>
                                <a:xfrm>
                                  <a:off x="150125" y="3422674"/>
                                  <a:ext cx="811518" cy="435756"/>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51D52">
                                    <w:pPr>
                                      <w:pStyle w:val="33"/>
                                      <w:spacing w:line="240" w:lineRule="auto"/>
                                      <w:rPr>
                                        <w:rFonts w:ascii="Times New Roman" w:hAnsi="Times New Roman"/>
                                        <w:b w:val="0"/>
                                      </w:rPr>
                                    </w:pPr>
                                    <w:r>
                                      <w:rPr>
                                        <w:rFonts w:ascii="Times New Roman" w:hAnsi="Times New Roman"/>
                                        <w:b w:val="0"/>
                                        <w:color w:val="000000"/>
                                        <w:sz w:val="21"/>
                                        <w:szCs w:val="21"/>
                                      </w:rPr>
                                      <w:t>硅酮胶A、硅酮胶B</w:t>
                                    </w:r>
                                  </w:p>
                                </w:txbxContent>
                              </wps:txbx>
                              <wps:bodyPr rot="0" spcFirstLastPara="0" vert="horz" wrap="square" lIns="91440" tIns="45720" rIns="91440" bIns="45720" numCol="1" spcCol="0" rtlCol="0" fromWordArt="0" anchor="ctr" anchorCtr="0" forceAA="0" compatLnSpc="1">
                                <a:noAutofit/>
                              </wps:bodyPr>
                            </wps:wsp>
                            <wps:wsp>
                              <wps:cNvPr id="73" name="矩形 73"/>
                              <wps:cNvSpPr/>
                              <wps:spPr>
                                <a:xfrm>
                                  <a:off x="1372986" y="3514921"/>
                                  <a:ext cx="510540" cy="25336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C1ED4">
                                    <w:pPr>
                                      <w:pStyle w:val="33"/>
                                      <w:spacing w:line="240" w:lineRule="auto"/>
                                      <w:rPr>
                                        <w:b w:val="0"/>
                                      </w:rPr>
                                    </w:pPr>
                                    <w:r>
                                      <w:rPr>
                                        <w:rFonts w:hint="eastAsia" w:ascii="Times New Roman"/>
                                        <w:b w:val="0"/>
                                        <w:color w:val="000000"/>
                                        <w:kern w:val="2"/>
                                        <w:sz w:val="21"/>
                                        <w:szCs w:val="21"/>
                                      </w:rPr>
                                      <w:t>搅拌</w:t>
                                    </w:r>
                                  </w:p>
                                </w:txbxContent>
                              </wps:txbx>
                              <wps:bodyPr rot="0" spcFirstLastPara="0" vert="horz" wrap="square" lIns="91440" tIns="45720" rIns="91440" bIns="45720" numCol="1" spcCol="0" rtlCol="0" fromWordArt="0" anchor="ctr" anchorCtr="0" forceAA="0" compatLnSpc="1">
                                <a:noAutofit/>
                              </wps:bodyPr>
                            </wps:wsp>
                            <wps:wsp>
                              <wps:cNvPr id="74" name="直接箭头连接符 74"/>
                              <wps:cNvCnPr/>
                              <wps:spPr>
                                <a:xfrm>
                                  <a:off x="999721" y="3645475"/>
                                  <a:ext cx="37338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矩形 75"/>
                              <wps:cNvSpPr/>
                              <wps:spPr>
                                <a:xfrm>
                                  <a:off x="1333000" y="3016460"/>
                                  <a:ext cx="598108" cy="2520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17FE9">
                                    <w:pPr>
                                      <w:pStyle w:val="33"/>
                                      <w:spacing w:line="240" w:lineRule="auto"/>
                                      <w:rPr>
                                        <w:b w:val="0"/>
                                      </w:rPr>
                                    </w:pPr>
                                    <w:r>
                                      <w:rPr>
                                        <w:rFonts w:hint="eastAsia" w:ascii="Times New Roman"/>
                                        <w:b w:val="0"/>
                                        <w:color w:val="000000"/>
                                        <w:kern w:val="2"/>
                                        <w:sz w:val="21"/>
                                        <w:szCs w:val="21"/>
                                      </w:rPr>
                                      <w:t>废气</w:t>
                                    </w:r>
                                  </w:p>
                                </w:txbxContent>
                              </wps:txbx>
                              <wps:bodyPr rot="0" spcFirstLastPara="0" vert="horz" wrap="square" lIns="91440" tIns="45720" rIns="91440" bIns="45720" numCol="1" spcCol="0" rtlCol="0" fromWordArt="0" anchor="ctr" anchorCtr="0" forceAA="0" compatLnSpc="1">
                                <a:noAutofit/>
                              </wps:bodyPr>
                            </wps:wsp>
                            <wps:wsp>
                              <wps:cNvPr id="76" name="直接箭头连接符 76"/>
                              <wps:cNvCnPr/>
                              <wps:spPr>
                                <a:xfrm>
                                  <a:off x="1882662" y="3630711"/>
                                  <a:ext cx="37338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直接箭头连接符 78"/>
                              <wps:cNvCnPr/>
                              <wps:spPr>
                                <a:xfrm>
                                  <a:off x="2766453" y="2728663"/>
                                  <a:ext cx="405765" cy="381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9" name="直接箭头连接符 79"/>
                              <wps:cNvCnPr/>
                              <wps:spPr>
                                <a:xfrm>
                                  <a:off x="2764560" y="3641023"/>
                                  <a:ext cx="405765" cy="381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0" name="矩形 80"/>
                              <wps:cNvSpPr/>
                              <wps:spPr>
                                <a:xfrm>
                                  <a:off x="3169380" y="3514334"/>
                                  <a:ext cx="1281344" cy="2520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23038">
                                    <w:pPr>
                                      <w:pStyle w:val="33"/>
                                      <w:spacing w:line="240" w:lineRule="auto"/>
                                      <w:rPr>
                                        <w:b w:val="0"/>
                                      </w:rPr>
                                    </w:pPr>
                                    <w:r>
                                      <w:rPr>
                                        <w:rFonts w:hint="eastAsia" w:ascii="Times New Roman"/>
                                        <w:b w:val="0"/>
                                        <w:color w:val="000000"/>
                                        <w:kern w:val="2"/>
                                        <w:sz w:val="21"/>
                                        <w:szCs w:val="21"/>
                                      </w:rPr>
                                      <w:t>废气、噪声、固废</w:t>
                                    </w:r>
                                  </w:p>
                                </w:txbxContent>
                              </wps:txbx>
                              <wps:bodyPr rot="0" spcFirstLastPara="0" vert="horz" wrap="square" lIns="91440" tIns="45720" rIns="91440" bIns="45720" numCol="1" spcCol="0" rtlCol="0" fromWordArt="0" anchor="ctr" anchorCtr="0" forceAA="0" compatLnSpc="1">
                                <a:noAutofit/>
                              </wps:bodyPr>
                            </wps:wsp>
                            <wps:wsp>
                              <wps:cNvPr id="81" name="直接箭头连接符 81"/>
                              <wps:cNvCnPr/>
                              <wps:spPr>
                                <a:xfrm>
                                  <a:off x="2517201" y="3757924"/>
                                  <a:ext cx="635" cy="32194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341.95pt;width:390.05pt;" coordsize="4953635,4342765" editas="canvas" o:gfxdata="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">
                      <o:lock v:ext="edit" aspectratio="f"/>
                      <v:shape id="_x0000_s1026" o:spid="_x0000_s1026" style="position:absolute;left:0;top:0;height:4342765;width:4953635;" filled="f" stroked="f" coordsize="21600,21600" o:gfxdata="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">
                        <v:fill on="f" focussize="0,0"/>
                        <v:stroke on="f"/>
                        <v:imagedata o:title=""/>
                        <o:lock v:ext="edit" aspectratio="t"/>
                      </v:shape>
                      <v:rect id="_x0000_s1026" o:spid="_x0000_s1026" o:spt="1" style="position:absolute;left:1024628;top:2517313;height:438047;width:858740;v-text-anchor:middle;" filled="f" stroked="f" coordsize="21600,21600" o:gfxdata="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Cm&#10;Dl/XAAAABQEAAA8AAAAAAAAAAQAgAAAAIgAAAGRycy9kb3ducmV2LnhtbFBLAQIUABQAAAAIAIdO&#10;4kALza4rXQIAAKAEAAAOAAAAAAAAAAEAIAAAACYBAABkcnMvZTJvRG9jLnhtbFBLBQYAAAAABgAG&#10;AFkBAAD1BQAAAAA=&#10;">
                        <v:fill on="f" focussize="0,0"/>
                        <v:stroke on="f" weight="0.5pt"/>
                        <v:imagedata o:title=""/>
                        <o:lock v:ext="edit" aspectratio="f"/>
                        <v:textbox>
                          <w:txbxContent>
                            <w:p w14:paraId="42CB82B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钢化玻璃或玻璃原片</w:t>
                              </w:r>
                            </w:p>
                          </w:txbxContent>
                        </v:textbox>
                      </v:rect>
                      <v:shape id="_x0000_s1026" o:spid="_x0000_s1026" o:spt="32" type="#_x0000_t32" style="position:absolute;left:2491290;top:324046;flip:x;height:211540;width:1010;" filled="f" stroked="t" coordsize="21600,21600" o:gfxdata="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KCBNdYA&#10;AAAFAQAADwAAAAAAAAABACAAAAAiAAAAZHJzL2Rvd25yZXYueG1sUEsBAhQAFAAAAAgAh07iQO6Q&#10;S7MhAgAACgQAAA4AAAAAAAAAAQAgAAAAJQEAAGRycy9lMm9Eb2MueG1sUEsFBgAAAAAGAAYAWQEA&#10;ALgFAAAAAA==&#10;">
                        <v:fill on="f" focussize="0,0"/>
                        <v:stroke color="#000000 [3213]" joinstyle="round" endarrow="block"/>
                        <v:imagedata o:title=""/>
                        <o:lock v:ext="edit" aspectratio="f"/>
                      </v:shape>
                      <v:rect id="_x0000_s1026" o:spid="_x0000_s1026" o:spt="1" style="position:absolute;left:2257981;top:2018512;height:254000;width:511175;v-text-anchor:middle;" fillcolor="#FFFFFF [3212]" filled="t" stroked="t" coordsize="21600,21600" o:gfxdata="UEsDBAoAAAAAAIdO4kAAAAAAAAAAAAAAAAAEAAAAZHJzL1BLAwQUAAAACACHTuJA8e8jsd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HvI7HWAAAABQEAAA8AAAAAAAAAAQAgAAAAIgAAAGRycy9kb3ducmV2LnhtbFBLAQIU&#10;ABQAAAAIAIdO4kAlhvQBZwIAAMQEAAAOAAAAAAAAAAEAIAAAACUBAABkcnMvZTJvRG9jLnhtbFBL&#10;BQYAAAAABgAGAFkBAAD+BQAAAAA=&#10;">
                        <v:fill on="t" focussize="0,0"/>
                        <v:stroke weight="0.5pt" color="#000000 [3213]" joinstyle="round"/>
                        <v:imagedata o:title=""/>
                        <o:lock v:ext="edit" aspectratio="f"/>
                        <v:textbox>
                          <w:txbxContent>
                            <w:p w14:paraId="360707A3">
                              <w:pPr>
                                <w:pStyle w:val="33"/>
                                <w:spacing w:line="240" w:lineRule="auto"/>
                                <w:rPr>
                                  <w:b w:val="0"/>
                                </w:rPr>
                              </w:pPr>
                              <w:r>
                                <w:rPr>
                                  <w:rFonts w:hint="eastAsia" w:ascii="Times New Roman"/>
                                  <w:b w:val="0"/>
                                  <w:color w:val="000000"/>
                                  <w:kern w:val="2"/>
                                  <w:sz w:val="21"/>
                                  <w:szCs w:val="21"/>
                                </w:rPr>
                                <w:t>涂胶</w:t>
                              </w:r>
                            </w:p>
                          </w:txbxContent>
                        </v:textbox>
                      </v:rect>
                      <v:rect id="_x0000_s1026" o:spid="_x0000_s1026" o:spt="1" style="position:absolute;left:2258944;top:2594581;height:254000;width:511175;v-text-anchor:middle;" fillcolor="#FFFFFF [3212]" filled="t" stroked="t" coordsize="21600,21600" o:gfxdata="UEsDBAoAAAAAAIdO4kAAAAAAAAAAAAAAAAAEAAAAZHJzL1BLAwQUAAAACACHTuJA8e8jsd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HvI7HWAAAABQEAAA8AAAAAAAAAAQAgAAAAIgAAAGRycy9kb3ducmV2LnhtbFBLAQIU&#10;ABQAAAAIAIdO4kAQUYFWZwIAAMQEAAAOAAAAAAAAAAEAIAAAACUBAABkcnMvZTJvRG9jLnhtbFBL&#10;BQYAAAAABgAGAFkBAAD+BQAAAAA=&#10;">
                        <v:fill on="t" focussize="0,0"/>
                        <v:stroke weight="0.5pt" color="#000000 [3213]" joinstyle="round"/>
                        <v:imagedata o:title=""/>
                        <o:lock v:ext="edit" aspectratio="f"/>
                        <v:textbox>
                          <w:txbxContent>
                            <w:p w14:paraId="488EAA51">
                              <w:pPr>
                                <w:pStyle w:val="33"/>
                                <w:spacing w:line="240" w:lineRule="auto"/>
                                <w:rPr>
                                  <w:b w:val="0"/>
                                </w:rPr>
                              </w:pPr>
                              <w:r>
                                <w:rPr>
                                  <w:rFonts w:hint="eastAsia" w:ascii="Times New Roman"/>
                                  <w:b w:val="0"/>
                                  <w:color w:val="000000"/>
                                  <w:kern w:val="2"/>
                                  <w:sz w:val="21"/>
                                  <w:szCs w:val="21"/>
                                </w:rPr>
                                <w:t>固定</w:t>
                              </w:r>
                            </w:p>
                          </w:txbxContent>
                        </v:textbox>
                      </v:rect>
                      <v:shape id="_x0000_s1026" o:spid="_x0000_s1026" o:spt="32" type="#_x0000_t32" style="position:absolute;left:2510723;top:1261743;flip:x;height:205328;width:254;" filled="f" stroked="t" coordsize="21600,21600" o:gfxdata="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CggTXWAAAA&#10;BQEAAA8AAAAAAAAAAQAgAAAAIgAAAGRycy9kb3ducmV2LnhtbFBLAQIUABQAAAAIAIdO4kBV0a8k&#10;HwIAAAoEAAAOAAAAAAAAAAEAIAAAACUBAABkcnMvZTJvRG9jLnhtbFBLBQYAAAAABgAGAFkBAAC2&#10;BQAAAAA=&#10;">
                        <v:fill on="f" focussize="0,0"/>
                        <v:stroke color="#000000 [3213]" joinstyle="round" endarrow="block"/>
                        <v:imagedata o:title=""/>
                        <o:lock v:ext="edit" aspectratio="f"/>
                      </v:shape>
                      <v:shape id="_x0000_s1026" o:spid="_x0000_s1026" o:spt="32" type="#_x0000_t32" style="position:absolute;left:1883391;top:2145433;height:79;width:374590;" filled="f" stroked="t" coordsize="21600,21600" o:gfxdata="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A8qUvXAAAABQEA&#10;AA8AAAAAAAAAAQAgAAAAIgAAAGRycy9kb3ducmV2LnhtbFBLAQIUABQAAAAIAIdO4kCEeiZZGwIA&#10;AAAEAAAOAAAAAAAAAAEAIAAAACYBAABkcnMvZTJvRG9jLnhtbFBLBQYAAAAABgAGAFkBAACzBQAA&#10;AAA=&#10;">
                        <v:fill on="f" focussize="0,0"/>
                        <v:stroke color="#000000 [3213]" joinstyle="round" endarrow="block"/>
                        <v:imagedata o:title=""/>
                        <o:lock v:ext="edit" aspectratio="f"/>
                      </v:shape>
                      <v:rect id="_x0000_s1026" o:spid="_x0000_s1026" o:spt="1" style="position:absolute;left:2258327;top:3504127;height:254000;width:511175;v-text-anchor:middle;" fillcolor="#FFFFFF [3212]" filled="t" stroked="t" coordsize="21600,21600" o:gfxdata="UEsDBAoAAAAAAIdO4kAAAAAAAAAAAAAAAAAEAAAAZHJzL1BLAwQUAAAACACHTuJA8e8jsd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HvI7HWAAAABQEAAA8AAAAAAAAAAQAgAAAAIgAAAGRycy9kb3ducmV2LnhtbFBLAQIU&#10;ABQAAAAIAIdO4kC2siqUZwIAAMQEAAAOAAAAAAAAAAEAIAAAACUBAABkcnMvZTJvRG9jLnhtbFBL&#10;BQYAAAAABgAGAFkBAAD+BQAAAAA=&#10;">
                        <v:fill on="t" focussize="0,0"/>
                        <v:stroke weight="0.5pt" color="#000000 [3213]" joinstyle="round"/>
                        <v:imagedata o:title=""/>
                        <o:lock v:ext="edit" aspectratio="f"/>
                        <v:textbox>
                          <w:txbxContent>
                            <w:p w14:paraId="55244CDA">
                              <w:pPr>
                                <w:pStyle w:val="33"/>
                                <w:spacing w:line="240" w:lineRule="auto"/>
                                <w:rPr>
                                  <w:b w:val="0"/>
                                </w:rPr>
                              </w:pPr>
                              <w:r>
                                <w:rPr>
                                  <w:rFonts w:hint="eastAsia" w:ascii="Times New Roman"/>
                                  <w:b w:val="0"/>
                                  <w:color w:val="000000"/>
                                  <w:kern w:val="2"/>
                                  <w:sz w:val="21"/>
                                  <w:szCs w:val="21"/>
                                </w:rPr>
                                <w:t>封胶</w:t>
                              </w:r>
                            </w:p>
                          </w:txbxContent>
                        </v:textbox>
                      </v:rect>
                      <v:rect id="_x0000_s1026" o:spid="_x0000_s1026" o:spt="1" style="position:absolute;left:2252117;top:4087859;height:254000;width:535671;v-text-anchor:middle;" fillcolor="#FFFFFF [3212]" filled="t" stroked="f" coordsize="21600,21600" o:gfxdata="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P&#10;o1hW0wAAAAUBAAAPAAAAAAAAAAEAIAAAACIAAABkcnMvZG93bnJldi54bWxQSwECFAAUAAAACACH&#10;TuJAC9motGICAACbBAAADgAAAAAAAAABACAAAAAiAQAAZHJzL2Uyb0RvYy54bWxQSwUGAAAAAAYA&#10;BgBZAQAA9gUAAAAA&#10;">
                        <v:fill on="t" focussize="0,0"/>
                        <v:stroke on="f" weight="0.5pt"/>
                        <v:imagedata o:title=""/>
                        <o:lock v:ext="edit" aspectratio="f"/>
                        <v:textbox>
                          <w:txbxContent>
                            <w:p w14:paraId="065F8441">
                              <w:pPr>
                                <w:pStyle w:val="33"/>
                                <w:spacing w:line="240" w:lineRule="auto"/>
                                <w:rPr>
                                  <w:b w:val="0"/>
                                </w:rPr>
                              </w:pPr>
                              <w:r>
                                <w:rPr>
                                  <w:rFonts w:hint="eastAsia" w:ascii="Times New Roman"/>
                                  <w:b w:val="0"/>
                                  <w:color w:val="000000"/>
                                  <w:kern w:val="2"/>
                                  <w:sz w:val="21"/>
                                  <w:szCs w:val="21"/>
                                </w:rPr>
                                <w:t>成品</w:t>
                              </w:r>
                            </w:p>
                          </w:txbxContent>
                        </v:textbox>
                      </v:rect>
                      <v:shape id="_x0000_s1026" o:spid="_x0000_s1026" o:spt="32" type="#_x0000_t32" style="position:absolute;left:2509814;top:788937;height:220076;width:1163;" filled="f" stroked="t" coordsize="21600,21600" o:gfxdata="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A8qUvX&#10;AAAABQEAAA8AAAAAAAAAAQAgAAAAIgAAAGRycy9kb3ducmV2LnhtbFBLAQIUABQAAAAIAIdO4kAI&#10;W4XYIQIAABsEAAAOAAAAAAAAAAEAIAAAACYBAABkcnMvZTJvRG9jLnhtbFBLBQYAAAAABgAGAFkB&#10;AAC5BQAAAAA=&#10;">
                        <v:fill on="f" focussize="0,0"/>
                        <v:stroke color="#000000 [3213]" joinstyle="round" endarrow="block"/>
                        <v:imagedata o:title=""/>
                        <o:lock v:ext="edit" aspectratio="f"/>
                      </v:shape>
                      <v:rect id="_x0000_s1026" o:spid="_x0000_s1026" o:spt="1" style="position:absolute;left:3179008;top:2012336;height:253365;width:1272167;v-text-anchor:middle;" filled="f" stroked="f" coordsize="21600,21600" o:gfxdata="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KYOX9cAAAAFAQAADwAAAAAA&#10;AAABACAAAAAiAAAAZHJzL2Rvd25yZXYueG1sUEsBAhQAFAAAAAgAh07iQNR/5fBNAgAAcwQAAA4A&#10;AAAAAAAAAQAgAAAAJgEAAGRycy9lMm9Eb2MueG1sUEsFBgAAAAAGAAYAWQEAAOUFAAAAAA==&#10;">
                        <v:fill on="f" focussize="0,0"/>
                        <v:stroke on="f" weight="0.5pt"/>
                        <v:imagedata o:title=""/>
                        <o:lock v:ext="edit" aspectratio="f"/>
                        <v:textbox>
                          <w:txbxContent>
                            <w:p w14:paraId="1017894D">
                              <w:pPr>
                                <w:pStyle w:val="33"/>
                                <w:spacing w:line="240" w:lineRule="auto"/>
                                <w:rPr>
                                  <w:b w:val="0"/>
                                </w:rPr>
                              </w:pPr>
                              <w:r>
                                <w:rPr>
                                  <w:rFonts w:hint="eastAsia" w:ascii="Times New Roman"/>
                                  <w:b w:val="0"/>
                                  <w:color w:val="000000"/>
                                  <w:kern w:val="2"/>
                                  <w:sz w:val="21"/>
                                  <w:szCs w:val="21"/>
                                </w:rPr>
                                <w:t>废气、噪声、固废</w:t>
                              </w:r>
                            </w:p>
                          </w:txbxContent>
                        </v:textbox>
                      </v:rect>
                      <v:shape id="_x0000_s1026" o:spid="_x0000_s1026" o:spt="32" type="#_x0000_t32" style="position:absolute;left:1624009;top:3246419;flip:y;height:276225;width:0;" filled="f" stroked="t" coordsize="21600,21600" o:gfxdata="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7dcrS0gAAAAUBAAAPAAAAAAAAAAEAIAAAACIA&#10;AABkcnMvZG93bnJldi54bWxQSwECFAAUAAAACACHTuJA/CJBvA8CAADgAwAADgAAAAAAAAABACAA&#10;AAAhAQAAZHJzL2Uyb0RvYy54bWxQSwUGAAAAAAYABgBZAQAAogUAAAAA&#10;">
                        <v:fill on="f" focussize="0,0"/>
                        <v:stroke color="#000000 [3213]" joinstyle="round" dashstyle="dash" endarrow="block"/>
                        <v:imagedata o:title=""/>
                        <o:lock v:ext="edit" aspectratio="f"/>
                      </v:shape>
                      <v:rect id="_x0000_s1026" o:spid="_x0000_s1026" o:spt="1" style="position:absolute;left:2063040;top:33959;height:290087;width:858520;v-text-anchor:middle;" filled="f" stroked="f" coordsize="21600,21600" o:gfxdata="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CmDl/XAAAABQEAAA8AAAAAAAAA&#10;AQAgAAAAIgAAAGRycy9kb3ducmV2LnhtbFBLAQIUABQAAAAIAIdO4kAl+vnySwIAAHAEAAAOAAAA&#10;AAAAAAEAIAAAACYBAABkcnMvZTJvRG9jLnhtbFBLBQYAAAAABgAGAFkBAADjBQAAAAA=&#10;">
                        <v:fill on="f" focussize="0,0"/>
                        <v:stroke on="f" weight="0.5pt"/>
                        <v:imagedata o:title=""/>
                        <o:lock v:ext="edit" aspectratio="f"/>
                        <v:textbox>
                          <w:txbxContent>
                            <w:p w14:paraId="67F17828">
                              <w:pPr>
                                <w:pStyle w:val="33"/>
                                <w:spacing w:line="240" w:lineRule="auto"/>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铝隔条</w:t>
                              </w:r>
                            </w:p>
                          </w:txbxContent>
                        </v:textbox>
                      </v:rect>
                      <v:rect id="_x0000_s1026" o:spid="_x0000_s1026" o:spt="1" style="position:absolute;left:2254544;top:535572;height:253365;width:510540;v-text-anchor:middle;" fillcolor="#FFFFFF [3212]" filled="t" stroked="t" coordsize="21600,21600" o:gfxdata="UEsDBAoAAAAAAIdO4kAAAAAAAAAAAAAAAAAEAAAAZHJzL1BLAwQUAAAACACHTuJA8e8jsd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HvI7HWAAAABQEAAA8AAAAAAAAAAQAgAAAAIgAAAGRycy9kb3ducmV2LnhtbFBLAQIUABQA&#10;AAAIAIdO4kBkRUF9ZAIAAMMEAAAOAAAAAAAAAAEAIAAAACUBAABkcnMvZTJvRG9jLnhtbFBLBQYA&#10;AAAABgAGAFkBAAD7BQAAAAA=&#10;">
                        <v:fill on="t" focussize="0,0"/>
                        <v:stroke weight="0.5pt" color="#000000 [3213]" joinstyle="round"/>
                        <v:imagedata o:title=""/>
                        <o:lock v:ext="edit" aspectratio="f"/>
                        <v:textbox>
                          <w:txbxContent>
                            <w:p w14:paraId="4E342823">
                              <w:pPr>
                                <w:pStyle w:val="33"/>
                                <w:spacing w:line="240" w:lineRule="auto"/>
                                <w:rPr>
                                  <w:b w:val="0"/>
                                </w:rPr>
                              </w:pPr>
                              <w:r>
                                <w:rPr>
                                  <w:rFonts w:hint="eastAsia" w:ascii="Times New Roman"/>
                                  <w:b w:val="0"/>
                                  <w:color w:val="000000"/>
                                  <w:kern w:val="2"/>
                                  <w:sz w:val="21"/>
                                  <w:szCs w:val="21"/>
                                </w:rPr>
                                <w:t>折弯</w:t>
                              </w:r>
                            </w:p>
                          </w:txbxContent>
                        </v:textbox>
                      </v:rect>
                      <v:rect id="_x0000_s1026" o:spid="_x0000_s1026" o:spt="1" style="position:absolute;left:2256024;top:1009013;height:252730;width:509905;v-text-anchor:middle;" fillcolor="#FFFFFF [3212]" filled="t" stroked="t" coordsize="21600,21600" o:gfxdata="UEsDBAoAAAAAAIdO4kAAAAAAAAAAAAAAAAAEAAAAZHJzL1BLAwQUAAAACACHTuJA8e8jsd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e8jsdYAAAAFAQAADwAAAAAAAAABACAAAAAiAAAAZHJzL2Rvd25yZXYueG1sUEsB&#10;AhQAFAAAAAgAh07iQARN+FlpAgAAxAQAAA4AAAAAAAAAAQAgAAAAJQEAAGRycy9lMm9Eb2MueG1s&#10;UEsFBgAAAAAGAAYAWQEAAAAGAAAAAA==&#10;">
                        <v:fill on="t" focussize="0,0"/>
                        <v:stroke weight="0.5pt" color="#000000 [3213]" joinstyle="round"/>
                        <v:imagedata o:title=""/>
                        <o:lock v:ext="edit" aspectratio="f"/>
                        <v:textbox>
                          <w:txbxContent>
                            <w:p w14:paraId="1734B5EB">
                              <w:pPr>
                                <w:pStyle w:val="33"/>
                                <w:spacing w:line="240" w:lineRule="auto"/>
                                <w:rPr>
                                  <w:b w:val="0"/>
                                </w:rPr>
                              </w:pPr>
                              <w:r>
                                <w:rPr>
                                  <w:rFonts w:hint="eastAsia" w:ascii="Times New Roman"/>
                                  <w:b w:val="0"/>
                                  <w:color w:val="000000"/>
                                  <w:kern w:val="2"/>
                                  <w:sz w:val="21"/>
                                  <w:szCs w:val="21"/>
                                </w:rPr>
                                <w:t>切割</w:t>
                              </w:r>
                            </w:p>
                          </w:txbxContent>
                        </v:textbox>
                      </v:rect>
                      <v:rect id="_x0000_s1026" o:spid="_x0000_s1026" o:spt="1" style="position:absolute;left:2049399;top:1466913;height:253365;width:936078;v-text-anchor:middle;" fillcolor="#FFFFFF [3212]" filled="t" stroked="t" coordsize="21600,21600" o:gfxdata="UEsDBAoAAAAAAIdO4kAAAAAAAAAAAAAAAAAEAAAAZHJzL1BLAwQUAAAACACHTuJA8e8jsd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e8jsdYAAAAFAQAADwAAAAAAAAABACAAAAAiAAAAZHJzL2Rvd25yZXYueG1sUEsBAhQA&#10;FAAAAAgAh07iQNzO4zdmAgAAxAQAAA4AAAAAAAAAAQAgAAAAJQEAAGRycy9lMm9Eb2MueG1sUEsF&#10;BgAAAAAGAAYAWQEAAP0FAAAAAA==&#10;">
                        <v:fill on="t" focussize="0,0"/>
                        <v:stroke weight="0.5pt" color="#000000 [3213]" joinstyle="round"/>
                        <v:imagedata o:title=""/>
                        <o:lock v:ext="edit" aspectratio="f"/>
                        <v:textbox>
                          <w:txbxContent>
                            <w:p w14:paraId="639B9FE0">
                              <w:pPr>
                                <w:pStyle w:val="33"/>
                                <w:spacing w:line="240" w:lineRule="auto"/>
                                <w:rPr>
                                  <w:b w:val="0"/>
                                </w:rPr>
                              </w:pPr>
                              <w:r>
                                <w:rPr>
                                  <w:rFonts w:hint="eastAsia" w:ascii="Times New Roman"/>
                                  <w:b w:val="0"/>
                                  <w:color w:val="000000"/>
                                  <w:kern w:val="2"/>
                                  <w:sz w:val="21"/>
                                  <w:szCs w:val="21"/>
                                </w:rPr>
                                <w:t>灌装干燥剂</w:t>
                              </w:r>
                            </w:p>
                          </w:txbxContent>
                        </v:textbox>
                      </v:rect>
                      <v:shape id="_x0000_s1026" o:spid="_x0000_s1026" o:spt="32" type="#_x0000_t32" style="position:absolute;left:2765084;top:662255;height:4400;width:408020;" filled="f" stroked="t" coordsize="21600,21600" o:gfxdata="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fjmrDTAAAABQEAAA8A&#10;AAAAAAAAAQAgAAAAIgAAAGRycy9kb3ducmV2LnhtbFBLAQIUABQAAAAIAIdO4kAShLK4HAIAAP8D&#10;AAAOAAAAAAAAAAEAIAAAACIBAABkcnMvZTJvRG9jLnhtbFBLBQYAAAAABgAGAFkBAACwBQAAAAA=&#10;">
                        <v:fill on="f" focussize="0,0"/>
                        <v:stroke color="#000000 [3213]" joinstyle="round" dashstyle="dash" endarrow="block"/>
                        <v:imagedata o:title=""/>
                        <o:lock v:ext="edit" aspectratio="f"/>
                      </v:shape>
                      <v:shape id="_x0000_s1026" o:spid="_x0000_s1026" o:spt="32" type="#_x0000_t32" style="position:absolute;left:2765666;top:1138667;height:3810;width:407670;" filled="f" stroked="t" coordsize="21600,21600" o:gfxdata="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jmrDTAAAABQEAAA8AAAAAAAAAAQAgAAAAIgAA&#10;AGRycy9kb3ducmV2LnhtbFBLAQIUABQAAAAIAIdO4kCjLGzVDQIAANkDAAAOAAAAAAAAAAEAIAAA&#10;ACIBAABkcnMvZTJvRG9jLnhtbFBLBQYAAAAABgAGAFkBAAChBQAAAAA=&#10;">
                        <v:fill on="f" focussize="0,0"/>
                        <v:stroke color="#000000 [3213]" joinstyle="round" dashstyle="dash" endarrow="block"/>
                        <v:imagedata o:title=""/>
                        <o:lock v:ext="edit" aspectratio="f"/>
                      </v:shape>
                      <v:rect id="_x0000_s1026" o:spid="_x0000_s1026" o:spt="1" style="position:absolute;left:3178984;top:552608;height:252730;width:512736;v-text-anchor:middle;" filled="f" stroked="f" coordsize="21600,21600" o:gfxdata="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pg5f1wAAAAUBAAAPAAAAAAAA&#10;AAEAIAAAACIAAABkcnMvZG93bnJldi54bWxQSwECFAAUAAAACACHTuJADddIXUwCAABxBAAADgAA&#10;AAAAAAABACAAAAAmAQAAZHJzL2Uyb0RvYy54bWxQSwUGAAAAAAYABgBZAQAA5AUAAAAA&#10;">
                        <v:fill on="f" focussize="0,0"/>
                        <v:stroke on="f" weight="0.5pt"/>
                        <v:imagedata o:title=""/>
                        <o:lock v:ext="edit" aspectratio="f"/>
                        <v:textbox>
                          <w:txbxContent>
                            <w:p w14:paraId="0E3A072E">
                              <w:pPr>
                                <w:pStyle w:val="33"/>
                                <w:spacing w:line="240" w:lineRule="auto"/>
                                <w:rPr>
                                  <w:b w:val="0"/>
                                </w:rPr>
                              </w:pPr>
                              <w:r>
                                <w:rPr>
                                  <w:rFonts w:hint="eastAsia" w:ascii="Times New Roman"/>
                                  <w:b w:val="0"/>
                                  <w:color w:val="000000"/>
                                  <w:kern w:val="2"/>
                                  <w:sz w:val="21"/>
                                  <w:szCs w:val="21"/>
                                </w:rPr>
                                <w:t>噪声</w:t>
                              </w:r>
                            </w:p>
                          </w:txbxContent>
                        </v:textbox>
                      </v:rect>
                      <v:rect id="_x0000_s1026" o:spid="_x0000_s1026" o:spt="1" style="position:absolute;left:3172480;top:1011753;height:252095;width:799018;v-text-anchor:middle;" filled="f" stroked="f" coordsize="21600,21600" o:gfxdata="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KYOX9cAAAAFAQAADwAAAAAA&#10;AAABACAAAAAiAAAAZHJzL2Rvd25yZXYueG1sUEsBAhQAFAAAAAgAh07iQP5I9s5NAgAAcgQAAA4A&#10;AAAAAAAAAQAgAAAAJgEAAGRycy9lMm9Eb2MueG1sUEsFBgAAAAAGAAYAWQEAAOUFAAAAAA==&#10;">
                        <v:fill on="f" focussize="0,0"/>
                        <v:stroke on="f" weight="0.5pt"/>
                        <v:imagedata o:title=""/>
                        <o:lock v:ext="edit" aspectratio="f"/>
                        <v:textbox>
                          <w:txbxContent>
                            <w:p w14:paraId="2F80A4B1">
                              <w:pPr>
                                <w:pStyle w:val="33"/>
                                <w:spacing w:line="240" w:lineRule="auto"/>
                                <w:rPr>
                                  <w:b w:val="0"/>
                                </w:rPr>
                              </w:pPr>
                              <w:r>
                                <w:rPr>
                                  <w:rFonts w:hint="eastAsia" w:ascii="Times New Roman"/>
                                  <w:b w:val="0"/>
                                  <w:color w:val="000000"/>
                                  <w:kern w:val="2"/>
                                  <w:sz w:val="21"/>
                                  <w:szCs w:val="21"/>
                                </w:rPr>
                                <w:t>噪声、固废</w:t>
                              </w:r>
                            </w:p>
                          </w:txbxContent>
                        </v:textbox>
                      </v:rect>
                      <v:shape id="_x0000_s1026" o:spid="_x0000_s1026" o:spt="32" type="#_x0000_t32" style="position:absolute;left:2985192;top:1595867;height:3810;width:407035;" filled="f" stroked="t" coordsize="21600,21600" o:gfxdata="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jmrDTAAAABQEAAA8AAAAAAAAAAQAgAAAAIgAA&#10;AGRycy9kb3ducmV2LnhtbFBLAQIUABQAAAAIAIdO4kDQTMTnDQIAANkDAAAOAAAAAAAAAAEAIAAA&#10;ACIBAABkcnMvZTJvRG9jLnhtbFBLBQYAAAAABgAGAFkBAAChBQAAAAA=&#10;">
                        <v:fill on="f" focussize="0,0"/>
                        <v:stroke color="#000000 [3213]" joinstyle="round" dashstyle="dash" endarrow="block"/>
                        <v:imagedata o:title=""/>
                        <o:lock v:ext="edit" aspectratio="f"/>
                      </v:shape>
                      <v:rect id="_x0000_s1026" o:spid="_x0000_s1026" o:spt="1" style="position:absolute;left:3391902;top:1477133;height:252095;width:512445;v-text-anchor:middle;" filled="f" stroked="f" coordsize="21600,21600" o:gfxdata="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wpg5f1wAAAAUBAAAPAAAA&#10;AAAAAAEAIAAAACIAAABkcnMvZG93bnJldi54bWxQSwECFAAUAAAACACHTuJAwjjqGk8CAAByBAAA&#10;DgAAAAAAAAABACAAAAAmAQAAZHJzL2Uyb0RvYy54bWxQSwUGAAAAAAYABgBZAQAA5wUAAAAA&#10;">
                        <v:fill on="f" focussize="0,0"/>
                        <v:stroke on="f" weight="0.5pt"/>
                        <v:imagedata o:title=""/>
                        <o:lock v:ext="edit" aspectratio="f"/>
                        <v:textbox>
                          <w:txbxContent>
                            <w:p w14:paraId="7091F3FA">
                              <w:pPr>
                                <w:pStyle w:val="33"/>
                                <w:spacing w:line="240" w:lineRule="auto"/>
                                <w:rPr>
                                  <w:b w:val="0"/>
                                </w:rPr>
                              </w:pPr>
                              <w:r>
                                <w:rPr>
                                  <w:rFonts w:hint="eastAsia" w:ascii="Times New Roman"/>
                                  <w:b w:val="0"/>
                                  <w:color w:val="000000"/>
                                  <w:kern w:val="2"/>
                                  <w:sz w:val="21"/>
                                  <w:szCs w:val="21"/>
                                </w:rPr>
                                <w:t>噪声</w:t>
                              </w:r>
                            </w:p>
                          </w:txbxContent>
                        </v:textbox>
                      </v:rect>
                      <v:shape id="_x0000_s1026" o:spid="_x0000_s1026" o:spt="32" type="#_x0000_t32" style="position:absolute;left:2513569;top:1720278;flip:x;height:298234;width:3869;" filled="f" stroked="t" coordsize="21600,21600" o:gfxdata="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oIE11gAAAAUBAAAPAAAAAAAAAAEAIAAAACIAAABkcnMvZG93bnJldi54bWxQSwECFAAUAAAA&#10;CACHTuJA/uW83CkCAAAmBAAADgAAAAAAAAABACAAAAAlAQAAZHJzL2Uyb0RvYy54bWxQSwUGAAAA&#10;AAYABgBZAQAAwAUAAAAA&#10;">
                        <v:fill on="f" focussize="0,0"/>
                        <v:stroke color="#000000 [3213]" joinstyle="round" endarrow="block"/>
                        <v:imagedata o:title=""/>
                        <o:lock v:ext="edit" aspectratio="f"/>
                      </v:shape>
                      <v:rect id="_x0000_s1026" o:spid="_x0000_s1026" o:spt="1" style="position:absolute;left:1229791;top:1976049;height:306530;width:653545;v-text-anchor:middle;" filled="f" stroked="f" coordsize="21600,21600" o:gfxdata="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pg5f1wAAAAUBAAAPAAAAAAAA&#10;AAEAIAAAACIAAABkcnMvZG93bnJldi54bWxQSwECFAAUAAAACACHTuJA4u1zx0wCAAByBAAADgAA&#10;AAAAAAABACAAAAAmAQAAZHJzL2Uyb0RvYy54bWxQSwUGAAAAAAYABgBZAQAA5AUAAAAA&#10;">
                        <v:fill on="f" focussize="0,0"/>
                        <v:stroke on="f" weight="0.5pt"/>
                        <v:imagedata o:title=""/>
                        <o:lock v:ext="edit" aspectratio="f"/>
                        <v:textbox>
                          <w:txbxContent>
                            <w:p w14:paraId="7D0E4B33">
                              <w:pPr>
                                <w:pStyle w:val="33"/>
                                <w:spacing w:line="240" w:lineRule="auto"/>
                                <w:rPr>
                                  <w:b w:val="0"/>
                                </w:rPr>
                              </w:pPr>
                              <w:r>
                                <w:rPr>
                                  <w:rFonts w:hint="eastAsia"/>
                                  <w:b w:val="0"/>
                                  <w:color w:val="000000"/>
                                  <w:sz w:val="21"/>
                                  <w:szCs w:val="21"/>
                                </w:rPr>
                                <w:t>丁基胶</w:t>
                              </w:r>
                            </w:p>
                          </w:txbxContent>
                        </v:textbox>
                      </v:rect>
                      <v:shape id="_x0000_s1026" o:spid="_x0000_s1026" o:spt="32" type="#_x0000_t32" style="position:absolute;left:2764822;top:2137488;height:3810;width:406400;" filled="f" stroked="t" coordsize="21600,21600" o:gfxdata="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jmrDTAAAABQEAAA8AAAAAAAAAAQAgAAAAIgAA&#10;AGRycy9kb3ducmV2LnhtbFBLAQIUABQAAAAIAIdO4kAcHImLDQIAANkDAAAOAAAAAAAAAAEAIAAA&#10;ACIBAABkcnMvZTJvRG9jLnhtbFBLBQYAAAAABgAGAFkBAAChBQAAAAA=&#10;">
                        <v:fill on="f" focussize="0,0"/>
                        <v:stroke color="#000000 [3213]" joinstyle="round" dashstyle="dash" endarrow="block"/>
                        <v:imagedata o:title=""/>
                        <o:lock v:ext="edit" aspectratio="f"/>
                      </v:shape>
                      <v:rect id="_x0000_s1026" o:spid="_x0000_s1026" o:spt="1" style="position:absolute;left:3185827;top:2603930;height:252730;width:860334;v-text-anchor:middle;" filled="f" stroked="f" coordsize="21600,21600" o:gfxdata="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pg5f1wAAAAUBAAAPAAAAAAAA&#10;AAEAIAAAACIAAABkcnMvZG93bnJldi54bWxQSwECFAAUAAAACACHTuJAM1iqxEwCAAByBAAADgAA&#10;AAAAAAABACAAAAAmAQAAZHJzL2Uyb0RvYy54bWxQSwUGAAAAAAYABgBZAQAA5AUAAAAA&#10;">
                        <v:fill on="f" focussize="0,0"/>
                        <v:stroke on="f" weight="0.5pt"/>
                        <v:imagedata o:title=""/>
                        <o:lock v:ext="edit" aspectratio="f"/>
                        <v:textbox>
                          <w:txbxContent>
                            <w:p w14:paraId="3675AED5">
                              <w:pPr>
                                <w:pStyle w:val="33"/>
                                <w:spacing w:line="240" w:lineRule="auto"/>
                                <w:rPr>
                                  <w:b w:val="0"/>
                                </w:rPr>
                              </w:pPr>
                              <w:r>
                                <w:rPr>
                                  <w:rFonts w:hint="eastAsia" w:ascii="Times New Roman"/>
                                  <w:b w:val="0"/>
                                  <w:color w:val="000000"/>
                                  <w:kern w:val="2"/>
                                  <w:sz w:val="21"/>
                                  <w:szCs w:val="21"/>
                                </w:rPr>
                                <w:t>废气、噪声</w:t>
                              </w:r>
                            </w:p>
                          </w:txbxContent>
                        </v:textbox>
                      </v:rect>
                      <v:shape id="_x0000_s1026" o:spid="_x0000_s1026" o:spt="32" type="#_x0000_t32" style="position:absolute;left:2513569;top:2272512;height:322069;width:963;" filled="f" stroked="t" coordsize="21600,21600" o:gfxdata="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DypS9cA&#10;AAAFAQAADwAAAAAAAAABACAAAAAiAAAAZHJzL2Rvd25yZXYueG1sUEsBAhQAFAAAAAgAh07iQCnm&#10;+wEgAgAAGwQAAA4AAAAAAAAAAQAgAAAAJgEAAGRycy9lMm9Eb2MueG1sUEsFBgAAAAAGAAYAWQEA&#10;ALgFAAAAAA==&#10;">
                        <v:fill on="f" focussize="0,0"/>
                        <v:stroke color="#000000 [3213]" joinstyle="round" endarrow="block"/>
                        <v:imagedata o:title=""/>
                        <o:lock v:ext="edit" aspectratio="f"/>
                      </v:shape>
                      <v:shape id="_x0000_s1026" o:spid="_x0000_s1026" o:spt="32" type="#_x0000_t32" style="position:absolute;left:2513915;top:2848581;flip:x;height:655546;width:617;" filled="f" stroked="t" coordsize="21600,21600" o:gfxdata="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KCBNdYAAAAFAQAADwAAAAAAAAABACAAAAAiAAAAZHJzL2Rvd25yZXYueG1sUEsBAhQAFAAA&#10;AAgAh07iQAUJl+IqAgAAJQQAAA4AAAAAAAAAAQAgAAAAJQEAAGRycy9lMm9Eb2MueG1sUEsFBgAA&#10;AAAGAAYAWQEAAMEFAAAAAA==&#10;">
                        <v:fill on="f" focussize="0,0"/>
                        <v:stroke color="#000000 [3213]" joinstyle="round" endarrow="block"/>
                        <v:imagedata o:title=""/>
                        <o:lock v:ext="edit" aspectratio="f"/>
                      </v:shape>
                      <v:shape id="_x0000_s1026" o:spid="_x0000_s1026" o:spt="32" type="#_x0000_t32" style="position:absolute;left:1880284;top:2730049;height:0;width:374015;" filled="f" stroked="t" coordsize="21600,21600" o:gfxdata="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PKlL1wAAAAUBAAAPAAAAAAAAAAEAIAAAACIA&#10;AABkcnMvZG93bnJldi54bWxQSwECFAAUAAAACACHTuJApKjB/goCAADXAwAADgAAAAAAAAABACAA&#10;AAAmAQAAZHJzL2Uyb0RvYy54bWxQSwUGAAAAAAYABgBZAQAAogUAAAAA&#10;">
                        <v:fill on="f" focussize="0,0"/>
                        <v:stroke color="#000000 [3213]" joinstyle="round" endarrow="block"/>
                        <v:imagedata o:title=""/>
                        <o:lock v:ext="edit" aspectratio="f"/>
                      </v:shape>
                      <v:rect id="_x0000_s1026" o:spid="_x0000_s1026" o:spt="1" style="position:absolute;left:150125;top:3422674;height:435756;width:811518;v-text-anchor:middle;" filled="f" stroked="f" coordsize="21600,21600" o:gfxdata="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CmDl/XAAAABQEAAA8AAAAA&#10;AAAAAQAgAAAAIgAAAGRycy9kb3ducmV2LnhtbFBLAQIUABQAAAAIAIdO4kAvJzXKTgIAAHEEAAAO&#10;AAAAAAAAAAEAIAAAACYBAABkcnMvZTJvRG9jLnhtbFBLBQYAAAAABgAGAFkBAADmBQAAAAA=&#10;">
                        <v:fill on="f" focussize="0,0"/>
                        <v:stroke on="f" weight="0.5pt"/>
                        <v:imagedata o:title=""/>
                        <o:lock v:ext="edit" aspectratio="f"/>
                        <v:textbox>
                          <w:txbxContent>
                            <w:p w14:paraId="0E451D52">
                              <w:pPr>
                                <w:pStyle w:val="33"/>
                                <w:spacing w:line="240" w:lineRule="auto"/>
                                <w:rPr>
                                  <w:rFonts w:ascii="Times New Roman" w:hAnsi="Times New Roman"/>
                                  <w:b w:val="0"/>
                                </w:rPr>
                              </w:pPr>
                              <w:r>
                                <w:rPr>
                                  <w:rFonts w:ascii="Times New Roman" w:hAnsi="Times New Roman"/>
                                  <w:b w:val="0"/>
                                  <w:color w:val="000000"/>
                                  <w:sz w:val="21"/>
                                  <w:szCs w:val="21"/>
                                </w:rPr>
                                <w:t>硅酮胶A、硅酮胶B</w:t>
                              </w:r>
                            </w:p>
                          </w:txbxContent>
                        </v:textbox>
                      </v:rect>
                      <v:rect id="_x0000_s1026" o:spid="_x0000_s1026" o:spt="1" style="position:absolute;left:1372986;top:3514921;height:253365;width:510540;v-text-anchor:middle;" fillcolor="#FFFFFF [3212]" filled="t" stroked="t" coordsize="21600,21600" o:gfxdata="UEsDBAoAAAAAAIdO4kAAAAAAAAAAAAAAAAAEAAAAZHJzL1BLAwQUAAAACACHTuJA8e8jsd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e8jsdYAAAAFAQAADwAAAAAAAAABACAAAAAiAAAAZHJzL2Rvd25yZXYueG1sUEsBAhQA&#10;FAAAAAgAh07iQAmB/bJmAgAAxAQAAA4AAAAAAAAAAQAgAAAAJQEAAGRycy9lMm9Eb2MueG1sUEsF&#10;BgAAAAAGAAYAWQEAAP0FAAAAAA==&#10;">
                        <v:fill on="t" focussize="0,0"/>
                        <v:stroke weight="0.5pt" color="#000000 [3213]" joinstyle="round"/>
                        <v:imagedata o:title=""/>
                        <o:lock v:ext="edit" aspectratio="f"/>
                        <v:textbox>
                          <w:txbxContent>
                            <w:p w14:paraId="55BC1ED4">
                              <w:pPr>
                                <w:pStyle w:val="33"/>
                                <w:spacing w:line="240" w:lineRule="auto"/>
                                <w:rPr>
                                  <w:b w:val="0"/>
                                </w:rPr>
                              </w:pPr>
                              <w:r>
                                <w:rPr>
                                  <w:rFonts w:hint="eastAsia" w:ascii="Times New Roman"/>
                                  <w:b w:val="0"/>
                                  <w:color w:val="000000"/>
                                  <w:kern w:val="2"/>
                                  <w:sz w:val="21"/>
                                  <w:szCs w:val="21"/>
                                </w:rPr>
                                <w:t>搅拌</w:t>
                              </w:r>
                            </w:p>
                          </w:txbxContent>
                        </v:textbox>
                      </v:rect>
                      <v:shape id="_x0000_s1026" o:spid="_x0000_s1026" o:spt="32" type="#_x0000_t32" style="position:absolute;left:999721;top:3645475;height:0;width:373380;" filled="f" stroked="t" coordsize="21600,21600" o:gfxdata="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DypS9cAAAAFAQAADwAAAAAAAAABACAAAAAiAAAA&#10;ZHJzL2Rvd25yZXYueG1sUEsBAhQAFAAAAAgAh07iQK6yIfkIAgAA1gMAAA4AAAAAAAAAAQAgAAAA&#10;JgEAAGRycy9lMm9Eb2MueG1sUEsFBgAAAAAGAAYAWQEAAKAFAAAAAA==&#10;">
                        <v:fill on="f" focussize="0,0"/>
                        <v:stroke color="#000000 [3213]" joinstyle="round" endarrow="block"/>
                        <v:imagedata o:title=""/>
                        <o:lock v:ext="edit" aspectratio="f"/>
                      </v:shape>
                      <v:rect id="_x0000_s1026" o:spid="_x0000_s1026" o:spt="1" style="position:absolute;left:1333000;top:3016460;height:252095;width:598108;v-text-anchor:middle;" filled="f" stroked="f" coordsize="21600,21600" o:gfxdata="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KYOX9cAAAAFAQAADwAAAAAA&#10;AAABACAAAAAiAAAAZHJzL2Rvd25yZXYueG1sUEsBAhQAFAAAAAgAh07iQJwctS9NAgAAcgQAAA4A&#10;AAAAAAAAAQAgAAAAJgEAAGRycy9lMm9Eb2MueG1sUEsFBgAAAAAGAAYAWQEAAOUFAAAAAA==&#10;">
                        <v:fill on="f" focussize="0,0"/>
                        <v:stroke on="f" weight="0.5pt"/>
                        <v:imagedata o:title=""/>
                        <o:lock v:ext="edit" aspectratio="f"/>
                        <v:textbox>
                          <w:txbxContent>
                            <w:p w14:paraId="7CE17FE9">
                              <w:pPr>
                                <w:pStyle w:val="33"/>
                                <w:spacing w:line="240" w:lineRule="auto"/>
                                <w:rPr>
                                  <w:b w:val="0"/>
                                </w:rPr>
                              </w:pPr>
                              <w:r>
                                <w:rPr>
                                  <w:rFonts w:hint="eastAsia" w:ascii="Times New Roman"/>
                                  <w:b w:val="0"/>
                                  <w:color w:val="000000"/>
                                  <w:kern w:val="2"/>
                                  <w:sz w:val="21"/>
                                  <w:szCs w:val="21"/>
                                </w:rPr>
                                <w:t>废气</w:t>
                              </w:r>
                            </w:p>
                          </w:txbxContent>
                        </v:textbox>
                      </v:rect>
                      <v:shape id="_x0000_s1026" o:spid="_x0000_s1026" o:spt="32" type="#_x0000_t32" style="position:absolute;left:1882662;top:3630711;height:0;width:373380;" filled="f" stroked="t" coordsize="21600,21600" o:gfxdata="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PKlL1wAAAAUBAAAPAAAAAAAAAAEAIAAAACIA&#10;AABkcnMvZG93bnJldi54bWxQSwECFAAUAAAACACHTuJAu0Gb7AoCAADXAwAADgAAAAAAAAABACAA&#10;AAAmAQAAZHJzL2Uyb0RvYy54bWxQSwUGAAAAAAYABgBZAQAAogUAAAAA&#10;">
                        <v:fill on="f" focussize="0,0"/>
                        <v:stroke color="#000000 [3213]" joinstyle="round" endarrow="block"/>
                        <v:imagedata o:title=""/>
                        <o:lock v:ext="edit" aspectratio="f"/>
                      </v:shape>
                      <v:shape id="_x0000_s1026" o:spid="_x0000_s1026" o:spt="32" type="#_x0000_t32" style="position:absolute;left:2766453;top:2728663;height:3810;width:405765;" filled="f" stroked="t" coordsize="21600,21600" o:gfxdata="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OasNMAAAAFAQAADwAAAAAAAAABACAAAAAiAAAA&#10;ZHJzL2Rvd25yZXYueG1sUEsBAhQAFAAAAAgAh07iQL8wXkYMAgAA2QMAAA4AAAAAAAAAAQAgAAAA&#10;IgEAAGRycy9lMm9Eb2MueG1sUEsFBgAAAAAGAAYAWQEAAKAFAAAAAA==&#10;">
                        <v:fill on="f" focussize="0,0"/>
                        <v:stroke color="#000000 [3213]" joinstyle="round" dashstyle="dash" endarrow="block"/>
                        <v:imagedata o:title=""/>
                        <o:lock v:ext="edit" aspectratio="f"/>
                      </v:shape>
                      <v:shape id="_x0000_s1026" o:spid="_x0000_s1026" o:spt="32" type="#_x0000_t32" style="position:absolute;left:2764560;top:3641023;height:3810;width:405765;" filled="f" stroked="t" coordsize="21600,21600" o:gfxdata="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OasNMAAAAFAQAADwAAAAAAAAABACAAAAAiAAAA&#10;ZHJzL2Rvd25yZXYueG1sUEsBAhQAFAAAAAgAh07iQDwlFA0MAgAA2QMAAA4AAAAAAAAAAQAgAAAA&#10;IgEAAGRycy9lMm9Eb2MueG1sUEsFBgAAAAAGAAYAWQEAAKAFAAAAAA==&#10;">
                        <v:fill on="f" focussize="0,0"/>
                        <v:stroke color="#000000 [3213]" joinstyle="round" dashstyle="dash" endarrow="block"/>
                        <v:imagedata o:title=""/>
                        <o:lock v:ext="edit" aspectratio="f"/>
                      </v:shape>
                      <v:rect id="_x0000_s1026" o:spid="_x0000_s1026" o:spt="1" style="position:absolute;left:3169380;top:3514334;height:252095;width:1281344;v-text-anchor:middle;" filled="f" stroked="f" coordsize="21600,21600" o:gfxdata="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CmDl/XAAAABQEAAA8AAAAA&#10;AAAAAQAgAAAAIgAAAGRycy9kb3ducmV2LnhtbFBLAQIUABQAAAAIAIdO4kBccPQCTgIAAHMEAAAO&#10;AAAAAAAAAAEAIAAAACYBAABkcnMvZTJvRG9jLnhtbFBLBQYAAAAABgAGAFkBAADmBQAAAAA=&#10;">
                        <v:fill on="f" focussize="0,0"/>
                        <v:stroke on="f" weight="0.5pt"/>
                        <v:imagedata o:title=""/>
                        <o:lock v:ext="edit" aspectratio="f"/>
                        <v:textbox>
                          <w:txbxContent>
                            <w:p w14:paraId="0BB23038">
                              <w:pPr>
                                <w:pStyle w:val="33"/>
                                <w:spacing w:line="240" w:lineRule="auto"/>
                                <w:rPr>
                                  <w:b w:val="0"/>
                                </w:rPr>
                              </w:pPr>
                              <w:r>
                                <w:rPr>
                                  <w:rFonts w:hint="eastAsia" w:ascii="Times New Roman"/>
                                  <w:b w:val="0"/>
                                  <w:color w:val="000000"/>
                                  <w:kern w:val="2"/>
                                  <w:sz w:val="21"/>
                                  <w:szCs w:val="21"/>
                                </w:rPr>
                                <w:t>废气、噪声、固废</w:t>
                              </w:r>
                            </w:p>
                          </w:txbxContent>
                        </v:textbox>
                      </v:rect>
                      <v:shape id="_x0000_s1026" o:spid="_x0000_s1026" o:spt="32" type="#_x0000_t32" style="position:absolute;left:2517201;top:3757924;height:321945;width:635;" filled="f" stroked="t" coordsize="21600,21600" o:gfxdata="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A8qUvXAAAABQEAAA8AAAAAAAAAAQAgAAAAIgAA&#10;AGRycy9kb3ducmV2LnhtbFBLAQIUABQAAAAIAIdO4kAf6f5yCQIAANkDAAAOAAAAAAAAAAEAIAAA&#10;ACYBAABkcnMvZTJvRG9jLnhtbFBLBQYAAAAABgAGAFkBAAChBQAAAAA=&#10;">
                        <v:fill on="f" focussize="0,0"/>
                        <v:stroke color="#000000 [3213]" joinstyle="round" endarrow="block"/>
                        <v:imagedata o:title=""/>
                        <o:lock v:ext="edit" aspectratio="f"/>
                      </v:shape>
                      <w10:wrap type="none"/>
                      <w10:anchorlock/>
                    </v:group>
                  </w:pict>
                </mc:Fallback>
              </mc:AlternateContent>
            </w:r>
          </w:p>
          <w:p w14:paraId="235E8A63">
            <w:pPr>
              <w:pStyle w:val="137"/>
              <w:widowControl/>
              <w:numPr>
                <w:ilvl w:val="0"/>
                <w:numId w:val="5"/>
              </w:numPr>
              <w:adjustRightInd w:val="0"/>
              <w:snapToGrid w:val="0"/>
              <w:spacing w:line="360" w:lineRule="auto"/>
              <w:ind w:firstLineChars="0"/>
              <w:jc w:val="center"/>
            </w:pPr>
            <w:r>
              <w:rPr>
                <w:rFonts w:hint="eastAsia"/>
                <w:b/>
                <w:szCs w:val="21"/>
              </w:rPr>
              <w:t>中空玻璃生产工艺流程及产污环节图</w:t>
            </w:r>
          </w:p>
          <w:p w14:paraId="0544B741">
            <w:pPr>
              <w:spacing w:line="360" w:lineRule="auto"/>
              <w:ind w:firstLine="482" w:firstLineChars="200"/>
              <w:rPr>
                <w:b/>
                <w:bCs/>
                <w:sz w:val="24"/>
              </w:rPr>
            </w:pPr>
            <w:r>
              <w:rPr>
                <w:b/>
                <w:bCs/>
                <w:sz w:val="24"/>
              </w:rPr>
              <w:t>工艺流程简述：</w:t>
            </w:r>
          </w:p>
          <w:p w14:paraId="5CA23239">
            <w:pPr>
              <w:spacing w:line="360" w:lineRule="auto"/>
              <w:ind w:firstLine="480" w:firstLineChars="200"/>
              <w:rPr>
                <w:bCs/>
                <w:sz w:val="24"/>
              </w:rPr>
            </w:pPr>
            <w:r>
              <w:rPr>
                <w:rFonts w:hint="eastAsia"/>
                <w:bCs/>
                <w:sz w:val="24"/>
              </w:rPr>
              <w:t>钢化后的玻璃或玻璃原片进入中空玻璃生产线，中空玻璃环境温度应控制在10~30℃之间，将丁基胶加热至100~120℃，成熔融状态备用，中空玻璃干燥剂(分子筛)应选用3A孔径的分子筛，并符合现行国家《3A分子筛》GB/T10504标准以保证干燥剂的有效使用，干燥剂开封后最好于二十四小时之内用完。</w:t>
            </w:r>
          </w:p>
          <w:p w14:paraId="7E8D10C8">
            <w:pPr>
              <w:spacing w:line="360" w:lineRule="auto"/>
              <w:ind w:firstLine="482" w:firstLineChars="200"/>
              <w:rPr>
                <w:sz w:val="24"/>
              </w:rPr>
            </w:pPr>
            <w:r>
              <w:rPr>
                <w:rFonts w:hint="eastAsia"/>
                <w:b/>
                <w:bCs/>
                <w:sz w:val="24"/>
              </w:rPr>
              <w:t>折弯、切割：</w:t>
            </w:r>
            <w:r>
              <w:rPr>
                <w:rFonts w:hint="eastAsia"/>
                <w:sz w:val="24"/>
              </w:rPr>
              <w:t>铝隔条框制作的第一步，首先将铝隔条按照尺寸进行折弯、切割下料。</w:t>
            </w:r>
          </w:p>
          <w:p w14:paraId="07D9F6BD">
            <w:pPr>
              <w:spacing w:line="360" w:lineRule="auto"/>
              <w:ind w:firstLine="480" w:firstLineChars="200"/>
              <w:rPr>
                <w:sz w:val="24"/>
              </w:rPr>
            </w:pPr>
            <w:r>
              <w:rPr>
                <w:rFonts w:hint="eastAsia"/>
                <w:sz w:val="24"/>
              </w:rPr>
              <w:t>该工序设备运行会产生噪声，切割过程会产生少量废铝条。</w:t>
            </w:r>
          </w:p>
          <w:p w14:paraId="0DB97DDB">
            <w:pPr>
              <w:spacing w:line="360" w:lineRule="auto"/>
              <w:ind w:firstLine="482" w:firstLineChars="200"/>
              <w:rPr>
                <w:bCs/>
                <w:sz w:val="24"/>
              </w:rPr>
            </w:pPr>
            <w:r>
              <w:rPr>
                <w:rFonts w:hint="eastAsia"/>
                <w:b/>
                <w:sz w:val="24"/>
              </w:rPr>
              <w:t>灌装干燥剂：</w:t>
            </w:r>
            <w:r>
              <w:rPr>
                <w:rFonts w:hint="eastAsia"/>
                <w:bCs/>
                <w:sz w:val="24"/>
              </w:rPr>
              <w:t>使用灌装机将干燥剂填充至隔条内部，以除框内湿气，同时保证中空玻璃密封的空气干燥。</w:t>
            </w:r>
          </w:p>
          <w:p w14:paraId="3F2986F8">
            <w:pPr>
              <w:spacing w:line="360" w:lineRule="auto"/>
              <w:ind w:firstLine="480" w:firstLineChars="200"/>
              <w:rPr>
                <w:bCs/>
                <w:sz w:val="24"/>
              </w:rPr>
            </w:pPr>
            <w:r>
              <w:rPr>
                <w:rFonts w:hint="eastAsia"/>
                <w:bCs/>
                <w:sz w:val="24"/>
              </w:rPr>
              <w:t>该工序设备运行会产生噪声。</w:t>
            </w:r>
          </w:p>
          <w:p w14:paraId="13E9DC6B">
            <w:pPr>
              <w:spacing w:line="360" w:lineRule="auto"/>
              <w:ind w:firstLine="482" w:firstLineChars="200"/>
              <w:rPr>
                <w:bCs/>
                <w:sz w:val="24"/>
              </w:rPr>
            </w:pPr>
            <w:r>
              <w:rPr>
                <w:rFonts w:hint="eastAsia"/>
                <w:b/>
                <w:bCs/>
                <w:sz w:val="24"/>
              </w:rPr>
              <w:t>涂胶：</w:t>
            </w:r>
            <w:r>
              <w:rPr>
                <w:rFonts w:hint="eastAsia"/>
                <w:bCs/>
                <w:sz w:val="24"/>
              </w:rPr>
              <w:t>丁基胶作为第一道密封，起到间隔气体的作用，将加工好的铝隔条框进行丁基胶涂布，丁基胶应符合现行行业标准《中空玻璃用丁基热熔密封胶》JC/T914的规定，涂布前应根据铝隔条尺寸对丁基胶机出胶口尺寸进行调整保证丁基胶涂布厚度，丁基胶涂布机应能保证出胶均匀，不漏胶、断胶，并均匀涂布在铝条上。以保证密封效果。间隔条分子筛灌装孔及角插件连接插件，必须完全被丁基胶填塞。涂好丁基胶的铝框要挂在铝框周转架上等待和片，避免油污灰尘污染。灌装好分子筛的隔离框应在45分钟内合成中空。</w:t>
            </w:r>
          </w:p>
          <w:p w14:paraId="644907FB">
            <w:pPr>
              <w:spacing w:line="360" w:lineRule="auto"/>
              <w:ind w:firstLine="480" w:firstLineChars="200"/>
              <w:rPr>
                <w:bCs/>
                <w:sz w:val="24"/>
              </w:rPr>
            </w:pPr>
            <w:r>
              <w:rPr>
                <w:rFonts w:hint="eastAsia"/>
                <w:bCs/>
                <w:sz w:val="24"/>
              </w:rPr>
              <w:t>该工序会产生有机废气，废气污染物主要为丁基胶挥发的异丁烯废气，以非甲烷总烃计，固体废物主要为未沾染胶的废胶桶、沾染胶的废塑料膜和废胶桶。</w:t>
            </w:r>
          </w:p>
          <w:p w14:paraId="640584CC">
            <w:pPr>
              <w:spacing w:line="360" w:lineRule="auto"/>
              <w:ind w:firstLine="482" w:firstLineChars="200"/>
              <w:rPr>
                <w:bCs/>
                <w:sz w:val="24"/>
              </w:rPr>
            </w:pPr>
            <w:r>
              <w:rPr>
                <w:rFonts w:hint="eastAsia"/>
                <w:b/>
                <w:bCs/>
                <w:sz w:val="24"/>
              </w:rPr>
              <w:t>固定：</w:t>
            </w:r>
            <w:r>
              <w:rPr>
                <w:rFonts w:hint="eastAsia"/>
                <w:bCs/>
                <w:sz w:val="24"/>
              </w:rPr>
              <w:t>固定过程主要为合片和平压步骤，涂胶完成后上面覆另一块玻璃，将两块玻璃挤压在一起，使其两块玻璃固定在一起，按下料单标注的型号尺寸选择铝隔条框，使用定位系统将铝隔条框安装正确到位。</w:t>
            </w:r>
          </w:p>
          <w:p w14:paraId="69401882">
            <w:pPr>
              <w:spacing w:line="360" w:lineRule="auto"/>
              <w:ind w:firstLine="480" w:firstLineChars="200"/>
              <w:rPr>
                <w:bCs/>
                <w:sz w:val="24"/>
              </w:rPr>
            </w:pPr>
            <w:r>
              <w:rPr>
                <w:rFonts w:hint="eastAsia"/>
                <w:bCs/>
                <w:sz w:val="24"/>
              </w:rPr>
              <w:t>该工序会产生有机废气，废气污染物主要为丁基胶挥发的异丁烯废气，以非甲烷总烃计。</w:t>
            </w:r>
          </w:p>
          <w:p w14:paraId="1C48220A">
            <w:pPr>
              <w:spacing w:line="360" w:lineRule="auto"/>
              <w:ind w:firstLine="482" w:firstLineChars="200"/>
              <w:rPr>
                <w:bCs/>
                <w:sz w:val="24"/>
              </w:rPr>
            </w:pPr>
            <w:r>
              <w:rPr>
                <w:rFonts w:hint="eastAsia"/>
                <w:b/>
                <w:bCs/>
                <w:sz w:val="24"/>
              </w:rPr>
              <w:t>封胶：</w:t>
            </w:r>
            <w:r>
              <w:rPr>
                <w:rFonts w:hint="eastAsia"/>
                <w:bCs/>
                <w:sz w:val="24"/>
              </w:rPr>
              <w:t>中空玻璃的密封性必须靠双道密封生产工艺来保证，而双道密封中的第一道密封丁基胶起密封主导作用，第二道密封硅酮胶因具有良好的弹性则起到十分重要的辅助密封，缓冲及保护作用，两者相辅相成，缺一不可。不承受载荷的第二道密封用硅酮胶作为第二道密封材料，主要作用是粘结缓冲及保护作用，其次才是隔气作用。第二道密封胶应符合现行行业标准《中空玻璃用弹性密封胶》JC/T486的规定。合片后铝框外边部和玻璃边部应有5-7mm的距离，用于涂第二道密封胶。本项目使用的全自动中空玻璃机装有A、B组份供胶压力指示表。出胶压力连续可调，均匀注入玻璃封胶区，完全填实间隔条框两侧，中空机的打胶区域装有独立控制阀，方便排胶和胶枪清洗。均匀沿一侧涂布，以防止气泡，涂完后刮去玻璃表面残余，至此完成中空玻璃的加工。</w:t>
            </w:r>
          </w:p>
          <w:p w14:paraId="25C7B2B2">
            <w:pPr>
              <w:spacing w:line="360" w:lineRule="auto"/>
              <w:ind w:firstLine="480" w:firstLineChars="200"/>
              <w:rPr>
                <w:sz w:val="24"/>
              </w:rPr>
            </w:pPr>
            <w:r>
              <w:rPr>
                <w:sz w:val="24"/>
              </w:rPr>
              <w:t>项目封胶工序使用的硅酮密封胶是双组份硅酮胶，俗称玻璃胶，使用前需按比例将A、B组份进行搅拌混合，混合过程设备加盖密闭。</w:t>
            </w:r>
          </w:p>
          <w:p w14:paraId="1C0C6174">
            <w:pPr>
              <w:spacing w:line="360" w:lineRule="auto"/>
              <w:ind w:firstLine="480" w:firstLineChars="200"/>
              <w:rPr>
                <w:bCs/>
                <w:sz w:val="24"/>
              </w:rPr>
            </w:pPr>
            <w:r>
              <w:rPr>
                <w:rFonts w:hint="eastAsia"/>
                <w:bCs/>
                <w:sz w:val="24"/>
              </w:rPr>
              <w:t>硅酮胶搅拌和封胶过程均会产生有机废气，废气污染物主要为硅酮胶挥发产生的有机羟基硅酮以及有机甲基硅酮等成分，以非甲烷总烃计。设备运行会产生噪声，固体废物主要为未沾染胶的废胶桶、沾染胶的废塑料膜和废胶桶。</w:t>
            </w:r>
          </w:p>
          <w:p w14:paraId="1A168B06">
            <w:pPr>
              <w:spacing w:line="360" w:lineRule="auto"/>
              <w:ind w:firstLine="480" w:firstLineChars="200"/>
              <w:rPr>
                <w:bCs/>
                <w:sz w:val="24"/>
              </w:rPr>
            </w:pPr>
            <w:r>
              <w:rPr>
                <w:rFonts w:hint="eastAsia"/>
                <w:bCs/>
                <w:sz w:val="24"/>
              </w:rPr>
              <w:t>本项目中空玻璃采用全自动中空玻璃机加工，中空工艺有机废气污染物以非甲烷总烃计。项目中空工序有机废气经收集后采用活性炭吸附-脱附+催化燃烧装置进行处理，处理达标后经15米高排气筒排放。</w:t>
            </w:r>
          </w:p>
          <w:p w14:paraId="7D85394F">
            <w:pPr>
              <w:spacing w:line="360" w:lineRule="auto"/>
              <w:ind w:firstLine="482" w:firstLineChars="200"/>
              <w:rPr>
                <w:b/>
                <w:bCs/>
                <w:sz w:val="24"/>
                <w:u w:val="single"/>
              </w:rPr>
            </w:pPr>
            <w:r>
              <w:rPr>
                <w:rFonts w:hint="eastAsia"/>
                <w:b/>
                <w:bCs/>
                <w:sz w:val="24"/>
                <w:u w:val="single"/>
              </w:rPr>
              <w:t>（3）纯水制备工艺</w:t>
            </w:r>
          </w:p>
          <w:p w14:paraId="00D0D099">
            <w:pPr>
              <w:spacing w:line="360" w:lineRule="auto"/>
              <w:ind w:firstLine="480" w:firstLineChars="200"/>
              <w:rPr>
                <w:bCs/>
                <w:sz w:val="24"/>
                <w:u w:val="single"/>
              </w:rPr>
            </w:pPr>
            <w:r>
              <w:rPr>
                <w:rFonts w:hint="eastAsia"/>
                <w:bCs/>
                <w:sz w:val="24"/>
                <w:u w:val="single"/>
              </w:rPr>
              <w:t>本项目玻璃清洗采用纯水，纯水机</w:t>
            </w:r>
            <w:r>
              <w:rPr>
                <w:rFonts w:hint="eastAsia"/>
                <w:bCs/>
                <w:sz w:val="24"/>
                <w:u w:val="single"/>
                <w:lang w:val="en-US" w:eastAsia="zh-CN"/>
              </w:rPr>
              <w:t>设计</w:t>
            </w:r>
            <w:r>
              <w:rPr>
                <w:rFonts w:hint="eastAsia"/>
                <w:bCs/>
                <w:sz w:val="24"/>
                <w:u w:val="single"/>
              </w:rPr>
              <w:t>制水规模1t/h，采用RO反渗透工艺，</w:t>
            </w:r>
            <w:r>
              <w:rPr>
                <w:rFonts w:hint="eastAsia"/>
                <w:bCs/>
                <w:sz w:val="24"/>
                <w:u w:val="single"/>
                <w:lang w:val="en-US" w:eastAsia="zh-CN"/>
              </w:rPr>
              <w:t>纯水制备率设计范围在60%~80%，</w:t>
            </w:r>
            <w:r>
              <w:rPr>
                <w:rFonts w:hint="eastAsia"/>
                <w:sz w:val="24"/>
                <w:u w:val="single"/>
                <w:lang w:val="en-US" w:eastAsia="zh-CN"/>
              </w:rPr>
              <w:t>本次评价</w:t>
            </w:r>
            <w:r>
              <w:rPr>
                <w:rFonts w:hint="eastAsia"/>
                <w:bCs/>
                <w:sz w:val="24"/>
                <w:u w:val="single"/>
                <w:lang w:val="en-US" w:eastAsia="zh-CN"/>
              </w:rPr>
              <w:t>取7</w:t>
            </w:r>
            <w:r>
              <w:rPr>
                <w:rFonts w:hint="eastAsia"/>
                <w:bCs/>
                <w:sz w:val="24"/>
                <w:u w:val="single"/>
              </w:rPr>
              <w:t>0%，纯水制备工艺如下：</w:t>
            </w:r>
          </w:p>
          <w:p w14:paraId="01C9D367">
            <w:pPr>
              <w:spacing w:line="360" w:lineRule="auto"/>
              <w:jc w:val="center"/>
              <w:rPr>
                <w:bCs/>
                <w:sz w:val="24"/>
              </w:rPr>
            </w:pPr>
            <w:r>
              <w:rPr>
                <w:rFonts w:hint="eastAsia"/>
                <w:bCs/>
                <w:sz w:val="24"/>
              </w:rPr>
              <mc:AlternateContent>
                <mc:Choice Requires="wpc">
                  <w:drawing>
                    <wp:inline distT="0" distB="0" distL="0" distR="0">
                      <wp:extent cx="5001260" cy="922020"/>
                      <wp:effectExtent l="0" t="0" r="0" b="0"/>
                      <wp:docPr id="25" name="画布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7" name="矩形 77"/>
                              <wps:cNvSpPr/>
                              <wps:spPr>
                                <a:xfrm>
                                  <a:off x="800188" y="528362"/>
                                  <a:ext cx="1076306" cy="253365"/>
                                </a:xfrm>
                                <a:prstGeom prst="rect">
                                  <a:avLst/>
                                </a:prstGeom>
                                <a:solidFill>
                                  <a:sysClr val="window" lastClr="FFFFFF"/>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45178C">
                                    <w:pPr>
                                      <w:pStyle w:val="33"/>
                                      <w:rPr>
                                        <w:b w:val="0"/>
                                      </w:rPr>
                                    </w:pPr>
                                    <w:r>
                                      <w:rPr>
                                        <w:rFonts w:hint="eastAsia" w:ascii="Times New Roman"/>
                                        <w:b w:val="0"/>
                                        <w:color w:val="000000"/>
                                        <w:kern w:val="2"/>
                                        <w:sz w:val="21"/>
                                        <w:szCs w:val="21"/>
                                      </w:rPr>
                                      <w:t>多介质过滤器</w:t>
                                    </w:r>
                                  </w:p>
                                </w:txbxContent>
                              </wps:txbx>
                              <wps:bodyPr rot="0" spcFirstLastPara="0" vert="horz" wrap="square" lIns="91440" tIns="45720" rIns="91440" bIns="45720" numCol="1" spcCol="0" rtlCol="0" fromWordArt="0" anchor="ctr" anchorCtr="0" forceAA="0" compatLnSpc="1">
                                <a:noAutofit/>
                              </wps:bodyPr>
                            </wps:wsp>
                            <wps:wsp>
                              <wps:cNvPr id="82" name="矩形 82"/>
                              <wps:cNvSpPr/>
                              <wps:spPr>
                                <a:xfrm>
                                  <a:off x="2072359" y="520392"/>
                                  <a:ext cx="972991" cy="253365"/>
                                </a:xfrm>
                                <a:prstGeom prst="rect">
                                  <a:avLst/>
                                </a:prstGeom>
                                <a:solidFill>
                                  <a:sysClr val="window" lastClr="FFFFFF"/>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4AF459">
                                    <w:pPr>
                                      <w:pStyle w:val="33"/>
                                      <w:rPr>
                                        <w:b w:val="0"/>
                                      </w:rPr>
                                    </w:pPr>
                                    <w:r>
                                      <w:rPr>
                                        <w:rFonts w:hint="eastAsia" w:ascii="Times New Roman"/>
                                        <w:b w:val="0"/>
                                        <w:bCs/>
                                        <w:color w:val="000000"/>
                                        <w:kern w:val="2"/>
                                        <w:sz w:val="21"/>
                                        <w:szCs w:val="21"/>
                                      </w:rPr>
                                      <w:t>保安过滤器</w:t>
                                    </w:r>
                                  </w:p>
                                </w:txbxContent>
                              </wps:txbx>
                              <wps:bodyPr rot="0" spcFirstLastPara="0" vert="horz" wrap="square" lIns="91440" tIns="45720" rIns="91440" bIns="45720" numCol="1" spcCol="0" rtlCol="0" fromWordArt="0" anchor="ctr" anchorCtr="0" forceAA="0" compatLnSpc="1">
                                <a:noAutofit/>
                              </wps:bodyPr>
                            </wps:wsp>
                            <wps:wsp>
                              <wps:cNvPr id="83" name="矩形 83"/>
                              <wps:cNvSpPr/>
                              <wps:spPr>
                                <a:xfrm>
                                  <a:off x="3328639" y="520391"/>
                                  <a:ext cx="917359" cy="253365"/>
                                </a:xfrm>
                                <a:prstGeom prst="rect">
                                  <a:avLst/>
                                </a:prstGeom>
                                <a:solidFill>
                                  <a:sysClr val="window" lastClr="FFFFFF"/>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2E77A8">
                                    <w:pPr>
                                      <w:pStyle w:val="33"/>
                                      <w:rPr>
                                        <w:b w:val="0"/>
                                      </w:rPr>
                                    </w:pPr>
                                    <w:r>
                                      <w:rPr>
                                        <w:rFonts w:hint="eastAsia" w:ascii="Times New Roman"/>
                                        <w:b w:val="0"/>
                                        <w:bCs/>
                                        <w:color w:val="000000"/>
                                        <w:kern w:val="2"/>
                                        <w:sz w:val="21"/>
                                        <w:szCs w:val="21"/>
                                      </w:rPr>
                                      <w:t>两级反渗透</w:t>
                                    </w:r>
                                  </w:p>
                                </w:txbxContent>
                              </wps:txbx>
                              <wps:bodyPr rot="0" spcFirstLastPara="0" vert="horz" wrap="square" lIns="91440" tIns="45720" rIns="91440" bIns="45720" numCol="1" spcCol="0" rtlCol="0" fromWordArt="0" anchor="ctr" anchorCtr="0" forceAA="0" compatLnSpc="1">
                                <a:noAutofit/>
                              </wps:bodyPr>
                            </wps:wsp>
                            <wps:wsp>
                              <wps:cNvPr id="84" name="直接箭头连接符 84"/>
                              <wps:cNvCnPr/>
                              <wps:spPr>
                                <a:xfrm flipV="1">
                                  <a:off x="1353108" y="252137"/>
                                  <a:ext cx="0" cy="276225"/>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5" name="直接箭头连接符 85"/>
                              <wps:cNvCnPr/>
                              <wps:spPr>
                                <a:xfrm>
                                  <a:off x="604300" y="656065"/>
                                  <a:ext cx="195871"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矩形 86"/>
                              <wps:cNvSpPr/>
                              <wps:spPr>
                                <a:xfrm>
                                  <a:off x="1054643" y="42"/>
                                  <a:ext cx="597535" cy="2520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91631">
                                    <w:pPr>
                                      <w:pStyle w:val="33"/>
                                      <w:rPr>
                                        <w:b w:val="0"/>
                                      </w:rPr>
                                    </w:pPr>
                                    <w:r>
                                      <w:rPr>
                                        <w:rFonts w:hint="eastAsia" w:ascii="Times New Roman"/>
                                        <w:b w:val="0"/>
                                        <w:color w:val="000000"/>
                                        <w:kern w:val="2"/>
                                        <w:sz w:val="21"/>
                                        <w:szCs w:val="21"/>
                                      </w:rPr>
                                      <w:t>废滤材</w:t>
                                    </w:r>
                                  </w:p>
                                </w:txbxContent>
                              </wps:txbx>
                              <wps:bodyPr rot="0" spcFirstLastPara="0" vert="horz" wrap="square" lIns="91440" tIns="45720" rIns="91440" bIns="45720" numCol="1" spcCol="0" rtlCol="0" fromWordArt="0" anchor="ctr" anchorCtr="0" forceAA="0" compatLnSpc="1">
                                <a:noAutofit/>
                              </wps:bodyPr>
                            </wps:wsp>
                            <wps:wsp>
                              <wps:cNvPr id="87" name="直接箭头连接符 87"/>
                              <wps:cNvCnPr/>
                              <wps:spPr>
                                <a:xfrm flipV="1">
                                  <a:off x="3782774" y="252137"/>
                                  <a:ext cx="0" cy="276225"/>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8" name="矩形 88"/>
                              <wps:cNvSpPr/>
                              <wps:spPr>
                                <a:xfrm>
                                  <a:off x="2295049" y="7993"/>
                                  <a:ext cx="597535" cy="2520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84A8C">
                                    <w:pPr>
                                      <w:pStyle w:val="33"/>
                                      <w:rPr>
                                        <w:b w:val="0"/>
                                      </w:rPr>
                                    </w:pPr>
                                    <w:r>
                                      <w:rPr>
                                        <w:rFonts w:hint="eastAsia" w:ascii="Times New Roman"/>
                                        <w:b w:val="0"/>
                                        <w:color w:val="000000"/>
                                        <w:kern w:val="2"/>
                                        <w:sz w:val="21"/>
                                        <w:szCs w:val="21"/>
                                      </w:rPr>
                                      <w:t>废滤材</w:t>
                                    </w:r>
                                  </w:p>
                                </w:txbxContent>
                              </wps:txbx>
                              <wps:bodyPr rot="0" spcFirstLastPara="0" vert="horz" wrap="square" lIns="91440" tIns="45720" rIns="91440" bIns="45720" numCol="1" spcCol="0" rtlCol="0" fromWordArt="0" anchor="ctr" anchorCtr="0" forceAA="0" compatLnSpc="1">
                                <a:noAutofit/>
                              </wps:bodyPr>
                            </wps:wsp>
                            <wps:wsp>
                              <wps:cNvPr id="89" name="直接箭头连接符 89"/>
                              <wps:cNvCnPr/>
                              <wps:spPr>
                                <a:xfrm flipV="1">
                                  <a:off x="2582125" y="244186"/>
                                  <a:ext cx="0" cy="276225"/>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90" name="矩形 90"/>
                              <wps:cNvSpPr/>
                              <wps:spPr>
                                <a:xfrm>
                                  <a:off x="3273057" y="15944"/>
                                  <a:ext cx="980896" cy="2520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F1462">
                                    <w:pPr>
                                      <w:pStyle w:val="33"/>
                                      <w:rPr>
                                        <w:b w:val="0"/>
                                      </w:rPr>
                                    </w:pPr>
                                    <w:r>
                                      <w:rPr>
                                        <w:rFonts w:hint="eastAsia" w:ascii="Times New Roman"/>
                                        <w:b w:val="0"/>
                                        <w:color w:val="000000"/>
                                        <w:kern w:val="2"/>
                                        <w:sz w:val="21"/>
                                        <w:szCs w:val="21"/>
                                      </w:rPr>
                                      <w:t>废滤材、浓水</w:t>
                                    </w:r>
                                  </w:p>
                                </w:txbxContent>
                              </wps:txbx>
                              <wps:bodyPr rot="0" spcFirstLastPara="0" vert="horz" wrap="square" lIns="91440" tIns="45720" rIns="91440" bIns="45720" numCol="1" spcCol="0" rtlCol="0" fromWordArt="0" anchor="ctr" anchorCtr="0" forceAA="0" compatLnSpc="1">
                                <a:noAutofit/>
                              </wps:bodyPr>
                            </wps:wsp>
                            <wps:wsp>
                              <wps:cNvPr id="91" name="矩形 91"/>
                              <wps:cNvSpPr/>
                              <wps:spPr>
                                <a:xfrm>
                                  <a:off x="0" y="529592"/>
                                  <a:ext cx="604286" cy="2520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5617A">
                                    <w:pPr>
                                      <w:pStyle w:val="33"/>
                                      <w:rPr>
                                        <w:b w:val="0"/>
                                      </w:rPr>
                                    </w:pPr>
                                    <w:r>
                                      <w:rPr>
                                        <w:rFonts w:hint="eastAsia" w:ascii="Times New Roman"/>
                                        <w:b w:val="0"/>
                                        <w:color w:val="000000"/>
                                        <w:kern w:val="2"/>
                                        <w:sz w:val="21"/>
                                        <w:szCs w:val="21"/>
                                      </w:rPr>
                                      <w:t>自来水</w:t>
                                    </w:r>
                                  </w:p>
                                </w:txbxContent>
                              </wps:txbx>
                              <wps:bodyPr rot="0" spcFirstLastPara="0" vert="horz" wrap="square" lIns="91440" tIns="45720" rIns="91440" bIns="45720" numCol="1" spcCol="0" rtlCol="0" fromWordArt="0" anchor="ctr" anchorCtr="0" forceAA="0" compatLnSpc="1">
                                <a:noAutofit/>
                              </wps:bodyPr>
                            </wps:wsp>
                            <wps:wsp>
                              <wps:cNvPr id="92" name="直接箭头连接符 92"/>
                              <wps:cNvCnPr/>
                              <wps:spPr>
                                <a:xfrm>
                                  <a:off x="1876469" y="656068"/>
                                  <a:ext cx="19558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直接箭头连接符 93"/>
                              <wps:cNvCnPr/>
                              <wps:spPr>
                                <a:xfrm>
                                  <a:off x="3037331" y="656049"/>
                                  <a:ext cx="29766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直接箭头连接符 94"/>
                              <wps:cNvCnPr/>
                              <wps:spPr>
                                <a:xfrm>
                                  <a:off x="4253926" y="654298"/>
                                  <a:ext cx="29718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矩形 95"/>
                              <wps:cNvSpPr/>
                              <wps:spPr>
                                <a:xfrm>
                                  <a:off x="4484436" y="532272"/>
                                  <a:ext cx="498604" cy="25146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80B6B">
                                    <w:pPr>
                                      <w:pStyle w:val="33"/>
                                      <w:rPr>
                                        <w:b w:val="0"/>
                                      </w:rPr>
                                    </w:pPr>
                                    <w:r>
                                      <w:rPr>
                                        <w:rFonts w:hint="eastAsia" w:ascii="Times New Roman"/>
                                        <w:b w:val="0"/>
                                        <w:color w:val="000000"/>
                                        <w:kern w:val="2"/>
                                        <w:sz w:val="21"/>
                                        <w:szCs w:val="21"/>
                                      </w:rPr>
                                      <w:t>纯水</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72.6pt;width:393.8pt;" coordsize="5001260,922020" editas="canvas" o:gfxdata="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M3vJ6TWAAAABQEAAA8AAAAAAAAAAQAgAAAAIgAAAGRycy9kb3ducmV2Lnht&#10;bFBLAQIUABQAAAAIAIdO4kDWMBy1xAUAAAgnAAAOAAAAAAAAAAEAIAAAACUBAABkcnMvZTJvRG9j&#10;LnhtbFBLBQYAAAAABgAGAFkBAABbCQAAAAA=&#10;">
                      <o:lock v:ext="edit" aspectratio="f"/>
                      <v:shape id="_x0000_s1026" o:spid="_x0000_s1026" style="position:absolute;left:0;top:0;height:922020;width:5001260;" filled="f" stroked="f" coordsize="21600,21600" o:gfxdata="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">
                        <v:fill on="f" focussize="0,0"/>
                        <v:stroke on="f"/>
                        <v:imagedata o:title=""/>
                        <o:lock v:ext="edit" aspectratio="t"/>
                      </v:shape>
                      <v:rect id="_x0000_s1026" o:spid="_x0000_s1026" o:spt="1" style="position:absolute;left:800188;top:528362;height:253365;width:1076306;v-text-anchor:middle;" fillcolor="#FFFFFF" filled="t" stroked="t" coordsize="21600,21600" o:gfxdata="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ayBKO9UAAAAFAQAADwAAAAAAAAABACAAAAAiAAAA&#10;ZHJzL2Rvd25yZXYueG1sUEsBAhQAFAAAAAgAh07iQMZmJKl8AgAA9QQAAA4AAAAAAAAAAQAgAAAA&#10;JAEAAGRycy9lMm9Eb2MueG1sUEsFBgAAAAAGAAYAWQEAABIGAAAAAA==&#10;">
                        <v:fill on="t" focussize="0,0"/>
                        <v:stroke weight="0.5pt" color="#000000 [3204]" joinstyle="round"/>
                        <v:imagedata o:title=""/>
                        <o:lock v:ext="edit" aspectratio="f"/>
                        <v:textbox>
                          <w:txbxContent>
                            <w:p w14:paraId="6F45178C">
                              <w:pPr>
                                <w:pStyle w:val="33"/>
                                <w:rPr>
                                  <w:b w:val="0"/>
                                </w:rPr>
                              </w:pPr>
                              <w:r>
                                <w:rPr>
                                  <w:rFonts w:hint="eastAsia" w:ascii="Times New Roman"/>
                                  <w:b w:val="0"/>
                                  <w:color w:val="000000"/>
                                  <w:kern w:val="2"/>
                                  <w:sz w:val="21"/>
                                  <w:szCs w:val="21"/>
                                </w:rPr>
                                <w:t>多介质过滤器</w:t>
                              </w:r>
                            </w:p>
                          </w:txbxContent>
                        </v:textbox>
                      </v:rect>
                      <v:rect id="_x0000_s1026" o:spid="_x0000_s1026" o:spt="1" style="position:absolute;left:2072359;top:520392;height:253365;width:972991;v-text-anchor:middle;" fillcolor="#FFFFFF" filled="t" stroked="t" coordsize="21600,21600" o:gfxdata="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&#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rIEo71QAAAAUBAAAPAAAAAAAAAAEAIAAAACIAAABk&#10;cnMvZG93bnJldi54bWxQSwECFAAUAAAACACHTuJAEnG0h3sCAAD1BAAADgAAAAAAAAABACAAAAAk&#10;AQAAZHJzL2Uyb0RvYy54bWxQSwUGAAAAAAYABgBZAQAAEQYAAAAA&#10;">
                        <v:fill on="t" focussize="0,0"/>
                        <v:stroke weight="0.5pt" color="#000000 [3204]" joinstyle="round"/>
                        <v:imagedata o:title=""/>
                        <o:lock v:ext="edit" aspectratio="f"/>
                        <v:textbox>
                          <w:txbxContent>
                            <w:p w14:paraId="614AF459">
                              <w:pPr>
                                <w:pStyle w:val="33"/>
                                <w:rPr>
                                  <w:b w:val="0"/>
                                </w:rPr>
                              </w:pPr>
                              <w:r>
                                <w:rPr>
                                  <w:rFonts w:hint="eastAsia" w:ascii="Times New Roman"/>
                                  <w:b w:val="0"/>
                                  <w:bCs/>
                                  <w:color w:val="000000"/>
                                  <w:kern w:val="2"/>
                                  <w:sz w:val="21"/>
                                  <w:szCs w:val="21"/>
                                </w:rPr>
                                <w:t>保安过滤器</w:t>
                              </w:r>
                            </w:p>
                          </w:txbxContent>
                        </v:textbox>
                      </v:rect>
                      <v:rect id="_x0000_s1026" o:spid="_x0000_s1026" o:spt="1" style="position:absolute;left:3328639;top:520391;height:253365;width:917359;v-text-anchor:middle;" fillcolor="#FFFFFF" filled="t" stroked="t" coordsize="21600,21600" o:gfxdata="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&#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rIEo71QAAAAUBAAAPAAAAAAAAAAEAIAAAACIAAABk&#10;cnMvZG93bnJldi54bWxQSwECFAAUAAAACACHTuJAZK2onnsCAAD1BAAADgAAAAAAAAABACAAAAAk&#10;AQAAZHJzL2Uyb0RvYy54bWxQSwUGAAAAAAYABgBZAQAAEQYAAAAA&#10;">
                        <v:fill on="t" focussize="0,0"/>
                        <v:stroke weight="0.5pt" color="#000000 [3204]" joinstyle="round"/>
                        <v:imagedata o:title=""/>
                        <o:lock v:ext="edit" aspectratio="f"/>
                        <v:textbox>
                          <w:txbxContent>
                            <w:p w14:paraId="5A2E77A8">
                              <w:pPr>
                                <w:pStyle w:val="33"/>
                                <w:rPr>
                                  <w:b w:val="0"/>
                                </w:rPr>
                              </w:pPr>
                              <w:r>
                                <w:rPr>
                                  <w:rFonts w:hint="eastAsia" w:ascii="Times New Roman"/>
                                  <w:b w:val="0"/>
                                  <w:bCs/>
                                  <w:color w:val="000000"/>
                                  <w:kern w:val="2"/>
                                  <w:sz w:val="21"/>
                                  <w:szCs w:val="21"/>
                                </w:rPr>
                                <w:t>两级反渗透</w:t>
                              </w:r>
                            </w:p>
                          </w:txbxContent>
                        </v:textbox>
                      </v:rect>
                      <v:shape id="_x0000_s1026" o:spid="_x0000_s1026" o:spt="32" type="#_x0000_t32" style="position:absolute;left:1353108;top:252137;flip:y;height:276225;width:0;" filled="f" stroked="t" coordsize="21600,21600" o:gfxdata="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bqjWNIAAAAFAQAADwAAAAAAAAABACAAAAAiAAAA&#10;ZHJzL2Rvd25yZXYueG1sUEsBAhQAFAAAAAgAh07iQAw418MNAgAA3wMAAA4AAAAAAAAAAQAgAAAA&#10;IQEAAGRycy9lMm9Eb2MueG1sUEsFBgAAAAAGAAYAWQEAAKAFAAAAAA==&#10;">
                        <v:fill on="f" focussize="0,0"/>
                        <v:stroke color="#000000 [3213]" joinstyle="round" dashstyle="dash" endarrow="block"/>
                        <v:imagedata o:title=""/>
                        <o:lock v:ext="edit" aspectratio="f"/>
                      </v:shape>
                      <v:shape id="_x0000_s1026" o:spid="_x0000_s1026" o:spt="32" type="#_x0000_t32" style="position:absolute;left:604300;top:656065;height:0;width:195871;" filled="f" stroked="t" coordsize="21600,21600" o:gfxdata="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&#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88DB1wAAAAUBAAAPAAAAAAAAAAEAIAAAACIAAABk&#10;cnMvZG93bnJldi54bWxQSwECFAAUAAAACACHTuJAu6JZWgcCAADVAwAADgAAAAAAAAABACAAAAAm&#10;AQAAZHJzL2Uyb0RvYy54bWxQSwUGAAAAAAYABgBZAQAAnwUAAAAA&#10;">
                        <v:fill on="f" focussize="0,0"/>
                        <v:stroke color="#000000 [3213]" joinstyle="round" endarrow="block"/>
                        <v:imagedata o:title=""/>
                        <o:lock v:ext="edit" aspectratio="f"/>
                      </v:shape>
                      <v:rect id="_x0000_s1026" o:spid="_x0000_s1026" o:spt="1" style="position:absolute;left:1054643;top:42;height:252095;width:597535;v-text-anchor:middle;" filled="f" stroked="f" coordsize="21600,21600" o:gfxdata="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ppZ9XXAAAABQEAAA8AAAAAAAAA&#10;AQAgAAAAIgAAAGRycy9kb3ducmV2LnhtbFBLAQIUABQAAAAIAIdO4kBHIGVBSwIAAG0EAAAOAAAA&#10;AAAAAAEAIAAAACYBAABkcnMvZTJvRG9jLnhtbFBLBQYAAAAABgAGAFkBAADjBQAAAAA=&#10;">
                        <v:fill on="f" focussize="0,0"/>
                        <v:stroke on="f" weight="0.5pt"/>
                        <v:imagedata o:title=""/>
                        <o:lock v:ext="edit" aspectratio="f"/>
                        <v:textbox>
                          <w:txbxContent>
                            <w:p w14:paraId="44491631">
                              <w:pPr>
                                <w:pStyle w:val="33"/>
                                <w:rPr>
                                  <w:b w:val="0"/>
                                </w:rPr>
                              </w:pPr>
                              <w:r>
                                <w:rPr>
                                  <w:rFonts w:hint="eastAsia" w:ascii="Times New Roman"/>
                                  <w:b w:val="0"/>
                                  <w:color w:val="000000"/>
                                  <w:kern w:val="2"/>
                                  <w:sz w:val="21"/>
                                  <w:szCs w:val="21"/>
                                </w:rPr>
                                <w:t>废滤材</w:t>
                              </w:r>
                            </w:p>
                          </w:txbxContent>
                        </v:textbox>
                      </v:rect>
                      <v:shape id="_x0000_s1026" o:spid="_x0000_s1026" o:spt="32" type="#_x0000_t32" style="position:absolute;left:3782774;top:252137;flip:y;height:276225;width:0;" filled="f" stroked="t" coordsize="21600,21600" o:gfxdata="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uqNY0gAAAAUBAAAPAAAAAAAAAAEAIAAAACIA&#10;AABkcnMvZG93bnJldi54bWxQSwECFAAUAAAACACHTuJAxvq5Dg8CAADfAwAADgAAAAAAAAABACAA&#10;AAAhAQAAZHJzL2Uyb0RvYy54bWxQSwUGAAAAAAYABgBZAQAAogUAAAAA&#10;">
                        <v:fill on="f" focussize="0,0"/>
                        <v:stroke color="#000000 [3213]" joinstyle="round" dashstyle="dash" endarrow="block"/>
                        <v:imagedata o:title=""/>
                        <o:lock v:ext="edit" aspectratio="f"/>
                      </v:shape>
                      <v:rect id="_x0000_s1026" o:spid="_x0000_s1026" o:spt="1" style="position:absolute;left:2295049;top:7993;height:252095;width:597535;v-text-anchor:middle;" filled="f" stroked="f" coordsize="21600,21600" o:gfxdata="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mln1dcAAAAFAQAADwAAAAAA&#10;AAABACAAAAAiAAAAZHJzL2Rvd25yZXYueG1sUEsBAhQAFAAAAAgAh07iQHzT9BVNAgAAbwQAAA4A&#10;AAAAAAAAAQAgAAAAJgEAAGRycy9lMm9Eb2MueG1sUEsFBgAAAAAGAAYAWQEAAOUFAAAAAA==&#10;">
                        <v:fill on="f" focussize="0,0"/>
                        <v:stroke on="f" weight="0.5pt"/>
                        <v:imagedata o:title=""/>
                        <o:lock v:ext="edit" aspectratio="f"/>
                        <v:textbox>
                          <w:txbxContent>
                            <w:p w14:paraId="7F484A8C">
                              <w:pPr>
                                <w:pStyle w:val="33"/>
                                <w:rPr>
                                  <w:b w:val="0"/>
                                </w:rPr>
                              </w:pPr>
                              <w:r>
                                <w:rPr>
                                  <w:rFonts w:hint="eastAsia" w:ascii="Times New Roman"/>
                                  <w:b w:val="0"/>
                                  <w:color w:val="000000"/>
                                  <w:kern w:val="2"/>
                                  <w:sz w:val="21"/>
                                  <w:szCs w:val="21"/>
                                </w:rPr>
                                <w:t>废滤材</w:t>
                              </w:r>
                            </w:p>
                          </w:txbxContent>
                        </v:textbox>
                      </v:rect>
                      <v:shape id="_x0000_s1026" o:spid="_x0000_s1026" o:spt="32" type="#_x0000_t32" style="position:absolute;left:2582125;top:244186;flip:y;height:276225;width:0;" filled="f" stroked="t" coordsize="21600,21600" o:gfxdata="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&#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uqNY0gAAAAUBAAAPAAAAAAAAAAEAIAAAACIAAABk&#10;cnMvZG93bnJldi54bWxQSwECFAAUAAAACACHTuJAiDl1owwCAADfAwAADgAAAAAAAAABACAAAAAh&#10;AQAAZHJzL2Uyb0RvYy54bWxQSwUGAAAAAAYABgBZAQAAnwUAAAAA&#10;">
                        <v:fill on="f" focussize="0,0"/>
                        <v:stroke color="#000000 [3213]" joinstyle="round" dashstyle="dash" endarrow="block"/>
                        <v:imagedata o:title=""/>
                        <o:lock v:ext="edit" aspectratio="f"/>
                      </v:shape>
                      <v:rect id="_x0000_s1026" o:spid="_x0000_s1026" o:spt="1" style="position:absolute;left:3273057;top:15944;height:252095;width:980896;v-text-anchor:middle;" filled="f" stroked="f" coordsize="21600,21600" o:gfxdata="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ppZ9XXAAAABQEAAA8AAAAA&#10;AAAAAQAgAAAAIgAAAGRycy9kb3ducmV2LnhtbFBLAQIUABQAAAAIAIdO4kAle/WtTgIAAHAEAAAO&#10;AAAAAAAAAAEAIAAAACYBAABkcnMvZTJvRG9jLnhtbFBLBQYAAAAABgAGAFkBAADmBQAAAAA=&#10;">
                        <v:fill on="f" focussize="0,0"/>
                        <v:stroke on="f" weight="0.5pt"/>
                        <v:imagedata o:title=""/>
                        <o:lock v:ext="edit" aspectratio="f"/>
                        <v:textbox>
                          <w:txbxContent>
                            <w:p w14:paraId="320F1462">
                              <w:pPr>
                                <w:pStyle w:val="33"/>
                                <w:rPr>
                                  <w:b w:val="0"/>
                                </w:rPr>
                              </w:pPr>
                              <w:r>
                                <w:rPr>
                                  <w:rFonts w:hint="eastAsia" w:ascii="Times New Roman"/>
                                  <w:b w:val="0"/>
                                  <w:color w:val="000000"/>
                                  <w:kern w:val="2"/>
                                  <w:sz w:val="21"/>
                                  <w:szCs w:val="21"/>
                                </w:rPr>
                                <w:t>废滤材、浓水</w:t>
                              </w:r>
                            </w:p>
                          </w:txbxContent>
                        </v:textbox>
                      </v:rect>
                      <v:rect id="_x0000_s1026" o:spid="_x0000_s1026" o:spt="1" style="position:absolute;left:0;top:529592;height:252095;width:604286;v-text-anchor:middle;" filled="f" stroked="f" coordsize="21600,21600" o:gfxdata="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mln1dcAAAAFAQAADwAAAAAAAAABACAA&#10;AAAiAAAAZHJzL2Rvd25yZXYueG1sUEsBAhQAFAAAAAgAh07iQHLlQX1HAgAAawQAAA4AAAAAAAAA&#10;AQAgAAAAJgEAAGRycy9lMm9Eb2MueG1sUEsFBgAAAAAGAAYAWQEAAN8FAAAAAA==&#10;">
                        <v:fill on="f" focussize="0,0"/>
                        <v:stroke on="f" weight="0.5pt"/>
                        <v:imagedata o:title=""/>
                        <o:lock v:ext="edit" aspectratio="f"/>
                        <v:textbox>
                          <w:txbxContent>
                            <w:p w14:paraId="2705617A">
                              <w:pPr>
                                <w:pStyle w:val="33"/>
                                <w:rPr>
                                  <w:b w:val="0"/>
                                </w:rPr>
                              </w:pPr>
                              <w:r>
                                <w:rPr>
                                  <w:rFonts w:hint="eastAsia" w:ascii="Times New Roman"/>
                                  <w:b w:val="0"/>
                                  <w:color w:val="000000"/>
                                  <w:kern w:val="2"/>
                                  <w:sz w:val="21"/>
                                  <w:szCs w:val="21"/>
                                </w:rPr>
                                <w:t>自来水</w:t>
                              </w:r>
                            </w:p>
                          </w:txbxContent>
                        </v:textbox>
                      </v:rect>
                      <v:shape id="_x0000_s1026" o:spid="_x0000_s1026" o:spt="32" type="#_x0000_t32" style="position:absolute;left:1876469;top:656068;height:0;width:195580;" filled="f" stroked="t" coordsize="21600,21600" o:gfxdata="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88DB1wAAAAUBAAAPAAAAAAAAAAEAIAAAACIAAABk&#10;cnMvZG93bnJldi54bWxQSwECFAAUAAAACACHTuJA6MpL5AcCAADWAwAADgAAAAAAAAABACAAAAAm&#10;AQAAZHJzL2Uyb0RvYy54bWxQSwUGAAAAAAYABgBZAQAAnwUAAAAA&#10;">
                        <v:fill on="f" focussize="0,0"/>
                        <v:stroke color="#000000 [3213]" joinstyle="round" endarrow="block"/>
                        <v:imagedata o:title=""/>
                        <o:lock v:ext="edit" aspectratio="f"/>
                      </v:shape>
                      <v:shape id="_x0000_s1026" o:spid="_x0000_s1026" o:spt="32" type="#_x0000_t32" style="position:absolute;left:3037331;top:656049;height:0;width:297660;" filled="f" stroked="t" coordsize="21600,21600" o:gfxdata="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vPAwdcAAAAFAQAADwAAAAAAAAABACAAAAAiAAAA&#10;ZHJzL2Rvd25yZXYueG1sUEsBAhQAFAAAAAgAh07iQPiCNdwIAgAA1gMAAA4AAAAAAAAAAQAgAAAA&#10;JgEAAGRycy9lMm9Eb2MueG1sUEsFBgAAAAAGAAYAWQEAAKAFAAAAAA==&#10;">
                        <v:fill on="f" focussize="0,0"/>
                        <v:stroke color="#000000 [3213]" joinstyle="round" endarrow="block"/>
                        <v:imagedata o:title=""/>
                        <o:lock v:ext="edit" aspectratio="f"/>
                      </v:shape>
                      <v:shape id="_x0000_s1026" o:spid="_x0000_s1026" o:spt="32" type="#_x0000_t32" style="position:absolute;left:4253926;top:654298;height:0;width:297180;" filled="f" stroked="t" coordsize="21600,21600" o:gfxdata="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vPAwdcAAAAFAQAADwAAAAAAAAABACAAAAAiAAAA&#10;ZHJzL2Rvd25yZXYueG1sUEsBAhQAFAAAAAgAh07iQHLJu5QIAgAA1gMAAA4AAAAAAAAAAQAgAAAA&#10;JgEAAGRycy9lMm9Eb2MueG1sUEsFBgAAAAAGAAYAWQEAAKAFAAAAAA==&#10;">
                        <v:fill on="f" focussize="0,0"/>
                        <v:stroke color="#000000 [3213]" joinstyle="round" endarrow="block"/>
                        <v:imagedata o:title=""/>
                        <o:lock v:ext="edit" aspectratio="f"/>
                      </v:shape>
                      <v:rect id="_x0000_s1026" o:spid="_x0000_s1026" o:spt="1" style="position:absolute;left:4484436;top:532272;height:251460;width:498604;v-text-anchor:middle;" filled="f" stroked="f" coordsize="21600,21600" o:gfxdata="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qaWfV1wAAAAUBAAAPAAAA&#10;AAAAAAEAIAAAACIAAABkcnMvZG93bnJldi54bWxQSwECFAAUAAAACACHTuJAYsyU3k8CAABxBAAA&#10;DgAAAAAAAAABACAAAAAmAQAAZHJzL2Uyb0RvYy54bWxQSwUGAAAAAAYABgBZAQAA5wUAAAAA&#10;">
                        <v:fill on="f" focussize="0,0"/>
                        <v:stroke on="f" weight="0.5pt"/>
                        <v:imagedata o:title=""/>
                        <o:lock v:ext="edit" aspectratio="f"/>
                        <v:textbox>
                          <w:txbxContent>
                            <w:p w14:paraId="67380B6B">
                              <w:pPr>
                                <w:pStyle w:val="33"/>
                                <w:rPr>
                                  <w:b w:val="0"/>
                                </w:rPr>
                              </w:pPr>
                              <w:r>
                                <w:rPr>
                                  <w:rFonts w:hint="eastAsia" w:ascii="Times New Roman"/>
                                  <w:b w:val="0"/>
                                  <w:color w:val="000000"/>
                                  <w:kern w:val="2"/>
                                  <w:sz w:val="21"/>
                                  <w:szCs w:val="21"/>
                                </w:rPr>
                                <w:t>纯水</w:t>
                              </w:r>
                            </w:p>
                          </w:txbxContent>
                        </v:textbox>
                      </v:rect>
                      <w10:wrap type="none"/>
                      <w10:anchorlock/>
                    </v:group>
                  </w:pict>
                </mc:Fallback>
              </mc:AlternateContent>
            </w:r>
          </w:p>
          <w:p w14:paraId="30E0665F">
            <w:pPr>
              <w:pStyle w:val="137"/>
              <w:widowControl/>
              <w:numPr>
                <w:ilvl w:val="0"/>
                <w:numId w:val="5"/>
              </w:numPr>
              <w:adjustRightInd w:val="0"/>
              <w:snapToGrid w:val="0"/>
              <w:spacing w:line="360" w:lineRule="auto"/>
              <w:ind w:firstLineChars="0"/>
              <w:jc w:val="center"/>
              <w:rPr>
                <w:u w:val="single"/>
              </w:rPr>
            </w:pPr>
            <w:r>
              <w:rPr>
                <w:rFonts w:hint="eastAsia"/>
                <w:b/>
                <w:szCs w:val="21"/>
                <w:u w:val="single"/>
              </w:rPr>
              <w:t>纯水制备工艺流程及产污环节图</w:t>
            </w:r>
          </w:p>
          <w:p w14:paraId="19325644">
            <w:pPr>
              <w:spacing w:line="360" w:lineRule="auto"/>
              <w:ind w:firstLine="480" w:firstLineChars="200"/>
              <w:rPr>
                <w:bCs/>
                <w:sz w:val="24"/>
                <w:u w:val="single"/>
              </w:rPr>
            </w:pPr>
            <w:r>
              <w:rPr>
                <w:rFonts w:hint="eastAsia"/>
                <w:bCs/>
                <w:sz w:val="24"/>
                <w:u w:val="single"/>
              </w:rPr>
              <w:t>纯水制备工作原理：自来水经多级过滤去除水中的胶体物质、悬浮物、微细物质等杂质后，进入两级反渗透装置，经反渗透膜进行脱盐，降低水的电导率，即得纯水。</w:t>
            </w:r>
          </w:p>
          <w:p w14:paraId="768E9F6A">
            <w:pPr>
              <w:spacing w:line="360" w:lineRule="auto"/>
              <w:ind w:firstLine="480" w:firstLineChars="200"/>
              <w:rPr>
                <w:bCs/>
                <w:sz w:val="24"/>
                <w:u w:val="single"/>
              </w:rPr>
            </w:pPr>
            <w:r>
              <w:rPr>
                <w:rFonts w:hint="eastAsia"/>
                <w:bCs/>
                <w:sz w:val="24"/>
                <w:u w:val="single"/>
              </w:rPr>
              <w:t>过滤器和反渗透装置内滤材定期更换会产生少量废滤材；反渗透装置会产生一定量的浓水，浓水含盐量较高，污染物浓度较低，可直接排入市政管网，引入清丰中州水务有限公司第二污水处理厂进行处理。</w:t>
            </w:r>
          </w:p>
          <w:p w14:paraId="542647AD">
            <w:pPr>
              <w:spacing w:line="360" w:lineRule="auto"/>
              <w:ind w:firstLine="482" w:firstLineChars="200"/>
              <w:rPr>
                <w:b/>
                <w:bCs/>
                <w:sz w:val="24"/>
              </w:rPr>
            </w:pPr>
            <w:r>
              <w:rPr>
                <w:rFonts w:hint="eastAsia"/>
                <w:b/>
                <w:bCs/>
                <w:sz w:val="24"/>
              </w:rPr>
              <w:t>（4）产污环节分析</w:t>
            </w:r>
          </w:p>
          <w:p w14:paraId="7063250D">
            <w:pPr>
              <w:spacing w:line="360" w:lineRule="auto"/>
              <w:ind w:firstLine="480" w:firstLineChars="200"/>
              <w:rPr>
                <w:bCs/>
                <w:sz w:val="24"/>
              </w:rPr>
            </w:pPr>
            <w:r>
              <w:rPr>
                <w:rFonts w:hint="eastAsia"/>
                <w:bCs/>
                <w:sz w:val="24"/>
              </w:rPr>
              <w:t>根据项目生产工艺，本项目营运期主要污染工序见下表。</w:t>
            </w:r>
          </w:p>
          <w:p w14:paraId="6BB1AE54">
            <w:pPr>
              <w:pStyle w:val="137"/>
              <w:numPr>
                <w:ilvl w:val="0"/>
                <w:numId w:val="4"/>
              </w:numPr>
              <w:spacing w:line="360" w:lineRule="auto"/>
              <w:ind w:firstLineChars="0"/>
              <w:jc w:val="center"/>
              <w:rPr>
                <w:b/>
                <w:bCs/>
                <w:szCs w:val="21"/>
              </w:rPr>
            </w:pPr>
            <w:r>
              <w:rPr>
                <w:rFonts w:hint="eastAsia"/>
                <w:b/>
                <w:bCs/>
                <w:szCs w:val="21"/>
              </w:rPr>
              <w:t>本项目营运期产污环节一览表</w:t>
            </w:r>
          </w:p>
          <w:tbl>
            <w:tblPr>
              <w:tblStyle w:val="39"/>
              <w:tblW w:w="779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4"/>
              <w:gridCol w:w="1506"/>
              <w:gridCol w:w="1105"/>
              <w:gridCol w:w="4536"/>
            </w:tblGrid>
            <w:tr w14:paraId="4FF643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44" w:type="dxa"/>
                  <w:vAlign w:val="center"/>
                </w:tcPr>
                <w:p w14:paraId="27BA6989">
                  <w:pPr>
                    <w:widowControl/>
                    <w:jc w:val="center"/>
                    <w:rPr>
                      <w:b/>
                      <w:bCs/>
                      <w:kern w:val="0"/>
                      <w:szCs w:val="21"/>
                    </w:rPr>
                  </w:pPr>
                  <w:r>
                    <w:rPr>
                      <w:rFonts w:hint="eastAsia"/>
                      <w:b/>
                      <w:bCs/>
                      <w:kern w:val="0"/>
                      <w:szCs w:val="21"/>
                    </w:rPr>
                    <w:t>项目</w:t>
                  </w:r>
                </w:p>
              </w:tc>
              <w:tc>
                <w:tcPr>
                  <w:tcW w:w="1506" w:type="dxa"/>
                  <w:vAlign w:val="center"/>
                </w:tcPr>
                <w:p w14:paraId="3E88096E">
                  <w:pPr>
                    <w:widowControl/>
                    <w:jc w:val="center"/>
                    <w:rPr>
                      <w:b/>
                      <w:bCs/>
                      <w:kern w:val="0"/>
                      <w:szCs w:val="21"/>
                    </w:rPr>
                  </w:pPr>
                  <w:r>
                    <w:rPr>
                      <w:rFonts w:hint="eastAsia"/>
                      <w:b/>
                      <w:bCs/>
                      <w:kern w:val="0"/>
                      <w:szCs w:val="21"/>
                    </w:rPr>
                    <w:t>产污环节</w:t>
                  </w:r>
                </w:p>
              </w:tc>
              <w:tc>
                <w:tcPr>
                  <w:tcW w:w="1105" w:type="dxa"/>
                  <w:vAlign w:val="center"/>
                </w:tcPr>
                <w:p w14:paraId="5513C79F">
                  <w:pPr>
                    <w:widowControl/>
                    <w:jc w:val="center"/>
                    <w:rPr>
                      <w:b/>
                      <w:bCs/>
                      <w:kern w:val="0"/>
                      <w:szCs w:val="21"/>
                    </w:rPr>
                  </w:pPr>
                  <w:r>
                    <w:rPr>
                      <w:rFonts w:hint="eastAsia"/>
                      <w:b/>
                      <w:bCs/>
                      <w:kern w:val="0"/>
                      <w:szCs w:val="21"/>
                    </w:rPr>
                    <w:t>污染因子</w:t>
                  </w:r>
                </w:p>
              </w:tc>
              <w:tc>
                <w:tcPr>
                  <w:tcW w:w="4536" w:type="dxa"/>
                  <w:vAlign w:val="center"/>
                </w:tcPr>
                <w:p w14:paraId="2F2616BA">
                  <w:pPr>
                    <w:widowControl/>
                    <w:jc w:val="center"/>
                    <w:rPr>
                      <w:b/>
                      <w:bCs/>
                      <w:kern w:val="0"/>
                      <w:szCs w:val="21"/>
                    </w:rPr>
                  </w:pPr>
                  <w:r>
                    <w:rPr>
                      <w:rFonts w:hint="eastAsia"/>
                      <w:b/>
                      <w:bCs/>
                      <w:kern w:val="0"/>
                      <w:szCs w:val="21"/>
                    </w:rPr>
                    <w:t>拟采取防治措施</w:t>
                  </w:r>
                </w:p>
              </w:tc>
            </w:tr>
            <w:tr w14:paraId="44443A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644" w:type="dxa"/>
                  <w:vMerge w:val="restart"/>
                  <w:vAlign w:val="center"/>
                </w:tcPr>
                <w:p w14:paraId="12EC4856">
                  <w:pPr>
                    <w:widowControl/>
                    <w:jc w:val="center"/>
                    <w:rPr>
                      <w:b/>
                      <w:bCs/>
                      <w:kern w:val="0"/>
                      <w:szCs w:val="21"/>
                    </w:rPr>
                  </w:pPr>
                  <w:r>
                    <w:rPr>
                      <w:rFonts w:hint="eastAsia"/>
                      <w:b/>
                      <w:bCs/>
                      <w:kern w:val="0"/>
                      <w:szCs w:val="21"/>
                    </w:rPr>
                    <w:t>废气</w:t>
                  </w:r>
                </w:p>
              </w:tc>
              <w:tc>
                <w:tcPr>
                  <w:tcW w:w="1506" w:type="dxa"/>
                  <w:vAlign w:val="center"/>
                </w:tcPr>
                <w:p w14:paraId="27AC0F72">
                  <w:pPr>
                    <w:widowControl/>
                    <w:jc w:val="center"/>
                    <w:rPr>
                      <w:bCs/>
                      <w:kern w:val="0"/>
                      <w:szCs w:val="21"/>
                    </w:rPr>
                  </w:pPr>
                  <w:r>
                    <w:rPr>
                      <w:rFonts w:hint="eastAsia"/>
                      <w:bCs/>
                      <w:kern w:val="0"/>
                      <w:szCs w:val="21"/>
                    </w:rPr>
                    <w:t>中空工艺有机废气（涂胶、固定、硅酮胶搅拌混合以及封胶过程）</w:t>
                  </w:r>
                </w:p>
              </w:tc>
              <w:tc>
                <w:tcPr>
                  <w:tcW w:w="1105" w:type="dxa"/>
                  <w:vAlign w:val="center"/>
                </w:tcPr>
                <w:p w14:paraId="0C07CDA6">
                  <w:pPr>
                    <w:widowControl/>
                    <w:jc w:val="center"/>
                    <w:rPr>
                      <w:bCs/>
                      <w:kern w:val="0"/>
                      <w:szCs w:val="21"/>
                    </w:rPr>
                  </w:pPr>
                  <w:r>
                    <w:rPr>
                      <w:rFonts w:hint="eastAsia"/>
                      <w:bCs/>
                      <w:kern w:val="0"/>
                      <w:szCs w:val="21"/>
                    </w:rPr>
                    <w:t>非甲烷总烃</w:t>
                  </w:r>
                </w:p>
              </w:tc>
              <w:tc>
                <w:tcPr>
                  <w:tcW w:w="4536" w:type="dxa"/>
                  <w:vAlign w:val="center"/>
                </w:tcPr>
                <w:p w14:paraId="01AE361D">
                  <w:pPr>
                    <w:widowControl/>
                    <w:jc w:val="center"/>
                    <w:rPr>
                      <w:bCs/>
                      <w:kern w:val="0"/>
                      <w:szCs w:val="21"/>
                    </w:rPr>
                  </w:pPr>
                  <w:r>
                    <w:rPr>
                      <w:rFonts w:hint="eastAsia"/>
                      <w:bCs/>
                      <w:kern w:val="0"/>
                      <w:szCs w:val="21"/>
                    </w:rPr>
                    <w:t>集气装置+活性炭吸附-脱附+催化燃烧+15m高排气筒（DA001）排放</w:t>
                  </w:r>
                </w:p>
              </w:tc>
            </w:tr>
            <w:tr w14:paraId="44A9C4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644" w:type="dxa"/>
                  <w:vMerge w:val="continue"/>
                  <w:vAlign w:val="center"/>
                </w:tcPr>
                <w:p w14:paraId="138C6FF1">
                  <w:pPr>
                    <w:widowControl/>
                    <w:jc w:val="center"/>
                    <w:rPr>
                      <w:b/>
                      <w:bCs/>
                      <w:kern w:val="0"/>
                      <w:szCs w:val="21"/>
                    </w:rPr>
                  </w:pPr>
                </w:p>
              </w:tc>
              <w:tc>
                <w:tcPr>
                  <w:tcW w:w="1506" w:type="dxa"/>
                  <w:vAlign w:val="center"/>
                </w:tcPr>
                <w:p w14:paraId="24092F15">
                  <w:pPr>
                    <w:widowControl/>
                    <w:jc w:val="center"/>
                    <w:rPr>
                      <w:bCs/>
                      <w:kern w:val="0"/>
                      <w:szCs w:val="21"/>
                      <w:u w:val="single"/>
                    </w:rPr>
                  </w:pPr>
                  <w:r>
                    <w:rPr>
                      <w:rFonts w:hint="eastAsia"/>
                      <w:bCs/>
                      <w:kern w:val="0"/>
                      <w:szCs w:val="21"/>
                      <w:u w:val="single"/>
                    </w:rPr>
                    <w:t>危废暂存间废气</w:t>
                  </w:r>
                </w:p>
              </w:tc>
              <w:tc>
                <w:tcPr>
                  <w:tcW w:w="1105" w:type="dxa"/>
                  <w:vAlign w:val="center"/>
                </w:tcPr>
                <w:p w14:paraId="5E71C1A7">
                  <w:pPr>
                    <w:widowControl/>
                    <w:jc w:val="center"/>
                    <w:rPr>
                      <w:bCs/>
                      <w:kern w:val="0"/>
                      <w:szCs w:val="21"/>
                      <w:u w:val="single"/>
                    </w:rPr>
                  </w:pPr>
                  <w:r>
                    <w:rPr>
                      <w:rFonts w:hint="eastAsia"/>
                      <w:bCs/>
                      <w:kern w:val="0"/>
                      <w:szCs w:val="21"/>
                      <w:u w:val="single"/>
                    </w:rPr>
                    <w:t>非甲烷总烃</w:t>
                  </w:r>
                </w:p>
              </w:tc>
              <w:tc>
                <w:tcPr>
                  <w:tcW w:w="4536" w:type="dxa"/>
                  <w:vAlign w:val="center"/>
                </w:tcPr>
                <w:p w14:paraId="401A7A23">
                  <w:pPr>
                    <w:widowControl/>
                    <w:jc w:val="center"/>
                    <w:rPr>
                      <w:bCs/>
                      <w:kern w:val="0"/>
                      <w:szCs w:val="21"/>
                      <w:u w:val="single"/>
                    </w:rPr>
                  </w:pPr>
                  <w:r>
                    <w:rPr>
                      <w:rFonts w:hint="eastAsia"/>
                      <w:bCs/>
                      <w:kern w:val="0"/>
                      <w:szCs w:val="21"/>
                      <w:u w:val="single"/>
                    </w:rPr>
                    <w:t>通过采取危险废物密封储存，设置集气管道并设置风阀，换气后废气进入“活性炭吸附-脱附+催化燃烧”进行处理，处理后通过15m高排气筒（DA001）排放</w:t>
                  </w:r>
                </w:p>
              </w:tc>
            </w:tr>
            <w:tr w14:paraId="35FBBF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644" w:type="dxa"/>
                  <w:vMerge w:val="restart"/>
                  <w:vAlign w:val="center"/>
                </w:tcPr>
                <w:p w14:paraId="540DDEDE">
                  <w:pPr>
                    <w:jc w:val="center"/>
                    <w:rPr>
                      <w:b/>
                      <w:bCs/>
                      <w:kern w:val="0"/>
                      <w:szCs w:val="21"/>
                    </w:rPr>
                  </w:pPr>
                  <w:r>
                    <w:rPr>
                      <w:rFonts w:hint="eastAsia"/>
                      <w:b/>
                      <w:bCs/>
                      <w:kern w:val="0"/>
                      <w:szCs w:val="21"/>
                    </w:rPr>
                    <w:t>废水</w:t>
                  </w:r>
                </w:p>
              </w:tc>
              <w:tc>
                <w:tcPr>
                  <w:tcW w:w="1506" w:type="dxa"/>
                  <w:vAlign w:val="center"/>
                </w:tcPr>
                <w:p w14:paraId="300DF861">
                  <w:pPr>
                    <w:jc w:val="center"/>
                    <w:rPr>
                      <w:bCs/>
                      <w:kern w:val="0"/>
                      <w:szCs w:val="21"/>
                    </w:rPr>
                  </w:pPr>
                  <w:r>
                    <w:rPr>
                      <w:rFonts w:hint="eastAsia"/>
                      <w:bCs/>
                      <w:kern w:val="0"/>
                      <w:szCs w:val="21"/>
                    </w:rPr>
                    <w:t>生活污水</w:t>
                  </w:r>
                </w:p>
              </w:tc>
              <w:tc>
                <w:tcPr>
                  <w:tcW w:w="1105" w:type="dxa"/>
                  <w:vAlign w:val="center"/>
                </w:tcPr>
                <w:p w14:paraId="45E6E3F5">
                  <w:pPr>
                    <w:jc w:val="center"/>
                    <w:rPr>
                      <w:bCs/>
                      <w:kern w:val="0"/>
                      <w:szCs w:val="21"/>
                    </w:rPr>
                  </w:pPr>
                  <w:r>
                    <w:rPr>
                      <w:rFonts w:hint="eastAsia"/>
                      <w:bCs/>
                      <w:kern w:val="0"/>
                      <w:szCs w:val="21"/>
                    </w:rPr>
                    <w:t>COD、BOD</w:t>
                  </w:r>
                  <w:r>
                    <w:rPr>
                      <w:rFonts w:hint="eastAsia"/>
                      <w:bCs/>
                      <w:kern w:val="0"/>
                      <w:szCs w:val="21"/>
                      <w:vertAlign w:val="subscript"/>
                    </w:rPr>
                    <w:t>5</w:t>
                  </w:r>
                  <w:r>
                    <w:rPr>
                      <w:rFonts w:hint="eastAsia"/>
                      <w:bCs/>
                      <w:kern w:val="0"/>
                      <w:szCs w:val="21"/>
                    </w:rPr>
                    <w:t>、SS、氨氮</w:t>
                  </w:r>
                </w:p>
              </w:tc>
              <w:tc>
                <w:tcPr>
                  <w:tcW w:w="4536" w:type="dxa"/>
                  <w:vAlign w:val="center"/>
                </w:tcPr>
                <w:p w14:paraId="5DF2E723">
                  <w:pPr>
                    <w:jc w:val="center"/>
                    <w:rPr>
                      <w:bCs/>
                      <w:kern w:val="0"/>
                      <w:szCs w:val="21"/>
                    </w:rPr>
                  </w:pPr>
                  <w:r>
                    <w:rPr>
                      <w:rFonts w:hint="eastAsia"/>
                      <w:bCs/>
                      <w:kern w:val="0"/>
                      <w:szCs w:val="21"/>
                    </w:rPr>
                    <w:t>厂内无食堂与住宿，生活污水经化粪池处理后排入市政管网，通过市政管网排入清丰中州水务有限公司第二污水处理厂进行处理</w:t>
                  </w:r>
                </w:p>
              </w:tc>
            </w:tr>
            <w:tr w14:paraId="75E77C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644" w:type="dxa"/>
                  <w:vMerge w:val="continue"/>
                  <w:vAlign w:val="center"/>
                </w:tcPr>
                <w:p w14:paraId="7588C243">
                  <w:pPr>
                    <w:jc w:val="center"/>
                    <w:rPr>
                      <w:b/>
                      <w:bCs/>
                      <w:kern w:val="0"/>
                      <w:szCs w:val="21"/>
                    </w:rPr>
                  </w:pPr>
                </w:p>
              </w:tc>
              <w:tc>
                <w:tcPr>
                  <w:tcW w:w="1506" w:type="dxa"/>
                  <w:vAlign w:val="center"/>
                </w:tcPr>
                <w:p w14:paraId="2C1A04D8">
                  <w:pPr>
                    <w:jc w:val="center"/>
                    <w:rPr>
                      <w:bCs/>
                      <w:kern w:val="0"/>
                      <w:szCs w:val="21"/>
                      <w:u w:val="single"/>
                    </w:rPr>
                  </w:pPr>
                  <w:r>
                    <w:rPr>
                      <w:rFonts w:hint="eastAsia"/>
                      <w:bCs/>
                      <w:kern w:val="0"/>
                      <w:szCs w:val="21"/>
                      <w:u w:val="single"/>
                    </w:rPr>
                    <w:t>磨边、清洗废水</w:t>
                  </w:r>
                </w:p>
              </w:tc>
              <w:tc>
                <w:tcPr>
                  <w:tcW w:w="1105" w:type="dxa"/>
                  <w:vAlign w:val="center"/>
                </w:tcPr>
                <w:p w14:paraId="1236BEF6">
                  <w:pPr>
                    <w:jc w:val="center"/>
                    <w:rPr>
                      <w:bCs/>
                      <w:kern w:val="0"/>
                      <w:szCs w:val="21"/>
                      <w:u w:val="single"/>
                    </w:rPr>
                  </w:pPr>
                  <w:r>
                    <w:rPr>
                      <w:rFonts w:hint="eastAsia"/>
                      <w:bCs/>
                      <w:kern w:val="0"/>
                      <w:szCs w:val="21"/>
                      <w:u w:val="single"/>
                    </w:rPr>
                    <w:t>COD、SS</w:t>
                  </w:r>
                </w:p>
              </w:tc>
              <w:tc>
                <w:tcPr>
                  <w:tcW w:w="4536" w:type="dxa"/>
                  <w:vAlign w:val="center"/>
                </w:tcPr>
                <w:p w14:paraId="427B565B">
                  <w:pPr>
                    <w:adjustRightInd w:val="0"/>
                    <w:snapToGrid w:val="0"/>
                    <w:rPr>
                      <w:szCs w:val="21"/>
                      <w:u w:val="single"/>
                    </w:rPr>
                  </w:pPr>
                  <w:r>
                    <w:rPr>
                      <w:rFonts w:hint="eastAsia"/>
                      <w:szCs w:val="21"/>
                      <w:u w:val="single"/>
                    </w:rPr>
                    <w:t>磨边、清洗废水经循环水槽收集后循环使用，定期更换的生产废水经三级沉淀池（1.5m×7m×2.8m，容积29.4m</w:t>
                  </w:r>
                  <w:r>
                    <w:rPr>
                      <w:rFonts w:hint="eastAsia"/>
                      <w:szCs w:val="21"/>
                      <w:u w:val="single"/>
                      <w:vertAlign w:val="superscript"/>
                    </w:rPr>
                    <w:t>3</w:t>
                  </w:r>
                  <w:r>
                    <w:rPr>
                      <w:rFonts w:hint="eastAsia"/>
                      <w:szCs w:val="21"/>
                      <w:u w:val="single"/>
                    </w:rPr>
                    <w:t>）处理后部分回用于磨边工序，剩余废水定期外排，通过市政管网排入清丰中州水务有限公司第二污水处理厂进一步处理</w:t>
                  </w:r>
                </w:p>
              </w:tc>
            </w:tr>
            <w:tr w14:paraId="7EE7EE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644" w:type="dxa"/>
                  <w:vMerge w:val="continue"/>
                  <w:vAlign w:val="center"/>
                </w:tcPr>
                <w:p w14:paraId="422CD73D">
                  <w:pPr>
                    <w:jc w:val="center"/>
                    <w:rPr>
                      <w:b/>
                      <w:bCs/>
                      <w:kern w:val="0"/>
                      <w:szCs w:val="21"/>
                    </w:rPr>
                  </w:pPr>
                </w:p>
              </w:tc>
              <w:tc>
                <w:tcPr>
                  <w:tcW w:w="1506" w:type="dxa"/>
                  <w:vAlign w:val="center"/>
                </w:tcPr>
                <w:p w14:paraId="7E88746C">
                  <w:pPr>
                    <w:jc w:val="center"/>
                    <w:rPr>
                      <w:bCs/>
                      <w:kern w:val="0"/>
                      <w:szCs w:val="21"/>
                      <w:u w:val="single"/>
                    </w:rPr>
                  </w:pPr>
                  <w:r>
                    <w:rPr>
                      <w:rFonts w:hint="eastAsia"/>
                      <w:bCs/>
                      <w:kern w:val="0"/>
                      <w:szCs w:val="21"/>
                      <w:u w:val="single"/>
                    </w:rPr>
                    <w:t>纯水制备浓水</w:t>
                  </w:r>
                </w:p>
              </w:tc>
              <w:tc>
                <w:tcPr>
                  <w:tcW w:w="1105" w:type="dxa"/>
                  <w:vAlign w:val="center"/>
                </w:tcPr>
                <w:p w14:paraId="52B85659">
                  <w:pPr>
                    <w:jc w:val="center"/>
                    <w:rPr>
                      <w:bCs/>
                      <w:kern w:val="0"/>
                      <w:szCs w:val="21"/>
                      <w:u w:val="single"/>
                    </w:rPr>
                  </w:pPr>
                  <w:r>
                    <w:rPr>
                      <w:rFonts w:hint="eastAsia"/>
                      <w:bCs/>
                      <w:kern w:val="0"/>
                      <w:szCs w:val="21"/>
                      <w:u w:val="single"/>
                    </w:rPr>
                    <w:t>COD、SS、全盐量</w:t>
                  </w:r>
                </w:p>
              </w:tc>
              <w:tc>
                <w:tcPr>
                  <w:tcW w:w="4536" w:type="dxa"/>
                  <w:vAlign w:val="center"/>
                </w:tcPr>
                <w:p w14:paraId="63CA6B2A">
                  <w:pPr>
                    <w:adjustRightInd w:val="0"/>
                    <w:snapToGrid w:val="0"/>
                    <w:rPr>
                      <w:szCs w:val="21"/>
                      <w:u w:val="single"/>
                    </w:rPr>
                  </w:pPr>
                  <w:r>
                    <w:rPr>
                      <w:rFonts w:hint="eastAsia"/>
                      <w:szCs w:val="21"/>
                      <w:u w:val="single"/>
                    </w:rPr>
                    <w:t>直接排入市政管网，通过市政管网排入清丰中州水务有限公司第二污水处理厂进一步处理</w:t>
                  </w:r>
                </w:p>
              </w:tc>
            </w:tr>
            <w:tr w14:paraId="4CBAA6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644" w:type="dxa"/>
                  <w:vMerge w:val="restart"/>
                  <w:vAlign w:val="center"/>
                </w:tcPr>
                <w:p w14:paraId="3E21BC4F">
                  <w:pPr>
                    <w:jc w:val="center"/>
                    <w:rPr>
                      <w:b/>
                      <w:bCs/>
                      <w:kern w:val="0"/>
                      <w:szCs w:val="21"/>
                    </w:rPr>
                  </w:pPr>
                  <w:r>
                    <w:rPr>
                      <w:rFonts w:hint="eastAsia"/>
                      <w:b/>
                      <w:bCs/>
                      <w:kern w:val="0"/>
                      <w:szCs w:val="21"/>
                    </w:rPr>
                    <w:t>固废</w:t>
                  </w:r>
                </w:p>
              </w:tc>
              <w:tc>
                <w:tcPr>
                  <w:tcW w:w="1506" w:type="dxa"/>
                  <w:vAlign w:val="center"/>
                </w:tcPr>
                <w:p w14:paraId="02FEB46F">
                  <w:pPr>
                    <w:jc w:val="center"/>
                    <w:rPr>
                      <w:bCs/>
                      <w:kern w:val="0"/>
                      <w:szCs w:val="21"/>
                    </w:rPr>
                  </w:pPr>
                  <w:r>
                    <w:rPr>
                      <w:rFonts w:hint="eastAsia"/>
                      <w:bCs/>
                      <w:kern w:val="0"/>
                      <w:szCs w:val="21"/>
                    </w:rPr>
                    <w:t>生产过程</w:t>
                  </w:r>
                </w:p>
              </w:tc>
              <w:tc>
                <w:tcPr>
                  <w:tcW w:w="1105" w:type="dxa"/>
                  <w:vAlign w:val="center"/>
                </w:tcPr>
                <w:p w14:paraId="1FB092BE">
                  <w:pPr>
                    <w:jc w:val="center"/>
                    <w:rPr>
                      <w:bCs/>
                      <w:kern w:val="0"/>
                      <w:szCs w:val="21"/>
                    </w:rPr>
                  </w:pPr>
                  <w:r>
                    <w:rPr>
                      <w:rFonts w:hint="eastAsia"/>
                      <w:bCs/>
                      <w:kern w:val="0"/>
                      <w:szCs w:val="21"/>
                    </w:rPr>
                    <w:t>废玻璃边角料、不合格品</w:t>
                  </w:r>
                </w:p>
              </w:tc>
              <w:tc>
                <w:tcPr>
                  <w:tcW w:w="4536" w:type="dxa"/>
                  <w:vMerge w:val="restart"/>
                  <w:vAlign w:val="center"/>
                </w:tcPr>
                <w:p w14:paraId="75A9DA5A">
                  <w:pPr>
                    <w:jc w:val="center"/>
                    <w:rPr>
                      <w:bCs/>
                      <w:kern w:val="0"/>
                      <w:szCs w:val="21"/>
                    </w:rPr>
                  </w:pPr>
                  <w:r>
                    <w:rPr>
                      <w:bCs/>
                      <w:kern w:val="0"/>
                      <w:szCs w:val="21"/>
                    </w:rPr>
                    <w:t>属一般工业固废</w:t>
                  </w:r>
                  <w:r>
                    <w:rPr>
                      <w:rFonts w:hint="eastAsia"/>
                      <w:bCs/>
                      <w:kern w:val="0"/>
                      <w:szCs w:val="21"/>
                    </w:rPr>
                    <w:t>，收集后外售综合利用或交专业公司处理处置</w:t>
                  </w:r>
                </w:p>
              </w:tc>
            </w:tr>
            <w:tr w14:paraId="0D3252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644" w:type="dxa"/>
                  <w:vMerge w:val="continue"/>
                  <w:vAlign w:val="center"/>
                </w:tcPr>
                <w:p w14:paraId="4CB156F4">
                  <w:pPr>
                    <w:jc w:val="center"/>
                    <w:rPr>
                      <w:b/>
                      <w:bCs/>
                      <w:kern w:val="0"/>
                      <w:szCs w:val="21"/>
                    </w:rPr>
                  </w:pPr>
                </w:p>
              </w:tc>
              <w:tc>
                <w:tcPr>
                  <w:tcW w:w="1506" w:type="dxa"/>
                  <w:vAlign w:val="center"/>
                </w:tcPr>
                <w:p w14:paraId="00FB4E2E">
                  <w:pPr>
                    <w:jc w:val="center"/>
                    <w:rPr>
                      <w:bCs/>
                      <w:kern w:val="0"/>
                      <w:szCs w:val="21"/>
                    </w:rPr>
                  </w:pPr>
                  <w:r>
                    <w:rPr>
                      <w:rFonts w:hint="eastAsia"/>
                      <w:bCs/>
                      <w:kern w:val="0"/>
                      <w:szCs w:val="21"/>
                    </w:rPr>
                    <w:t>铝条加工</w:t>
                  </w:r>
                </w:p>
              </w:tc>
              <w:tc>
                <w:tcPr>
                  <w:tcW w:w="1105" w:type="dxa"/>
                  <w:vAlign w:val="center"/>
                </w:tcPr>
                <w:p w14:paraId="70B3BA23">
                  <w:pPr>
                    <w:jc w:val="center"/>
                    <w:rPr>
                      <w:bCs/>
                      <w:kern w:val="0"/>
                      <w:szCs w:val="21"/>
                    </w:rPr>
                  </w:pPr>
                  <w:r>
                    <w:rPr>
                      <w:rFonts w:hint="eastAsia"/>
                      <w:bCs/>
                      <w:kern w:val="0"/>
                      <w:szCs w:val="21"/>
                    </w:rPr>
                    <w:t>废铝条</w:t>
                  </w:r>
                </w:p>
              </w:tc>
              <w:tc>
                <w:tcPr>
                  <w:tcW w:w="4536" w:type="dxa"/>
                  <w:vMerge w:val="continue"/>
                  <w:vAlign w:val="center"/>
                </w:tcPr>
                <w:p w14:paraId="409114BB">
                  <w:pPr>
                    <w:jc w:val="center"/>
                    <w:rPr>
                      <w:bCs/>
                      <w:kern w:val="0"/>
                      <w:szCs w:val="21"/>
                    </w:rPr>
                  </w:pPr>
                </w:p>
              </w:tc>
            </w:tr>
            <w:tr w14:paraId="61D68E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644" w:type="dxa"/>
                  <w:vMerge w:val="continue"/>
                  <w:vAlign w:val="center"/>
                </w:tcPr>
                <w:p w14:paraId="20C7B38E">
                  <w:pPr>
                    <w:jc w:val="center"/>
                    <w:rPr>
                      <w:b/>
                      <w:bCs/>
                      <w:kern w:val="0"/>
                      <w:szCs w:val="21"/>
                    </w:rPr>
                  </w:pPr>
                </w:p>
              </w:tc>
              <w:tc>
                <w:tcPr>
                  <w:tcW w:w="1506" w:type="dxa"/>
                  <w:vAlign w:val="center"/>
                </w:tcPr>
                <w:p w14:paraId="3788B00E">
                  <w:pPr>
                    <w:jc w:val="center"/>
                    <w:rPr>
                      <w:bCs/>
                      <w:kern w:val="0"/>
                      <w:szCs w:val="21"/>
                    </w:rPr>
                  </w:pPr>
                  <w:r>
                    <w:rPr>
                      <w:rFonts w:hint="eastAsia"/>
                      <w:bCs/>
                      <w:kern w:val="0"/>
                      <w:szCs w:val="21"/>
                    </w:rPr>
                    <w:t>磨边、清洗水沉淀池</w:t>
                  </w:r>
                </w:p>
              </w:tc>
              <w:tc>
                <w:tcPr>
                  <w:tcW w:w="1105" w:type="dxa"/>
                  <w:vAlign w:val="center"/>
                </w:tcPr>
                <w:p w14:paraId="10B1898C">
                  <w:pPr>
                    <w:jc w:val="center"/>
                    <w:rPr>
                      <w:bCs/>
                      <w:kern w:val="0"/>
                      <w:szCs w:val="21"/>
                    </w:rPr>
                  </w:pPr>
                  <w:r>
                    <w:rPr>
                      <w:rFonts w:hint="eastAsia"/>
                      <w:bCs/>
                      <w:kern w:val="0"/>
                      <w:szCs w:val="21"/>
                    </w:rPr>
                    <w:t>玻璃沉渣</w:t>
                  </w:r>
                </w:p>
              </w:tc>
              <w:tc>
                <w:tcPr>
                  <w:tcW w:w="4536" w:type="dxa"/>
                  <w:vMerge w:val="continue"/>
                  <w:vAlign w:val="center"/>
                </w:tcPr>
                <w:p w14:paraId="7B6746F0">
                  <w:pPr>
                    <w:jc w:val="center"/>
                    <w:rPr>
                      <w:bCs/>
                      <w:kern w:val="0"/>
                      <w:szCs w:val="21"/>
                    </w:rPr>
                  </w:pPr>
                </w:p>
              </w:tc>
            </w:tr>
            <w:tr w14:paraId="57CD57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644" w:type="dxa"/>
                  <w:vMerge w:val="continue"/>
                  <w:vAlign w:val="center"/>
                </w:tcPr>
                <w:p w14:paraId="7766A9EB">
                  <w:pPr>
                    <w:jc w:val="center"/>
                    <w:rPr>
                      <w:b/>
                      <w:bCs/>
                      <w:kern w:val="0"/>
                      <w:szCs w:val="21"/>
                    </w:rPr>
                  </w:pPr>
                </w:p>
              </w:tc>
              <w:tc>
                <w:tcPr>
                  <w:tcW w:w="1506" w:type="dxa"/>
                  <w:vAlign w:val="center"/>
                </w:tcPr>
                <w:p w14:paraId="637C32F0">
                  <w:pPr>
                    <w:jc w:val="center"/>
                    <w:rPr>
                      <w:bCs/>
                      <w:kern w:val="0"/>
                      <w:szCs w:val="21"/>
                      <w:u w:val="single"/>
                    </w:rPr>
                  </w:pPr>
                  <w:r>
                    <w:rPr>
                      <w:rFonts w:hint="eastAsia"/>
                      <w:bCs/>
                      <w:kern w:val="0"/>
                      <w:szCs w:val="21"/>
                      <w:u w:val="single"/>
                    </w:rPr>
                    <w:t>纯水制备</w:t>
                  </w:r>
                </w:p>
              </w:tc>
              <w:tc>
                <w:tcPr>
                  <w:tcW w:w="1105" w:type="dxa"/>
                  <w:vAlign w:val="center"/>
                </w:tcPr>
                <w:p w14:paraId="00F53C31">
                  <w:pPr>
                    <w:jc w:val="center"/>
                    <w:rPr>
                      <w:bCs/>
                      <w:kern w:val="0"/>
                      <w:szCs w:val="21"/>
                      <w:u w:val="single"/>
                    </w:rPr>
                  </w:pPr>
                  <w:r>
                    <w:rPr>
                      <w:rFonts w:hint="eastAsia"/>
                      <w:bCs/>
                      <w:kern w:val="0"/>
                      <w:szCs w:val="21"/>
                      <w:u w:val="single"/>
                    </w:rPr>
                    <w:t>废滤材</w:t>
                  </w:r>
                </w:p>
              </w:tc>
              <w:tc>
                <w:tcPr>
                  <w:tcW w:w="4536" w:type="dxa"/>
                  <w:vAlign w:val="center"/>
                </w:tcPr>
                <w:p w14:paraId="7E4DED86">
                  <w:pPr>
                    <w:jc w:val="center"/>
                    <w:rPr>
                      <w:bCs/>
                      <w:kern w:val="0"/>
                      <w:szCs w:val="21"/>
                      <w:u w:val="single"/>
                    </w:rPr>
                  </w:pPr>
                  <w:r>
                    <w:rPr>
                      <w:bCs/>
                      <w:kern w:val="0"/>
                      <w:szCs w:val="21"/>
                      <w:u w:val="single"/>
                    </w:rPr>
                    <w:t>属一般工业固废</w:t>
                  </w:r>
                  <w:r>
                    <w:rPr>
                      <w:rFonts w:hint="eastAsia"/>
                      <w:bCs/>
                      <w:kern w:val="0"/>
                      <w:szCs w:val="21"/>
                      <w:u w:val="single"/>
                    </w:rPr>
                    <w:t>，由厂家更换回收</w:t>
                  </w:r>
                </w:p>
              </w:tc>
            </w:tr>
            <w:tr w14:paraId="2DEF4D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644" w:type="dxa"/>
                  <w:vMerge w:val="continue"/>
                  <w:vAlign w:val="center"/>
                </w:tcPr>
                <w:p w14:paraId="0D3E7F04">
                  <w:pPr>
                    <w:jc w:val="center"/>
                    <w:rPr>
                      <w:b/>
                      <w:bCs/>
                      <w:kern w:val="0"/>
                      <w:szCs w:val="21"/>
                    </w:rPr>
                  </w:pPr>
                </w:p>
              </w:tc>
              <w:tc>
                <w:tcPr>
                  <w:tcW w:w="1506" w:type="dxa"/>
                  <w:vAlign w:val="center"/>
                </w:tcPr>
                <w:p w14:paraId="0C03AC0D">
                  <w:pPr>
                    <w:jc w:val="center"/>
                    <w:rPr>
                      <w:rFonts w:hint="eastAsia"/>
                      <w:bCs/>
                      <w:kern w:val="0"/>
                      <w:szCs w:val="21"/>
                      <w:u w:val="single"/>
                    </w:rPr>
                  </w:pPr>
                  <w:r>
                    <w:rPr>
                      <w:rFonts w:hint="eastAsia"/>
                      <w:bCs/>
                      <w:kern w:val="0"/>
                      <w:szCs w:val="21"/>
                      <w:u w:val="single"/>
                    </w:rPr>
                    <w:t>密封胶使用过程</w:t>
                  </w:r>
                </w:p>
              </w:tc>
              <w:tc>
                <w:tcPr>
                  <w:tcW w:w="1105" w:type="dxa"/>
                  <w:vAlign w:val="center"/>
                </w:tcPr>
                <w:p w14:paraId="3B4E72DF">
                  <w:pPr>
                    <w:jc w:val="center"/>
                    <w:rPr>
                      <w:rFonts w:hint="eastAsia"/>
                      <w:bCs/>
                      <w:kern w:val="0"/>
                      <w:szCs w:val="21"/>
                      <w:u w:val="single"/>
                    </w:rPr>
                  </w:pPr>
                  <w:r>
                    <w:rPr>
                      <w:rFonts w:hint="eastAsia"/>
                      <w:bCs/>
                      <w:kern w:val="0"/>
                      <w:szCs w:val="21"/>
                      <w:u w:val="single"/>
                    </w:rPr>
                    <w:t>未沾染胶的废胶桶</w:t>
                  </w:r>
                </w:p>
              </w:tc>
              <w:tc>
                <w:tcPr>
                  <w:tcW w:w="4536" w:type="dxa"/>
                  <w:vAlign w:val="center"/>
                </w:tcPr>
                <w:p w14:paraId="7EBE3C50">
                  <w:pPr>
                    <w:jc w:val="center"/>
                    <w:rPr>
                      <w:bCs/>
                      <w:kern w:val="0"/>
                      <w:szCs w:val="21"/>
                      <w:u w:val="single"/>
                    </w:rPr>
                  </w:pPr>
                  <w:r>
                    <w:rPr>
                      <w:bCs/>
                      <w:kern w:val="0"/>
                      <w:szCs w:val="21"/>
                      <w:u w:val="single"/>
                    </w:rPr>
                    <w:t>属一般工业固废</w:t>
                  </w:r>
                  <w:r>
                    <w:rPr>
                      <w:rFonts w:hint="eastAsia"/>
                      <w:bCs/>
                      <w:kern w:val="0"/>
                      <w:szCs w:val="21"/>
                      <w:u w:val="single"/>
                    </w:rPr>
                    <w:t>，由厂家回收利用</w:t>
                  </w:r>
                </w:p>
              </w:tc>
            </w:tr>
            <w:tr w14:paraId="0454A3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644" w:type="dxa"/>
                  <w:vMerge w:val="continue"/>
                  <w:vAlign w:val="center"/>
                </w:tcPr>
                <w:p w14:paraId="3015B452">
                  <w:pPr>
                    <w:jc w:val="center"/>
                    <w:rPr>
                      <w:b/>
                      <w:bCs/>
                      <w:kern w:val="0"/>
                      <w:szCs w:val="21"/>
                    </w:rPr>
                  </w:pPr>
                </w:p>
              </w:tc>
              <w:tc>
                <w:tcPr>
                  <w:tcW w:w="1506" w:type="dxa"/>
                  <w:vAlign w:val="center"/>
                </w:tcPr>
                <w:p w14:paraId="537EBE7B">
                  <w:pPr>
                    <w:jc w:val="center"/>
                    <w:rPr>
                      <w:rFonts w:hint="eastAsia"/>
                      <w:bCs/>
                      <w:kern w:val="0"/>
                      <w:szCs w:val="21"/>
                      <w:u w:val="single"/>
                    </w:rPr>
                  </w:pPr>
                  <w:r>
                    <w:rPr>
                      <w:rFonts w:hint="eastAsia"/>
                      <w:bCs/>
                      <w:kern w:val="0"/>
                      <w:szCs w:val="21"/>
                      <w:u w:val="single"/>
                    </w:rPr>
                    <w:t>设备维修保养</w:t>
                  </w:r>
                </w:p>
              </w:tc>
              <w:tc>
                <w:tcPr>
                  <w:tcW w:w="1105" w:type="dxa"/>
                  <w:vAlign w:val="center"/>
                </w:tcPr>
                <w:p w14:paraId="6677B826">
                  <w:pPr>
                    <w:jc w:val="center"/>
                    <w:rPr>
                      <w:rFonts w:hint="eastAsia"/>
                      <w:bCs/>
                      <w:kern w:val="0"/>
                      <w:szCs w:val="21"/>
                      <w:u w:val="single"/>
                    </w:rPr>
                  </w:pPr>
                  <w:r>
                    <w:rPr>
                      <w:rFonts w:hint="eastAsia"/>
                      <w:bCs/>
                      <w:kern w:val="0"/>
                      <w:szCs w:val="21"/>
                      <w:u w:val="single"/>
                    </w:rPr>
                    <w:t>废润滑油及其包装桶</w:t>
                  </w:r>
                </w:p>
              </w:tc>
              <w:tc>
                <w:tcPr>
                  <w:tcW w:w="4536" w:type="dxa"/>
                  <w:vMerge w:val="restart"/>
                  <w:vAlign w:val="center"/>
                </w:tcPr>
                <w:p w14:paraId="2E08D62D">
                  <w:pPr>
                    <w:jc w:val="center"/>
                    <w:rPr>
                      <w:bCs/>
                      <w:kern w:val="0"/>
                      <w:szCs w:val="21"/>
                    </w:rPr>
                  </w:pPr>
                  <w:r>
                    <w:rPr>
                      <w:bCs/>
                      <w:kern w:val="0"/>
                      <w:szCs w:val="21"/>
                    </w:rPr>
                    <w:t>属危险废物</w:t>
                  </w:r>
                  <w:r>
                    <w:rPr>
                      <w:rFonts w:hint="eastAsia"/>
                      <w:bCs/>
                      <w:kern w:val="0"/>
                      <w:szCs w:val="21"/>
                    </w:rPr>
                    <w:t>，收集后分类暂存于危废间内，定期交有资质单位回收处置</w:t>
                  </w:r>
                </w:p>
              </w:tc>
            </w:tr>
            <w:tr w14:paraId="1E5AFC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69" w:hRule="atLeast"/>
                <w:jc w:val="center"/>
              </w:trPr>
              <w:tc>
                <w:tcPr>
                  <w:tcW w:w="644" w:type="dxa"/>
                  <w:vMerge w:val="continue"/>
                  <w:vAlign w:val="center"/>
                </w:tcPr>
                <w:p w14:paraId="18D28ABD">
                  <w:pPr>
                    <w:widowControl/>
                    <w:jc w:val="center"/>
                    <w:rPr>
                      <w:b/>
                      <w:bCs/>
                      <w:kern w:val="0"/>
                      <w:szCs w:val="21"/>
                    </w:rPr>
                  </w:pPr>
                </w:p>
              </w:tc>
              <w:tc>
                <w:tcPr>
                  <w:tcW w:w="1506" w:type="dxa"/>
                  <w:vAlign w:val="center"/>
                </w:tcPr>
                <w:p w14:paraId="18897D88">
                  <w:pPr>
                    <w:widowControl/>
                    <w:jc w:val="center"/>
                    <w:rPr>
                      <w:bCs/>
                      <w:kern w:val="0"/>
                      <w:szCs w:val="21"/>
                      <w:u w:val="single"/>
                    </w:rPr>
                  </w:pPr>
                  <w:r>
                    <w:rPr>
                      <w:rFonts w:hint="eastAsia"/>
                      <w:bCs/>
                      <w:kern w:val="0"/>
                      <w:szCs w:val="21"/>
                      <w:u w:val="single"/>
                    </w:rPr>
                    <w:t>密封胶使用过程</w:t>
                  </w:r>
                </w:p>
              </w:tc>
              <w:tc>
                <w:tcPr>
                  <w:tcW w:w="1105" w:type="dxa"/>
                  <w:vAlign w:val="center"/>
                </w:tcPr>
                <w:p w14:paraId="57CF3A6C">
                  <w:pPr>
                    <w:jc w:val="center"/>
                    <w:rPr>
                      <w:bCs/>
                      <w:kern w:val="0"/>
                      <w:szCs w:val="21"/>
                      <w:u w:val="single"/>
                    </w:rPr>
                  </w:pPr>
                  <w:r>
                    <w:rPr>
                      <w:rFonts w:hint="eastAsia"/>
                      <w:bCs/>
                      <w:kern w:val="0"/>
                      <w:szCs w:val="21"/>
                      <w:u w:val="single"/>
                    </w:rPr>
                    <w:t>沾染胶的废塑料膜和废胶桶</w:t>
                  </w:r>
                </w:p>
              </w:tc>
              <w:tc>
                <w:tcPr>
                  <w:tcW w:w="4536" w:type="dxa"/>
                  <w:vMerge w:val="continue"/>
                  <w:vAlign w:val="center"/>
                </w:tcPr>
                <w:p w14:paraId="3C90DB74">
                  <w:pPr>
                    <w:jc w:val="center"/>
                    <w:rPr>
                      <w:bCs/>
                      <w:kern w:val="0"/>
                      <w:szCs w:val="21"/>
                      <w:highlight w:val="yellow"/>
                    </w:rPr>
                  </w:pPr>
                </w:p>
              </w:tc>
            </w:tr>
            <w:tr w14:paraId="27528B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644" w:type="dxa"/>
                  <w:vMerge w:val="continue"/>
                  <w:vAlign w:val="center"/>
                </w:tcPr>
                <w:p w14:paraId="1C3EF47B">
                  <w:pPr>
                    <w:widowControl/>
                    <w:jc w:val="center"/>
                    <w:rPr>
                      <w:b/>
                      <w:bCs/>
                      <w:kern w:val="0"/>
                      <w:szCs w:val="21"/>
                    </w:rPr>
                  </w:pPr>
                </w:p>
              </w:tc>
              <w:tc>
                <w:tcPr>
                  <w:tcW w:w="1506" w:type="dxa"/>
                  <w:vAlign w:val="center"/>
                </w:tcPr>
                <w:p w14:paraId="2D9BC2F5">
                  <w:pPr>
                    <w:widowControl/>
                    <w:jc w:val="center"/>
                    <w:rPr>
                      <w:bCs/>
                      <w:kern w:val="0"/>
                      <w:szCs w:val="21"/>
                    </w:rPr>
                  </w:pPr>
                  <w:r>
                    <w:rPr>
                      <w:bCs/>
                      <w:kern w:val="0"/>
                      <w:szCs w:val="21"/>
                    </w:rPr>
                    <w:t>废气治理</w:t>
                  </w:r>
                </w:p>
              </w:tc>
              <w:tc>
                <w:tcPr>
                  <w:tcW w:w="1105" w:type="dxa"/>
                  <w:vAlign w:val="center"/>
                </w:tcPr>
                <w:p w14:paraId="23C693E4">
                  <w:pPr>
                    <w:widowControl/>
                    <w:jc w:val="center"/>
                    <w:rPr>
                      <w:bCs/>
                      <w:kern w:val="0"/>
                      <w:szCs w:val="21"/>
                    </w:rPr>
                  </w:pPr>
                  <w:r>
                    <w:rPr>
                      <w:rFonts w:hint="eastAsia"/>
                      <w:bCs/>
                      <w:kern w:val="0"/>
                      <w:szCs w:val="21"/>
                    </w:rPr>
                    <w:t>废活性炭</w:t>
                  </w:r>
                </w:p>
              </w:tc>
              <w:tc>
                <w:tcPr>
                  <w:tcW w:w="4536" w:type="dxa"/>
                  <w:vMerge w:val="continue"/>
                  <w:vAlign w:val="center"/>
                </w:tcPr>
                <w:p w14:paraId="7E1CE558">
                  <w:pPr>
                    <w:jc w:val="center"/>
                    <w:rPr>
                      <w:bCs/>
                      <w:kern w:val="0"/>
                      <w:szCs w:val="21"/>
                      <w:highlight w:val="yellow"/>
                    </w:rPr>
                  </w:pPr>
                </w:p>
              </w:tc>
            </w:tr>
            <w:tr w14:paraId="5834F0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644" w:type="dxa"/>
                  <w:vMerge w:val="continue"/>
                  <w:vAlign w:val="center"/>
                </w:tcPr>
                <w:p w14:paraId="4BBD9169">
                  <w:pPr>
                    <w:widowControl/>
                    <w:jc w:val="center"/>
                    <w:rPr>
                      <w:b/>
                      <w:bCs/>
                      <w:kern w:val="0"/>
                      <w:szCs w:val="21"/>
                    </w:rPr>
                  </w:pPr>
                </w:p>
              </w:tc>
              <w:tc>
                <w:tcPr>
                  <w:tcW w:w="1506" w:type="dxa"/>
                  <w:vAlign w:val="center"/>
                </w:tcPr>
                <w:p w14:paraId="04CD4AEC">
                  <w:pPr>
                    <w:widowControl/>
                    <w:jc w:val="center"/>
                    <w:rPr>
                      <w:bCs/>
                      <w:kern w:val="0"/>
                      <w:szCs w:val="21"/>
                    </w:rPr>
                  </w:pPr>
                  <w:r>
                    <w:rPr>
                      <w:bCs/>
                      <w:kern w:val="0"/>
                      <w:szCs w:val="21"/>
                    </w:rPr>
                    <w:t>废气治理</w:t>
                  </w:r>
                </w:p>
              </w:tc>
              <w:tc>
                <w:tcPr>
                  <w:tcW w:w="1105" w:type="dxa"/>
                  <w:vAlign w:val="center"/>
                </w:tcPr>
                <w:p w14:paraId="1013E1A5">
                  <w:pPr>
                    <w:widowControl/>
                    <w:jc w:val="center"/>
                    <w:rPr>
                      <w:bCs/>
                      <w:kern w:val="0"/>
                      <w:szCs w:val="21"/>
                    </w:rPr>
                  </w:pPr>
                  <w:r>
                    <w:rPr>
                      <w:rFonts w:hint="eastAsia"/>
                      <w:bCs/>
                      <w:kern w:val="0"/>
                      <w:szCs w:val="21"/>
                    </w:rPr>
                    <w:t>废催化剂</w:t>
                  </w:r>
                </w:p>
              </w:tc>
              <w:tc>
                <w:tcPr>
                  <w:tcW w:w="4536" w:type="dxa"/>
                  <w:vMerge w:val="continue"/>
                  <w:vAlign w:val="center"/>
                </w:tcPr>
                <w:p w14:paraId="7FA4FC28">
                  <w:pPr>
                    <w:jc w:val="center"/>
                    <w:rPr>
                      <w:bCs/>
                      <w:kern w:val="0"/>
                      <w:szCs w:val="21"/>
                      <w:highlight w:val="yellow"/>
                    </w:rPr>
                  </w:pPr>
                </w:p>
              </w:tc>
            </w:tr>
            <w:tr w14:paraId="64723D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644" w:type="dxa"/>
                  <w:vMerge w:val="continue"/>
                  <w:vAlign w:val="center"/>
                </w:tcPr>
                <w:p w14:paraId="1C93AC8B">
                  <w:pPr>
                    <w:widowControl/>
                    <w:jc w:val="center"/>
                    <w:rPr>
                      <w:b/>
                      <w:bCs/>
                      <w:kern w:val="0"/>
                      <w:szCs w:val="21"/>
                    </w:rPr>
                  </w:pPr>
                </w:p>
              </w:tc>
              <w:tc>
                <w:tcPr>
                  <w:tcW w:w="1506" w:type="dxa"/>
                  <w:vAlign w:val="center"/>
                </w:tcPr>
                <w:p w14:paraId="253E1764">
                  <w:pPr>
                    <w:widowControl/>
                    <w:jc w:val="center"/>
                    <w:rPr>
                      <w:bCs/>
                      <w:kern w:val="0"/>
                      <w:szCs w:val="21"/>
                    </w:rPr>
                  </w:pPr>
                  <w:r>
                    <w:rPr>
                      <w:rFonts w:hint="eastAsia"/>
                      <w:bCs/>
                      <w:kern w:val="0"/>
                      <w:szCs w:val="21"/>
                    </w:rPr>
                    <w:t>员工办公</w:t>
                  </w:r>
                </w:p>
              </w:tc>
              <w:tc>
                <w:tcPr>
                  <w:tcW w:w="1105" w:type="dxa"/>
                  <w:vAlign w:val="center"/>
                </w:tcPr>
                <w:p w14:paraId="5A7A1AB1">
                  <w:pPr>
                    <w:widowControl/>
                    <w:jc w:val="center"/>
                    <w:rPr>
                      <w:bCs/>
                      <w:kern w:val="0"/>
                      <w:szCs w:val="21"/>
                    </w:rPr>
                  </w:pPr>
                  <w:r>
                    <w:rPr>
                      <w:rFonts w:hint="eastAsia"/>
                      <w:bCs/>
                      <w:kern w:val="0"/>
                      <w:szCs w:val="21"/>
                    </w:rPr>
                    <w:t>生活垃圾</w:t>
                  </w:r>
                </w:p>
              </w:tc>
              <w:tc>
                <w:tcPr>
                  <w:tcW w:w="4536" w:type="dxa"/>
                  <w:vAlign w:val="center"/>
                </w:tcPr>
                <w:p w14:paraId="77B2053B">
                  <w:pPr>
                    <w:widowControl/>
                    <w:jc w:val="center"/>
                    <w:rPr>
                      <w:bCs/>
                      <w:kern w:val="0"/>
                      <w:szCs w:val="21"/>
                    </w:rPr>
                  </w:pPr>
                  <w:r>
                    <w:rPr>
                      <w:rFonts w:hint="eastAsia"/>
                      <w:bCs/>
                      <w:kern w:val="0"/>
                      <w:szCs w:val="21"/>
                    </w:rPr>
                    <w:t>收集后由环卫部门统一处理</w:t>
                  </w:r>
                </w:p>
              </w:tc>
            </w:tr>
            <w:tr w14:paraId="067EC3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644" w:type="dxa"/>
                  <w:vAlign w:val="center"/>
                </w:tcPr>
                <w:p w14:paraId="14A1EF0E">
                  <w:pPr>
                    <w:widowControl/>
                    <w:jc w:val="center"/>
                    <w:rPr>
                      <w:b/>
                      <w:bCs/>
                      <w:kern w:val="0"/>
                      <w:szCs w:val="21"/>
                    </w:rPr>
                  </w:pPr>
                  <w:r>
                    <w:rPr>
                      <w:rFonts w:hint="eastAsia"/>
                      <w:b/>
                      <w:bCs/>
                      <w:kern w:val="0"/>
                      <w:szCs w:val="21"/>
                    </w:rPr>
                    <w:t>噪声</w:t>
                  </w:r>
                </w:p>
              </w:tc>
              <w:tc>
                <w:tcPr>
                  <w:tcW w:w="1506" w:type="dxa"/>
                  <w:vAlign w:val="center"/>
                </w:tcPr>
                <w:p w14:paraId="7436490B">
                  <w:pPr>
                    <w:widowControl/>
                    <w:jc w:val="center"/>
                    <w:rPr>
                      <w:bCs/>
                      <w:kern w:val="0"/>
                      <w:szCs w:val="21"/>
                    </w:rPr>
                  </w:pPr>
                  <w:r>
                    <w:rPr>
                      <w:rFonts w:hint="eastAsia"/>
                      <w:bCs/>
                      <w:kern w:val="0"/>
                      <w:szCs w:val="21"/>
                    </w:rPr>
                    <w:t>设备噪声</w:t>
                  </w:r>
                </w:p>
              </w:tc>
              <w:tc>
                <w:tcPr>
                  <w:tcW w:w="1105" w:type="dxa"/>
                  <w:vAlign w:val="center"/>
                </w:tcPr>
                <w:p w14:paraId="497C999C">
                  <w:pPr>
                    <w:widowControl/>
                    <w:jc w:val="center"/>
                    <w:rPr>
                      <w:bCs/>
                      <w:kern w:val="0"/>
                      <w:szCs w:val="21"/>
                    </w:rPr>
                  </w:pPr>
                  <w:r>
                    <w:rPr>
                      <w:rFonts w:hint="eastAsia"/>
                      <w:bCs/>
                      <w:kern w:val="0"/>
                      <w:szCs w:val="21"/>
                    </w:rPr>
                    <w:t>噪声</w:t>
                  </w:r>
                  <w:r>
                    <w:rPr>
                      <w:bCs/>
                      <w:kern w:val="0"/>
                      <w:szCs w:val="21"/>
                    </w:rPr>
                    <w:t>LeqA</w:t>
                  </w:r>
                </w:p>
              </w:tc>
              <w:tc>
                <w:tcPr>
                  <w:tcW w:w="4536" w:type="dxa"/>
                  <w:vAlign w:val="center"/>
                </w:tcPr>
                <w:p w14:paraId="3D1DF782">
                  <w:pPr>
                    <w:widowControl/>
                    <w:jc w:val="center"/>
                    <w:rPr>
                      <w:bCs/>
                      <w:kern w:val="0"/>
                      <w:szCs w:val="21"/>
                    </w:rPr>
                  </w:pPr>
                  <w:r>
                    <w:rPr>
                      <w:rFonts w:hint="eastAsia"/>
                      <w:bCs/>
                      <w:kern w:val="0"/>
                      <w:szCs w:val="21"/>
                    </w:rPr>
                    <w:t>选用低噪声设备，基础减振、隔声等措施</w:t>
                  </w:r>
                </w:p>
              </w:tc>
            </w:tr>
          </w:tbl>
          <w:p w14:paraId="5466DFBC">
            <w:pPr>
              <w:spacing w:line="360" w:lineRule="auto"/>
              <w:ind w:firstLine="420" w:firstLineChars="200"/>
            </w:pPr>
          </w:p>
        </w:tc>
      </w:tr>
      <w:tr w14:paraId="5CA92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9" w:type="dxa"/>
            <w:vAlign w:val="center"/>
          </w:tcPr>
          <w:p w14:paraId="562DBF85">
            <w:pPr>
              <w:pStyle w:val="33"/>
            </w:pPr>
            <w:bookmarkStart w:id="4" w:name="_Toc157673387"/>
            <w:r>
              <w:rPr>
                <w:rFonts w:hint="eastAsia"/>
              </w:rPr>
              <w:t>与项目有关的原有环境污染问题</w:t>
            </w:r>
            <w:bookmarkEnd w:id="4"/>
          </w:p>
        </w:tc>
        <w:tc>
          <w:tcPr>
            <w:tcW w:w="8205" w:type="dxa"/>
            <w:vAlign w:val="center"/>
          </w:tcPr>
          <w:p w14:paraId="4774B5CD">
            <w:pPr>
              <w:spacing w:line="360" w:lineRule="auto"/>
              <w:ind w:firstLine="482" w:firstLineChars="200"/>
              <w:rPr>
                <w:b/>
                <w:bCs/>
                <w:sz w:val="24"/>
              </w:rPr>
            </w:pPr>
            <w:r>
              <w:rPr>
                <w:rFonts w:hint="eastAsia"/>
                <w:b/>
                <w:bCs/>
                <w:sz w:val="24"/>
              </w:rPr>
              <w:t>1、原项目履行环境影响评价、竣工环境保护验收、排污许可手续等情况</w:t>
            </w:r>
          </w:p>
          <w:p w14:paraId="7FB0510B">
            <w:pPr>
              <w:spacing w:line="360" w:lineRule="auto"/>
              <w:ind w:firstLine="480" w:firstLineChars="200"/>
              <w:rPr>
                <w:bCs/>
                <w:sz w:val="24"/>
              </w:rPr>
            </w:pPr>
            <w:r>
              <w:rPr>
                <w:rFonts w:hint="eastAsia"/>
                <w:bCs/>
                <w:sz w:val="24"/>
              </w:rPr>
              <w:t>濮阳天和玻璃有限责任公司成立于2021年10月，位于河南省濮阳市清丰县城关镇产业集聚区建设路东侧001号，原建设项目《濮阳天和玻璃有限责任公司年加工30万平方米钢化玻璃、30万平方米中空玻璃项目环境影响报告表》于2022年10月14日取得清丰县环境保护局的批复，批复文号：清环审〔2022〕20号。</w:t>
            </w:r>
          </w:p>
          <w:p w14:paraId="62E52A2D">
            <w:pPr>
              <w:spacing w:line="360" w:lineRule="auto"/>
              <w:ind w:firstLine="480" w:firstLineChars="200"/>
              <w:rPr>
                <w:bCs/>
                <w:sz w:val="24"/>
              </w:rPr>
            </w:pPr>
            <w:r>
              <w:rPr>
                <w:rFonts w:hint="eastAsia"/>
                <w:bCs/>
                <w:sz w:val="24"/>
                <w:u w:val="single"/>
              </w:rPr>
              <w:t>本公司在取得环评批复后，在原审批项目建设过程中，因租用厂房无法满足项目需求，企业建设中止后拟重新选址，原审批项目仅建设部分生产设施，一直未竣工投产，也未取得排污许可证和未进行竣工环境保护验收。</w:t>
            </w:r>
          </w:p>
          <w:p w14:paraId="55A779A5">
            <w:pPr>
              <w:spacing w:line="360" w:lineRule="auto"/>
              <w:ind w:firstLine="482" w:firstLineChars="200"/>
              <w:rPr>
                <w:b/>
                <w:bCs/>
                <w:sz w:val="24"/>
              </w:rPr>
            </w:pPr>
            <w:r>
              <w:rPr>
                <w:rFonts w:hint="eastAsia"/>
                <w:b/>
                <w:bCs/>
                <w:sz w:val="24"/>
              </w:rPr>
              <w:t>2、原项目主要排污情况</w:t>
            </w:r>
          </w:p>
          <w:p w14:paraId="407AAA74">
            <w:pPr>
              <w:spacing w:line="360" w:lineRule="auto"/>
              <w:ind w:firstLine="480" w:firstLineChars="200"/>
              <w:rPr>
                <w:bCs/>
                <w:sz w:val="24"/>
              </w:rPr>
            </w:pPr>
            <w:r>
              <w:rPr>
                <w:rFonts w:hint="eastAsia"/>
                <w:bCs/>
                <w:sz w:val="24"/>
              </w:rPr>
              <w:t>根据调查，原项目未竣工投产，因此，原项目未对外排放废气、废水及固废等污染物。</w:t>
            </w:r>
          </w:p>
          <w:p w14:paraId="718A0696">
            <w:pPr>
              <w:spacing w:line="360" w:lineRule="auto"/>
              <w:ind w:firstLine="482" w:firstLineChars="200"/>
              <w:rPr>
                <w:b/>
                <w:bCs/>
                <w:sz w:val="24"/>
              </w:rPr>
            </w:pPr>
            <w:r>
              <w:rPr>
                <w:rFonts w:hint="eastAsia"/>
                <w:b/>
                <w:bCs/>
                <w:sz w:val="24"/>
              </w:rPr>
              <w:t>3、原项目存在的环境问题</w:t>
            </w:r>
          </w:p>
          <w:p w14:paraId="038D2DE1">
            <w:pPr>
              <w:spacing w:line="360" w:lineRule="auto"/>
              <w:ind w:firstLine="480" w:firstLineChars="200"/>
              <w:rPr>
                <w:sz w:val="24"/>
              </w:rPr>
            </w:pPr>
            <w:r>
              <w:rPr>
                <w:sz w:val="24"/>
              </w:rPr>
              <w:t>根据调查</w:t>
            </w:r>
            <w:r>
              <w:rPr>
                <w:rFonts w:hint="eastAsia"/>
                <w:sz w:val="24"/>
              </w:rPr>
              <w:t>，原</w:t>
            </w:r>
            <w:r>
              <w:rPr>
                <w:sz w:val="24"/>
              </w:rPr>
              <w:t>项目未竣工投产</w:t>
            </w:r>
            <w:r>
              <w:rPr>
                <w:rFonts w:hint="eastAsia"/>
                <w:sz w:val="24"/>
              </w:rPr>
              <w:t>，未排放污染物，原厂房由房主收回重新出租，无遗留环境问题。</w:t>
            </w:r>
          </w:p>
          <w:p w14:paraId="4EEDDE40">
            <w:pPr>
              <w:spacing w:line="360" w:lineRule="auto"/>
              <w:ind w:firstLine="482" w:firstLineChars="200"/>
              <w:rPr>
                <w:b/>
                <w:sz w:val="24"/>
                <w:u w:val="single"/>
              </w:rPr>
            </w:pPr>
            <w:r>
              <w:rPr>
                <w:rFonts w:hint="eastAsia"/>
                <w:b/>
                <w:sz w:val="24"/>
                <w:u w:val="single"/>
              </w:rPr>
              <w:t>4、本项目租用厂房项目情况</w:t>
            </w:r>
          </w:p>
          <w:p w14:paraId="79034361">
            <w:pPr>
              <w:spacing w:line="360" w:lineRule="auto"/>
              <w:ind w:firstLine="480" w:firstLineChars="200"/>
              <w:rPr>
                <w:sz w:val="24"/>
                <w:u w:val="single"/>
              </w:rPr>
            </w:pPr>
            <w:r>
              <w:rPr>
                <w:sz w:val="24"/>
                <w:u w:val="single"/>
              </w:rPr>
              <w:t>本项目租用清丰叶茂家具有限公司厂房进行建设</w:t>
            </w:r>
            <w:r>
              <w:rPr>
                <w:rFonts w:hint="eastAsia"/>
                <w:sz w:val="24"/>
                <w:u w:val="single"/>
              </w:rPr>
              <w:t>（租赁合同见附件），</w:t>
            </w:r>
            <w:r>
              <w:rPr>
                <w:sz w:val="24"/>
                <w:u w:val="single"/>
              </w:rPr>
              <w:t>清丰叶茂家具有限公司有关项目情况如下</w:t>
            </w:r>
            <w:r>
              <w:rPr>
                <w:rFonts w:hint="eastAsia"/>
                <w:sz w:val="24"/>
                <w:u w:val="single"/>
              </w:rPr>
              <w:t>：</w:t>
            </w:r>
          </w:p>
          <w:p w14:paraId="7DBE92FF">
            <w:pPr>
              <w:spacing w:line="360" w:lineRule="auto"/>
              <w:ind w:firstLine="480" w:firstLineChars="200"/>
              <w:rPr>
                <w:sz w:val="24"/>
                <w:u w:val="single"/>
              </w:rPr>
            </w:pPr>
            <w:r>
              <w:rPr>
                <w:rFonts w:hint="eastAsia"/>
                <w:sz w:val="24"/>
                <w:u w:val="single"/>
              </w:rPr>
              <w:t>《清丰叶茂家具有限公司年产4万件(套)家具项目环境影响报告书》于2018年7月27日通过了原清丰县环境保护局的审批，批复文号：清环书审〔2018〕11号，该项目未进行环保验收。</w:t>
            </w:r>
          </w:p>
          <w:p w14:paraId="36C0607A">
            <w:pPr>
              <w:spacing w:line="360" w:lineRule="auto"/>
              <w:ind w:firstLine="480" w:firstLineChars="200"/>
              <w:rPr>
                <w:sz w:val="24"/>
                <w:u w:val="single"/>
              </w:rPr>
            </w:pPr>
            <w:r>
              <w:rPr>
                <w:rFonts w:hint="eastAsia"/>
                <w:sz w:val="24"/>
                <w:u w:val="single"/>
              </w:rPr>
              <w:t>根据《清丰叶茂家具有限公司年产4万件(套)家具项目环境影响报告书》及其环评批复，清丰叶茂家具有限公司主要建设标准化厂房4栋，企业内1号已建成空置厂房已租赁给本项目使用，家具制造工程不再建设及空置厂房不再使用，清丰叶茂家具有限公司已出具承诺书，详见附件。</w:t>
            </w:r>
          </w:p>
          <w:p w14:paraId="5FF88D1F">
            <w:pPr>
              <w:spacing w:line="360" w:lineRule="auto"/>
              <w:ind w:firstLine="480" w:firstLineChars="200"/>
              <w:rPr>
                <w:sz w:val="24"/>
              </w:rPr>
            </w:pPr>
          </w:p>
          <w:p w14:paraId="021272B7">
            <w:pPr>
              <w:spacing w:line="360" w:lineRule="auto"/>
              <w:ind w:firstLine="480" w:firstLineChars="200"/>
              <w:rPr>
                <w:sz w:val="24"/>
              </w:rPr>
            </w:pPr>
          </w:p>
          <w:p w14:paraId="703CA6E0">
            <w:pPr>
              <w:spacing w:line="360" w:lineRule="auto"/>
              <w:ind w:firstLine="480" w:firstLineChars="200"/>
              <w:rPr>
                <w:sz w:val="24"/>
              </w:rPr>
            </w:pPr>
          </w:p>
          <w:p w14:paraId="0B185934">
            <w:pPr>
              <w:spacing w:line="360" w:lineRule="auto"/>
              <w:ind w:firstLine="480" w:firstLineChars="200"/>
              <w:rPr>
                <w:sz w:val="24"/>
              </w:rPr>
            </w:pPr>
          </w:p>
          <w:p w14:paraId="721F2EE9">
            <w:pPr>
              <w:spacing w:line="360" w:lineRule="auto"/>
              <w:ind w:firstLine="480" w:firstLineChars="200"/>
              <w:rPr>
                <w:sz w:val="24"/>
              </w:rPr>
            </w:pPr>
          </w:p>
          <w:p w14:paraId="687A4371">
            <w:pPr>
              <w:spacing w:line="360" w:lineRule="auto"/>
              <w:ind w:firstLine="480" w:firstLineChars="200"/>
              <w:rPr>
                <w:sz w:val="24"/>
              </w:rPr>
            </w:pPr>
          </w:p>
          <w:p w14:paraId="383FD336">
            <w:pPr>
              <w:spacing w:line="360" w:lineRule="auto"/>
              <w:ind w:firstLine="480" w:firstLineChars="200"/>
              <w:rPr>
                <w:sz w:val="24"/>
              </w:rPr>
            </w:pPr>
          </w:p>
          <w:p w14:paraId="030296CA">
            <w:pPr>
              <w:spacing w:line="360" w:lineRule="auto"/>
              <w:ind w:firstLine="480" w:firstLineChars="200"/>
              <w:rPr>
                <w:sz w:val="24"/>
              </w:rPr>
            </w:pPr>
          </w:p>
          <w:p w14:paraId="5FA113DE">
            <w:pPr>
              <w:spacing w:line="360" w:lineRule="auto"/>
              <w:ind w:firstLine="480" w:firstLineChars="200"/>
              <w:rPr>
                <w:sz w:val="24"/>
              </w:rPr>
            </w:pPr>
          </w:p>
          <w:p w14:paraId="59F817A4">
            <w:pPr>
              <w:spacing w:line="360" w:lineRule="auto"/>
              <w:ind w:firstLine="480" w:firstLineChars="200"/>
              <w:rPr>
                <w:sz w:val="24"/>
              </w:rPr>
            </w:pPr>
          </w:p>
          <w:p w14:paraId="7E3206C7">
            <w:pPr>
              <w:spacing w:line="360" w:lineRule="auto"/>
              <w:ind w:firstLine="480" w:firstLineChars="200"/>
              <w:rPr>
                <w:sz w:val="24"/>
              </w:rPr>
            </w:pPr>
          </w:p>
          <w:p w14:paraId="1DC37614">
            <w:pPr>
              <w:spacing w:line="360" w:lineRule="auto"/>
              <w:ind w:firstLine="480" w:firstLineChars="200"/>
              <w:rPr>
                <w:sz w:val="24"/>
              </w:rPr>
            </w:pPr>
          </w:p>
          <w:p w14:paraId="7C32DCEE">
            <w:pPr>
              <w:spacing w:line="360" w:lineRule="auto"/>
              <w:ind w:firstLine="480" w:firstLineChars="200"/>
              <w:rPr>
                <w:sz w:val="24"/>
              </w:rPr>
            </w:pPr>
          </w:p>
        </w:tc>
      </w:tr>
    </w:tbl>
    <w:p w14:paraId="3B2050BC">
      <w:pPr>
        <w:pStyle w:val="33"/>
        <w:sectPr>
          <w:pgSz w:w="11906" w:h="16838"/>
          <w:pgMar w:top="1701" w:right="1531" w:bottom="1701" w:left="1531" w:header="851" w:footer="1134" w:gutter="0"/>
          <w:cols w:space="720" w:num="1"/>
          <w:docGrid w:linePitch="312" w:charSpace="0"/>
        </w:sectPr>
      </w:pPr>
    </w:p>
    <w:p w14:paraId="6B586211">
      <w:pPr>
        <w:pStyle w:val="34"/>
      </w:pPr>
      <w:bookmarkStart w:id="5" w:name="_Toc157673388"/>
      <w:r>
        <w:rPr>
          <w:rFonts w:hint="eastAsia"/>
        </w:rPr>
        <w:t>三、区域环境质量现状、环境保护目标及评价标准</w:t>
      </w:r>
      <w:bookmarkEnd w:id="5"/>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350"/>
      </w:tblGrid>
      <w:tr w14:paraId="6AF16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1" w:hRule="atLeast"/>
          <w:jc w:val="center"/>
        </w:trPr>
        <w:tc>
          <w:tcPr>
            <w:tcW w:w="640" w:type="dxa"/>
            <w:vAlign w:val="center"/>
          </w:tcPr>
          <w:p w14:paraId="5BF4EC55">
            <w:pPr>
              <w:adjustRightInd w:val="0"/>
              <w:snapToGrid w:val="0"/>
              <w:spacing w:line="360" w:lineRule="auto"/>
              <w:jc w:val="center"/>
              <w:rPr>
                <w:rFonts w:ascii="宋体" w:hAnsi="宋体" w:cs="宋体"/>
                <w:b/>
                <w:kern w:val="0"/>
                <w:szCs w:val="21"/>
              </w:rPr>
            </w:pPr>
            <w:r>
              <w:rPr>
                <w:rFonts w:hint="eastAsia" w:ascii="宋体" w:hAnsi="宋体" w:cs="宋体"/>
                <w:b/>
                <w:kern w:val="0"/>
                <w:sz w:val="24"/>
              </w:rPr>
              <w:t>区域环境质量现状</w:t>
            </w:r>
          </w:p>
        </w:tc>
        <w:tc>
          <w:tcPr>
            <w:tcW w:w="8350" w:type="dxa"/>
          </w:tcPr>
          <w:p w14:paraId="5640C392">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1、环境空气质量现状</w:t>
            </w:r>
          </w:p>
          <w:p w14:paraId="6B701653">
            <w:pPr>
              <w:adjustRightInd w:val="0"/>
              <w:snapToGrid w:val="0"/>
              <w:spacing w:line="360" w:lineRule="auto"/>
              <w:ind w:firstLine="482" w:firstLineChars="200"/>
              <w:rPr>
                <w:b/>
                <w:bCs/>
                <w:sz w:val="24"/>
              </w:rPr>
            </w:pPr>
            <w:r>
              <w:rPr>
                <w:rFonts w:hint="eastAsia"/>
                <w:b/>
                <w:bCs/>
                <w:sz w:val="24"/>
              </w:rPr>
              <w:t>（1）环境空气质量达标区判定</w:t>
            </w:r>
          </w:p>
          <w:p w14:paraId="63165D8B">
            <w:pPr>
              <w:adjustRightInd w:val="0"/>
              <w:snapToGrid w:val="0"/>
              <w:spacing w:line="360" w:lineRule="auto"/>
              <w:ind w:firstLine="480" w:firstLineChars="200"/>
              <w:rPr>
                <w:rFonts w:ascii="宋体" w:hAnsi="宋体"/>
                <w:sz w:val="24"/>
                <w:u w:val="single"/>
              </w:rPr>
            </w:pPr>
            <w:r>
              <w:rPr>
                <w:rFonts w:hint="eastAsia"/>
                <w:sz w:val="24"/>
              </w:rPr>
              <w:t>本项目位于濮阳市清丰县先进制造业开发区</w:t>
            </w:r>
            <w:r>
              <w:rPr>
                <w:sz w:val="24"/>
              </w:rPr>
              <w:t>，属于二类功能区，环境空气质量执行《环境空气质量标准》（GB3095-2012）及其修改清单二级标准。</w:t>
            </w:r>
            <w:r>
              <w:rPr>
                <w:rFonts w:hint="eastAsia" w:ascii="宋体" w:hAnsi="宋体"/>
                <w:sz w:val="24"/>
                <w:u w:val="single"/>
              </w:rPr>
              <w:t>本次评价环境质量达标区判定收集了濮阳</w:t>
            </w:r>
            <w:r>
              <w:rPr>
                <w:sz w:val="24"/>
                <w:u w:val="single"/>
              </w:rPr>
              <w:t>市2024年环境空气污染物SO</w:t>
            </w:r>
            <w:r>
              <w:rPr>
                <w:sz w:val="24"/>
                <w:u w:val="single"/>
                <w:vertAlign w:val="subscript"/>
              </w:rPr>
              <w:t>2</w:t>
            </w:r>
            <w:r>
              <w:rPr>
                <w:sz w:val="24"/>
                <w:u w:val="single"/>
              </w:rPr>
              <w:t>、NO</w:t>
            </w:r>
            <w:r>
              <w:rPr>
                <w:sz w:val="24"/>
                <w:u w:val="single"/>
                <w:vertAlign w:val="subscript"/>
              </w:rPr>
              <w:t>2</w:t>
            </w:r>
            <w:r>
              <w:rPr>
                <w:sz w:val="24"/>
                <w:u w:val="single"/>
              </w:rPr>
              <w:t>、PM</w:t>
            </w:r>
            <w:r>
              <w:rPr>
                <w:sz w:val="24"/>
                <w:u w:val="single"/>
                <w:vertAlign w:val="subscript"/>
              </w:rPr>
              <w:t>10</w:t>
            </w:r>
            <w:r>
              <w:rPr>
                <w:sz w:val="24"/>
                <w:u w:val="single"/>
              </w:rPr>
              <w:t>、PM</w:t>
            </w:r>
            <w:r>
              <w:rPr>
                <w:sz w:val="24"/>
                <w:u w:val="single"/>
                <w:vertAlign w:val="subscript"/>
              </w:rPr>
              <w:t>2.5</w:t>
            </w:r>
            <w:r>
              <w:rPr>
                <w:sz w:val="24"/>
                <w:u w:val="single"/>
              </w:rPr>
              <w:t>、CO、O</w:t>
            </w:r>
            <w:r>
              <w:rPr>
                <w:sz w:val="24"/>
                <w:u w:val="single"/>
                <w:vertAlign w:val="subscript"/>
              </w:rPr>
              <w:t>3</w:t>
            </w:r>
            <w:r>
              <w:rPr>
                <w:sz w:val="24"/>
                <w:u w:val="single"/>
              </w:rPr>
              <w:t>全年监测数据</w:t>
            </w:r>
            <w:r>
              <w:rPr>
                <w:rFonts w:hint="eastAsia" w:ascii="宋体" w:hAnsi="宋体"/>
                <w:sz w:val="24"/>
                <w:u w:val="single"/>
              </w:rPr>
              <w:t>，</w:t>
            </w:r>
            <w:r>
              <w:rPr>
                <w:rFonts w:hint="eastAsia"/>
                <w:sz w:val="24"/>
                <w:u w:val="single"/>
              </w:rPr>
              <w:t>统计</w:t>
            </w:r>
            <w:r>
              <w:rPr>
                <w:rFonts w:ascii="宋体" w:hAnsi="宋体"/>
                <w:sz w:val="24"/>
                <w:u w:val="single"/>
              </w:rPr>
              <w:t>结果见</w:t>
            </w:r>
            <w:r>
              <w:rPr>
                <w:rFonts w:hint="eastAsia" w:ascii="宋体" w:hAnsi="宋体"/>
                <w:sz w:val="24"/>
                <w:u w:val="single"/>
              </w:rPr>
              <w:t>下表：</w:t>
            </w:r>
          </w:p>
          <w:p w14:paraId="3B58F382">
            <w:pPr>
              <w:pStyle w:val="19"/>
              <w:numPr>
                <w:ilvl w:val="0"/>
                <w:numId w:val="6"/>
              </w:numPr>
              <w:spacing w:before="0" w:after="0" w:line="360" w:lineRule="auto"/>
              <w:ind w:right="0"/>
              <w:jc w:val="center"/>
              <w:rPr>
                <w:b/>
                <w:sz w:val="21"/>
                <w:szCs w:val="21"/>
                <w:u w:val="single"/>
              </w:rPr>
            </w:pPr>
            <w:r>
              <w:rPr>
                <w:rFonts w:hint="eastAsia"/>
                <w:b/>
                <w:sz w:val="21"/>
                <w:szCs w:val="21"/>
                <w:u w:val="single"/>
              </w:rPr>
              <w:t>基本污染物</w:t>
            </w:r>
            <w:r>
              <w:rPr>
                <w:b/>
                <w:sz w:val="21"/>
                <w:szCs w:val="21"/>
                <w:u w:val="single"/>
              </w:rPr>
              <w:t>环境空气质量现状</w:t>
            </w:r>
            <w:r>
              <w:rPr>
                <w:rFonts w:hint="eastAsia"/>
                <w:b/>
                <w:sz w:val="21"/>
                <w:szCs w:val="21"/>
                <w:u w:val="single"/>
              </w:rPr>
              <w:t>评价</w:t>
            </w:r>
            <w:r>
              <w:rPr>
                <w:b/>
                <w:sz w:val="21"/>
                <w:szCs w:val="21"/>
                <w:u w:val="single"/>
              </w:rPr>
              <w:t>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569"/>
              <w:gridCol w:w="1387"/>
              <w:gridCol w:w="1138"/>
              <w:gridCol w:w="1025"/>
              <w:gridCol w:w="1071"/>
            </w:tblGrid>
            <w:tr w14:paraId="3D45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0D5F47F2">
                  <w:pPr>
                    <w:jc w:val="center"/>
                    <w:rPr>
                      <w:szCs w:val="21"/>
                      <w:u w:val="single"/>
                    </w:rPr>
                  </w:pPr>
                  <w:r>
                    <w:rPr>
                      <w:rFonts w:hint="eastAsia"/>
                      <w:szCs w:val="21"/>
                      <w:u w:val="single"/>
                    </w:rPr>
                    <w:t>污染物</w:t>
                  </w:r>
                </w:p>
              </w:tc>
              <w:tc>
                <w:tcPr>
                  <w:tcW w:w="2569" w:type="dxa"/>
                  <w:vAlign w:val="center"/>
                </w:tcPr>
                <w:p w14:paraId="16EAC77B">
                  <w:pPr>
                    <w:jc w:val="center"/>
                    <w:rPr>
                      <w:szCs w:val="21"/>
                      <w:u w:val="single"/>
                    </w:rPr>
                  </w:pPr>
                  <w:r>
                    <w:rPr>
                      <w:rFonts w:hint="eastAsia"/>
                      <w:szCs w:val="21"/>
                      <w:u w:val="single"/>
                    </w:rPr>
                    <w:t>年评价指标</w:t>
                  </w:r>
                </w:p>
              </w:tc>
              <w:tc>
                <w:tcPr>
                  <w:tcW w:w="1387" w:type="dxa"/>
                  <w:vAlign w:val="center"/>
                </w:tcPr>
                <w:p w14:paraId="384A8F4F">
                  <w:pPr>
                    <w:jc w:val="center"/>
                    <w:rPr>
                      <w:szCs w:val="21"/>
                      <w:u w:val="single"/>
                    </w:rPr>
                  </w:pPr>
                  <w:r>
                    <w:rPr>
                      <w:rFonts w:hint="eastAsia"/>
                      <w:szCs w:val="21"/>
                      <w:u w:val="single"/>
                    </w:rPr>
                    <w:t>现状浓度</w:t>
                  </w:r>
                  <w:r>
                    <w:rPr>
                      <w:szCs w:val="21"/>
                      <w:u w:val="single"/>
                    </w:rPr>
                    <w:t>μ</w:t>
                  </w:r>
                  <w:r>
                    <w:rPr>
                      <w:rFonts w:hint="eastAsia"/>
                      <w:szCs w:val="21"/>
                      <w:u w:val="single"/>
                    </w:rPr>
                    <w:t>g/m</w:t>
                  </w:r>
                  <w:r>
                    <w:rPr>
                      <w:rFonts w:hint="eastAsia"/>
                      <w:szCs w:val="21"/>
                      <w:u w:val="single"/>
                      <w:vertAlign w:val="superscript"/>
                    </w:rPr>
                    <w:t>3</w:t>
                  </w:r>
                </w:p>
              </w:tc>
              <w:tc>
                <w:tcPr>
                  <w:tcW w:w="1138" w:type="dxa"/>
                  <w:vAlign w:val="center"/>
                </w:tcPr>
                <w:p w14:paraId="5A474102">
                  <w:pPr>
                    <w:jc w:val="center"/>
                    <w:rPr>
                      <w:szCs w:val="21"/>
                      <w:u w:val="single"/>
                    </w:rPr>
                  </w:pPr>
                  <w:r>
                    <w:rPr>
                      <w:rFonts w:hint="eastAsia"/>
                      <w:szCs w:val="21"/>
                      <w:u w:val="single"/>
                    </w:rPr>
                    <w:t>标准值</w:t>
                  </w:r>
                  <w:r>
                    <w:rPr>
                      <w:szCs w:val="21"/>
                      <w:u w:val="single"/>
                    </w:rPr>
                    <w:t>μ</w:t>
                  </w:r>
                  <w:r>
                    <w:rPr>
                      <w:rFonts w:hint="eastAsia"/>
                      <w:szCs w:val="21"/>
                      <w:u w:val="single"/>
                    </w:rPr>
                    <w:t>g/m</w:t>
                  </w:r>
                  <w:r>
                    <w:rPr>
                      <w:rFonts w:hint="eastAsia"/>
                      <w:szCs w:val="21"/>
                      <w:u w:val="single"/>
                      <w:vertAlign w:val="superscript"/>
                    </w:rPr>
                    <w:t>3</w:t>
                  </w:r>
                </w:p>
              </w:tc>
              <w:tc>
                <w:tcPr>
                  <w:tcW w:w="1025" w:type="dxa"/>
                  <w:vAlign w:val="center"/>
                </w:tcPr>
                <w:p w14:paraId="11236529">
                  <w:pPr>
                    <w:jc w:val="center"/>
                    <w:rPr>
                      <w:szCs w:val="21"/>
                      <w:u w:val="single"/>
                    </w:rPr>
                  </w:pPr>
                  <w:r>
                    <w:rPr>
                      <w:rFonts w:hint="eastAsia"/>
                      <w:szCs w:val="21"/>
                      <w:u w:val="single"/>
                    </w:rPr>
                    <w:t>占标率%</w:t>
                  </w:r>
                </w:p>
              </w:tc>
              <w:tc>
                <w:tcPr>
                  <w:tcW w:w="1071" w:type="dxa"/>
                  <w:vAlign w:val="center"/>
                </w:tcPr>
                <w:p w14:paraId="71AFC884">
                  <w:pPr>
                    <w:jc w:val="center"/>
                    <w:rPr>
                      <w:szCs w:val="21"/>
                      <w:u w:val="single"/>
                    </w:rPr>
                  </w:pPr>
                  <w:r>
                    <w:rPr>
                      <w:rFonts w:hint="eastAsia"/>
                      <w:szCs w:val="21"/>
                      <w:u w:val="single"/>
                    </w:rPr>
                    <w:t>达标情况</w:t>
                  </w:r>
                </w:p>
              </w:tc>
            </w:tr>
            <w:tr w14:paraId="15AE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14:paraId="3FC168FA">
                  <w:pPr>
                    <w:jc w:val="center"/>
                    <w:rPr>
                      <w:szCs w:val="21"/>
                      <w:u w:val="single"/>
                    </w:rPr>
                  </w:pPr>
                  <w:r>
                    <w:rPr>
                      <w:rFonts w:hint="eastAsia"/>
                      <w:szCs w:val="21"/>
                      <w:u w:val="single"/>
                    </w:rPr>
                    <w:t>SO</w:t>
                  </w:r>
                  <w:r>
                    <w:rPr>
                      <w:rFonts w:hint="eastAsia"/>
                      <w:szCs w:val="21"/>
                      <w:u w:val="single"/>
                      <w:vertAlign w:val="subscript"/>
                    </w:rPr>
                    <w:t>2</w:t>
                  </w:r>
                </w:p>
              </w:tc>
              <w:tc>
                <w:tcPr>
                  <w:tcW w:w="2569" w:type="dxa"/>
                  <w:vAlign w:val="center"/>
                </w:tcPr>
                <w:p w14:paraId="6A38714E">
                  <w:pPr>
                    <w:jc w:val="center"/>
                    <w:rPr>
                      <w:szCs w:val="21"/>
                      <w:u w:val="single"/>
                    </w:rPr>
                  </w:pPr>
                  <w:r>
                    <w:rPr>
                      <w:rFonts w:hint="eastAsia"/>
                      <w:szCs w:val="21"/>
                      <w:u w:val="single"/>
                    </w:rPr>
                    <w:t>年平均浓度</w:t>
                  </w:r>
                </w:p>
              </w:tc>
              <w:tc>
                <w:tcPr>
                  <w:tcW w:w="1387" w:type="dxa"/>
                  <w:vAlign w:val="center"/>
                </w:tcPr>
                <w:p w14:paraId="114DE18B">
                  <w:pPr>
                    <w:jc w:val="center"/>
                    <w:rPr>
                      <w:szCs w:val="21"/>
                      <w:u w:val="single"/>
                    </w:rPr>
                  </w:pPr>
                  <w:r>
                    <w:rPr>
                      <w:rFonts w:hint="eastAsia"/>
                      <w:szCs w:val="21"/>
                      <w:u w:val="single"/>
                    </w:rPr>
                    <w:t>7</w:t>
                  </w:r>
                </w:p>
              </w:tc>
              <w:tc>
                <w:tcPr>
                  <w:tcW w:w="1138" w:type="dxa"/>
                  <w:vAlign w:val="center"/>
                </w:tcPr>
                <w:p w14:paraId="2FA5077A">
                  <w:pPr>
                    <w:jc w:val="center"/>
                    <w:rPr>
                      <w:szCs w:val="21"/>
                      <w:u w:val="single"/>
                    </w:rPr>
                  </w:pPr>
                  <w:r>
                    <w:rPr>
                      <w:rFonts w:hint="eastAsia"/>
                      <w:szCs w:val="21"/>
                      <w:u w:val="single"/>
                    </w:rPr>
                    <w:t>60</w:t>
                  </w:r>
                </w:p>
              </w:tc>
              <w:tc>
                <w:tcPr>
                  <w:tcW w:w="1025" w:type="dxa"/>
                  <w:vAlign w:val="center"/>
                </w:tcPr>
                <w:p w14:paraId="174BE1E5">
                  <w:pPr>
                    <w:jc w:val="center"/>
                    <w:rPr>
                      <w:szCs w:val="21"/>
                      <w:u w:val="single"/>
                    </w:rPr>
                  </w:pPr>
                  <w:r>
                    <w:rPr>
                      <w:rFonts w:hint="eastAsia"/>
                      <w:szCs w:val="21"/>
                      <w:u w:val="single"/>
                    </w:rPr>
                    <w:t>11.7</w:t>
                  </w:r>
                </w:p>
              </w:tc>
              <w:tc>
                <w:tcPr>
                  <w:tcW w:w="1071" w:type="dxa"/>
                  <w:vAlign w:val="center"/>
                </w:tcPr>
                <w:p w14:paraId="7BCBE750">
                  <w:pPr>
                    <w:jc w:val="center"/>
                    <w:rPr>
                      <w:szCs w:val="21"/>
                      <w:u w:val="single"/>
                    </w:rPr>
                  </w:pPr>
                  <w:r>
                    <w:rPr>
                      <w:rFonts w:hint="eastAsia"/>
                      <w:szCs w:val="21"/>
                      <w:u w:val="single"/>
                    </w:rPr>
                    <w:t>达标</w:t>
                  </w:r>
                </w:p>
              </w:tc>
            </w:tr>
            <w:tr w14:paraId="656F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14:paraId="4E721CF4">
                  <w:pPr>
                    <w:jc w:val="center"/>
                    <w:rPr>
                      <w:szCs w:val="21"/>
                      <w:u w:val="single"/>
                    </w:rPr>
                  </w:pPr>
                </w:p>
              </w:tc>
              <w:tc>
                <w:tcPr>
                  <w:tcW w:w="2569" w:type="dxa"/>
                  <w:vAlign w:val="center"/>
                </w:tcPr>
                <w:p w14:paraId="2BB2273A">
                  <w:pPr>
                    <w:jc w:val="center"/>
                    <w:rPr>
                      <w:szCs w:val="21"/>
                      <w:u w:val="single"/>
                    </w:rPr>
                  </w:pPr>
                  <w:r>
                    <w:rPr>
                      <w:rFonts w:hint="eastAsia"/>
                      <w:szCs w:val="21"/>
                      <w:u w:val="single"/>
                    </w:rPr>
                    <w:t>日平均第98百分位数</w:t>
                  </w:r>
                </w:p>
              </w:tc>
              <w:tc>
                <w:tcPr>
                  <w:tcW w:w="1387" w:type="dxa"/>
                  <w:vAlign w:val="center"/>
                </w:tcPr>
                <w:p w14:paraId="224DFD09">
                  <w:pPr>
                    <w:jc w:val="center"/>
                    <w:rPr>
                      <w:szCs w:val="21"/>
                      <w:u w:val="single"/>
                    </w:rPr>
                  </w:pPr>
                  <w:r>
                    <w:rPr>
                      <w:rFonts w:hint="eastAsia"/>
                      <w:szCs w:val="21"/>
                      <w:u w:val="single"/>
                    </w:rPr>
                    <w:t>21</w:t>
                  </w:r>
                </w:p>
              </w:tc>
              <w:tc>
                <w:tcPr>
                  <w:tcW w:w="1138" w:type="dxa"/>
                  <w:vAlign w:val="center"/>
                </w:tcPr>
                <w:p w14:paraId="25CD80DF">
                  <w:pPr>
                    <w:jc w:val="center"/>
                    <w:rPr>
                      <w:szCs w:val="21"/>
                      <w:u w:val="single"/>
                    </w:rPr>
                  </w:pPr>
                  <w:r>
                    <w:rPr>
                      <w:rFonts w:hint="eastAsia"/>
                      <w:szCs w:val="21"/>
                      <w:u w:val="single"/>
                    </w:rPr>
                    <w:t>150</w:t>
                  </w:r>
                </w:p>
              </w:tc>
              <w:tc>
                <w:tcPr>
                  <w:tcW w:w="1025" w:type="dxa"/>
                  <w:vAlign w:val="center"/>
                </w:tcPr>
                <w:p w14:paraId="1492BC9D">
                  <w:pPr>
                    <w:jc w:val="center"/>
                    <w:rPr>
                      <w:szCs w:val="21"/>
                      <w:u w:val="single"/>
                    </w:rPr>
                  </w:pPr>
                  <w:r>
                    <w:rPr>
                      <w:rFonts w:hint="eastAsia"/>
                      <w:szCs w:val="21"/>
                      <w:u w:val="single"/>
                    </w:rPr>
                    <w:t>14</w:t>
                  </w:r>
                </w:p>
              </w:tc>
              <w:tc>
                <w:tcPr>
                  <w:tcW w:w="1071" w:type="dxa"/>
                  <w:vAlign w:val="center"/>
                </w:tcPr>
                <w:p w14:paraId="36EA9BED">
                  <w:pPr>
                    <w:jc w:val="center"/>
                    <w:rPr>
                      <w:szCs w:val="21"/>
                      <w:u w:val="single"/>
                    </w:rPr>
                  </w:pPr>
                  <w:r>
                    <w:rPr>
                      <w:rFonts w:hint="eastAsia"/>
                      <w:szCs w:val="21"/>
                      <w:u w:val="single"/>
                    </w:rPr>
                    <w:t>达标</w:t>
                  </w:r>
                </w:p>
              </w:tc>
            </w:tr>
            <w:tr w14:paraId="5DBA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14:paraId="6622852D">
                  <w:pPr>
                    <w:jc w:val="center"/>
                    <w:rPr>
                      <w:szCs w:val="21"/>
                      <w:u w:val="single"/>
                    </w:rPr>
                  </w:pPr>
                  <w:r>
                    <w:rPr>
                      <w:rFonts w:hint="eastAsia"/>
                      <w:szCs w:val="21"/>
                      <w:u w:val="single"/>
                    </w:rPr>
                    <w:t>NO</w:t>
                  </w:r>
                  <w:r>
                    <w:rPr>
                      <w:rFonts w:hint="eastAsia"/>
                      <w:szCs w:val="21"/>
                      <w:u w:val="single"/>
                      <w:vertAlign w:val="subscript"/>
                    </w:rPr>
                    <w:t>2</w:t>
                  </w:r>
                </w:p>
              </w:tc>
              <w:tc>
                <w:tcPr>
                  <w:tcW w:w="2569" w:type="dxa"/>
                  <w:vAlign w:val="center"/>
                </w:tcPr>
                <w:p w14:paraId="3CADA743">
                  <w:pPr>
                    <w:jc w:val="center"/>
                    <w:rPr>
                      <w:szCs w:val="21"/>
                      <w:u w:val="single"/>
                    </w:rPr>
                  </w:pPr>
                  <w:r>
                    <w:rPr>
                      <w:rFonts w:hint="eastAsia"/>
                      <w:szCs w:val="21"/>
                      <w:u w:val="single"/>
                    </w:rPr>
                    <w:t>年平均浓度</w:t>
                  </w:r>
                </w:p>
              </w:tc>
              <w:tc>
                <w:tcPr>
                  <w:tcW w:w="1387" w:type="dxa"/>
                  <w:vAlign w:val="center"/>
                </w:tcPr>
                <w:p w14:paraId="065E0631">
                  <w:pPr>
                    <w:jc w:val="center"/>
                    <w:rPr>
                      <w:szCs w:val="21"/>
                      <w:u w:val="single"/>
                    </w:rPr>
                  </w:pPr>
                  <w:r>
                    <w:rPr>
                      <w:rFonts w:hint="eastAsia"/>
                      <w:szCs w:val="21"/>
                      <w:u w:val="single"/>
                    </w:rPr>
                    <w:t>22</w:t>
                  </w:r>
                </w:p>
              </w:tc>
              <w:tc>
                <w:tcPr>
                  <w:tcW w:w="1138" w:type="dxa"/>
                  <w:vAlign w:val="center"/>
                </w:tcPr>
                <w:p w14:paraId="2F66417D">
                  <w:pPr>
                    <w:jc w:val="center"/>
                    <w:rPr>
                      <w:szCs w:val="21"/>
                      <w:u w:val="single"/>
                    </w:rPr>
                  </w:pPr>
                  <w:r>
                    <w:rPr>
                      <w:rFonts w:hint="eastAsia"/>
                      <w:szCs w:val="21"/>
                      <w:u w:val="single"/>
                    </w:rPr>
                    <w:t>40</w:t>
                  </w:r>
                </w:p>
              </w:tc>
              <w:tc>
                <w:tcPr>
                  <w:tcW w:w="1025" w:type="dxa"/>
                  <w:vAlign w:val="center"/>
                </w:tcPr>
                <w:p w14:paraId="7AAFA96B">
                  <w:pPr>
                    <w:jc w:val="center"/>
                    <w:rPr>
                      <w:szCs w:val="21"/>
                      <w:u w:val="single"/>
                    </w:rPr>
                  </w:pPr>
                  <w:r>
                    <w:rPr>
                      <w:rFonts w:hint="eastAsia"/>
                      <w:szCs w:val="21"/>
                      <w:u w:val="single"/>
                    </w:rPr>
                    <w:t>55</w:t>
                  </w:r>
                </w:p>
              </w:tc>
              <w:tc>
                <w:tcPr>
                  <w:tcW w:w="1071" w:type="dxa"/>
                  <w:vAlign w:val="center"/>
                </w:tcPr>
                <w:p w14:paraId="50FCC150">
                  <w:pPr>
                    <w:jc w:val="center"/>
                    <w:rPr>
                      <w:szCs w:val="21"/>
                      <w:u w:val="single"/>
                    </w:rPr>
                  </w:pPr>
                  <w:r>
                    <w:rPr>
                      <w:rFonts w:hint="eastAsia"/>
                      <w:szCs w:val="21"/>
                      <w:u w:val="single"/>
                    </w:rPr>
                    <w:t>达标</w:t>
                  </w:r>
                </w:p>
              </w:tc>
            </w:tr>
            <w:tr w14:paraId="0489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14:paraId="2E0F1075">
                  <w:pPr>
                    <w:jc w:val="center"/>
                    <w:rPr>
                      <w:szCs w:val="21"/>
                      <w:u w:val="single"/>
                    </w:rPr>
                  </w:pPr>
                </w:p>
              </w:tc>
              <w:tc>
                <w:tcPr>
                  <w:tcW w:w="2569" w:type="dxa"/>
                  <w:vAlign w:val="center"/>
                </w:tcPr>
                <w:p w14:paraId="0D2459F5">
                  <w:pPr>
                    <w:jc w:val="center"/>
                    <w:rPr>
                      <w:szCs w:val="21"/>
                      <w:u w:val="single"/>
                    </w:rPr>
                  </w:pPr>
                  <w:r>
                    <w:rPr>
                      <w:rFonts w:hint="eastAsia"/>
                      <w:szCs w:val="21"/>
                      <w:u w:val="single"/>
                    </w:rPr>
                    <w:t>日平均第98百分位数</w:t>
                  </w:r>
                </w:p>
              </w:tc>
              <w:tc>
                <w:tcPr>
                  <w:tcW w:w="1387" w:type="dxa"/>
                  <w:vAlign w:val="center"/>
                </w:tcPr>
                <w:p w14:paraId="7FE22717">
                  <w:pPr>
                    <w:jc w:val="center"/>
                    <w:rPr>
                      <w:szCs w:val="21"/>
                      <w:u w:val="single"/>
                    </w:rPr>
                  </w:pPr>
                  <w:r>
                    <w:rPr>
                      <w:rFonts w:hint="eastAsia"/>
                      <w:szCs w:val="21"/>
                      <w:u w:val="single"/>
                    </w:rPr>
                    <w:t>54</w:t>
                  </w:r>
                </w:p>
              </w:tc>
              <w:tc>
                <w:tcPr>
                  <w:tcW w:w="1138" w:type="dxa"/>
                  <w:vAlign w:val="center"/>
                </w:tcPr>
                <w:p w14:paraId="1E593E06">
                  <w:pPr>
                    <w:jc w:val="center"/>
                    <w:rPr>
                      <w:szCs w:val="21"/>
                      <w:u w:val="single"/>
                    </w:rPr>
                  </w:pPr>
                  <w:r>
                    <w:rPr>
                      <w:rFonts w:hint="eastAsia"/>
                      <w:szCs w:val="21"/>
                      <w:u w:val="single"/>
                    </w:rPr>
                    <w:t>80</w:t>
                  </w:r>
                </w:p>
              </w:tc>
              <w:tc>
                <w:tcPr>
                  <w:tcW w:w="1025" w:type="dxa"/>
                  <w:vAlign w:val="center"/>
                </w:tcPr>
                <w:p w14:paraId="3761BFBF">
                  <w:pPr>
                    <w:jc w:val="center"/>
                    <w:rPr>
                      <w:szCs w:val="21"/>
                      <w:u w:val="single"/>
                    </w:rPr>
                  </w:pPr>
                  <w:r>
                    <w:rPr>
                      <w:rFonts w:hint="eastAsia"/>
                      <w:szCs w:val="21"/>
                      <w:u w:val="single"/>
                    </w:rPr>
                    <w:t>67.5</w:t>
                  </w:r>
                </w:p>
              </w:tc>
              <w:tc>
                <w:tcPr>
                  <w:tcW w:w="1071" w:type="dxa"/>
                  <w:vAlign w:val="center"/>
                </w:tcPr>
                <w:p w14:paraId="296EE9CC">
                  <w:pPr>
                    <w:jc w:val="center"/>
                    <w:rPr>
                      <w:szCs w:val="21"/>
                      <w:u w:val="single"/>
                    </w:rPr>
                  </w:pPr>
                  <w:r>
                    <w:rPr>
                      <w:rFonts w:hint="eastAsia"/>
                      <w:szCs w:val="21"/>
                      <w:u w:val="single"/>
                    </w:rPr>
                    <w:t>达标</w:t>
                  </w:r>
                </w:p>
              </w:tc>
            </w:tr>
            <w:tr w14:paraId="4B87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14:paraId="3C02FE33">
                  <w:pPr>
                    <w:jc w:val="center"/>
                    <w:rPr>
                      <w:szCs w:val="21"/>
                      <w:u w:val="single"/>
                    </w:rPr>
                  </w:pPr>
                  <w:r>
                    <w:rPr>
                      <w:rFonts w:hint="eastAsia"/>
                      <w:szCs w:val="21"/>
                      <w:u w:val="single"/>
                    </w:rPr>
                    <w:t>PM</w:t>
                  </w:r>
                  <w:r>
                    <w:rPr>
                      <w:rFonts w:hint="eastAsia"/>
                      <w:szCs w:val="21"/>
                      <w:u w:val="single"/>
                      <w:vertAlign w:val="subscript"/>
                    </w:rPr>
                    <w:t>10</w:t>
                  </w:r>
                </w:p>
              </w:tc>
              <w:tc>
                <w:tcPr>
                  <w:tcW w:w="2569" w:type="dxa"/>
                  <w:vAlign w:val="center"/>
                </w:tcPr>
                <w:p w14:paraId="473FC95A">
                  <w:pPr>
                    <w:jc w:val="center"/>
                    <w:rPr>
                      <w:szCs w:val="21"/>
                      <w:u w:val="single"/>
                    </w:rPr>
                  </w:pPr>
                  <w:r>
                    <w:rPr>
                      <w:rFonts w:hint="eastAsia"/>
                      <w:szCs w:val="21"/>
                      <w:u w:val="single"/>
                    </w:rPr>
                    <w:t>年平均浓度</w:t>
                  </w:r>
                </w:p>
              </w:tc>
              <w:tc>
                <w:tcPr>
                  <w:tcW w:w="1387" w:type="dxa"/>
                  <w:vAlign w:val="center"/>
                </w:tcPr>
                <w:p w14:paraId="614C2ACA">
                  <w:pPr>
                    <w:jc w:val="center"/>
                    <w:rPr>
                      <w:szCs w:val="21"/>
                      <w:u w:val="single"/>
                    </w:rPr>
                  </w:pPr>
                  <w:r>
                    <w:rPr>
                      <w:rFonts w:hint="eastAsia"/>
                      <w:szCs w:val="21"/>
                      <w:u w:val="single"/>
                    </w:rPr>
                    <w:t>77</w:t>
                  </w:r>
                </w:p>
              </w:tc>
              <w:tc>
                <w:tcPr>
                  <w:tcW w:w="1138" w:type="dxa"/>
                  <w:vAlign w:val="center"/>
                </w:tcPr>
                <w:p w14:paraId="35BB54FE">
                  <w:pPr>
                    <w:jc w:val="center"/>
                    <w:rPr>
                      <w:szCs w:val="21"/>
                      <w:u w:val="single"/>
                    </w:rPr>
                  </w:pPr>
                  <w:r>
                    <w:rPr>
                      <w:rFonts w:hint="eastAsia"/>
                      <w:szCs w:val="21"/>
                      <w:u w:val="single"/>
                    </w:rPr>
                    <w:t>70</w:t>
                  </w:r>
                </w:p>
              </w:tc>
              <w:tc>
                <w:tcPr>
                  <w:tcW w:w="1025" w:type="dxa"/>
                  <w:vAlign w:val="center"/>
                </w:tcPr>
                <w:p w14:paraId="00535BA7">
                  <w:pPr>
                    <w:jc w:val="center"/>
                    <w:rPr>
                      <w:szCs w:val="21"/>
                      <w:u w:val="single"/>
                    </w:rPr>
                  </w:pPr>
                  <w:r>
                    <w:rPr>
                      <w:rFonts w:hint="eastAsia"/>
                      <w:szCs w:val="21"/>
                      <w:u w:val="single"/>
                    </w:rPr>
                    <w:t>110</w:t>
                  </w:r>
                </w:p>
              </w:tc>
              <w:tc>
                <w:tcPr>
                  <w:tcW w:w="1071" w:type="dxa"/>
                  <w:vAlign w:val="center"/>
                </w:tcPr>
                <w:p w14:paraId="1E4729C5">
                  <w:pPr>
                    <w:jc w:val="center"/>
                    <w:rPr>
                      <w:szCs w:val="21"/>
                      <w:u w:val="single"/>
                    </w:rPr>
                  </w:pPr>
                  <w:r>
                    <w:rPr>
                      <w:rFonts w:hint="eastAsia"/>
                      <w:szCs w:val="21"/>
                      <w:u w:val="single"/>
                    </w:rPr>
                    <w:t>不达标</w:t>
                  </w:r>
                </w:p>
              </w:tc>
            </w:tr>
            <w:tr w14:paraId="64A8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14:paraId="4EB04FE8">
                  <w:pPr>
                    <w:jc w:val="center"/>
                    <w:rPr>
                      <w:szCs w:val="21"/>
                      <w:u w:val="single"/>
                    </w:rPr>
                  </w:pPr>
                </w:p>
              </w:tc>
              <w:tc>
                <w:tcPr>
                  <w:tcW w:w="2569" w:type="dxa"/>
                  <w:vAlign w:val="center"/>
                </w:tcPr>
                <w:p w14:paraId="135CD0ED">
                  <w:pPr>
                    <w:jc w:val="center"/>
                    <w:rPr>
                      <w:szCs w:val="21"/>
                      <w:u w:val="single"/>
                    </w:rPr>
                  </w:pPr>
                  <w:r>
                    <w:rPr>
                      <w:rFonts w:hint="eastAsia"/>
                      <w:szCs w:val="21"/>
                      <w:u w:val="single"/>
                    </w:rPr>
                    <w:t>日平均第95百分位数</w:t>
                  </w:r>
                </w:p>
              </w:tc>
              <w:tc>
                <w:tcPr>
                  <w:tcW w:w="1387" w:type="dxa"/>
                  <w:vAlign w:val="center"/>
                </w:tcPr>
                <w:p w14:paraId="030B6B74">
                  <w:pPr>
                    <w:jc w:val="center"/>
                    <w:rPr>
                      <w:szCs w:val="21"/>
                      <w:u w:val="single"/>
                    </w:rPr>
                  </w:pPr>
                  <w:r>
                    <w:rPr>
                      <w:rFonts w:hint="eastAsia"/>
                      <w:szCs w:val="21"/>
                      <w:u w:val="single"/>
                    </w:rPr>
                    <w:t>141</w:t>
                  </w:r>
                </w:p>
              </w:tc>
              <w:tc>
                <w:tcPr>
                  <w:tcW w:w="1138" w:type="dxa"/>
                  <w:vAlign w:val="center"/>
                </w:tcPr>
                <w:p w14:paraId="7451FDEF">
                  <w:pPr>
                    <w:jc w:val="center"/>
                    <w:rPr>
                      <w:szCs w:val="21"/>
                      <w:u w:val="single"/>
                    </w:rPr>
                  </w:pPr>
                  <w:r>
                    <w:rPr>
                      <w:rFonts w:hint="eastAsia"/>
                      <w:szCs w:val="21"/>
                      <w:u w:val="single"/>
                    </w:rPr>
                    <w:t>150</w:t>
                  </w:r>
                </w:p>
              </w:tc>
              <w:tc>
                <w:tcPr>
                  <w:tcW w:w="1025" w:type="dxa"/>
                  <w:vAlign w:val="center"/>
                </w:tcPr>
                <w:p w14:paraId="6670019D">
                  <w:pPr>
                    <w:jc w:val="center"/>
                    <w:rPr>
                      <w:szCs w:val="21"/>
                      <w:u w:val="single"/>
                    </w:rPr>
                  </w:pPr>
                  <w:r>
                    <w:rPr>
                      <w:rFonts w:hint="eastAsia"/>
                      <w:szCs w:val="21"/>
                      <w:u w:val="single"/>
                    </w:rPr>
                    <w:t>94</w:t>
                  </w:r>
                </w:p>
              </w:tc>
              <w:tc>
                <w:tcPr>
                  <w:tcW w:w="1071" w:type="dxa"/>
                  <w:vAlign w:val="center"/>
                </w:tcPr>
                <w:p w14:paraId="5C8D2746">
                  <w:pPr>
                    <w:jc w:val="center"/>
                    <w:rPr>
                      <w:szCs w:val="21"/>
                      <w:u w:val="single"/>
                    </w:rPr>
                  </w:pPr>
                  <w:r>
                    <w:rPr>
                      <w:rFonts w:hint="eastAsia"/>
                      <w:szCs w:val="21"/>
                      <w:u w:val="single"/>
                    </w:rPr>
                    <w:t>达标</w:t>
                  </w:r>
                </w:p>
              </w:tc>
            </w:tr>
            <w:tr w14:paraId="5262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14:paraId="1031F96F">
                  <w:pPr>
                    <w:jc w:val="center"/>
                    <w:rPr>
                      <w:szCs w:val="21"/>
                      <w:u w:val="single"/>
                    </w:rPr>
                  </w:pPr>
                  <w:r>
                    <w:rPr>
                      <w:rFonts w:hint="eastAsia"/>
                      <w:szCs w:val="21"/>
                      <w:u w:val="single"/>
                    </w:rPr>
                    <w:t>PM</w:t>
                  </w:r>
                  <w:r>
                    <w:rPr>
                      <w:rFonts w:hint="eastAsia"/>
                      <w:szCs w:val="21"/>
                      <w:u w:val="single"/>
                      <w:vertAlign w:val="subscript"/>
                    </w:rPr>
                    <w:t>2.5</w:t>
                  </w:r>
                </w:p>
              </w:tc>
              <w:tc>
                <w:tcPr>
                  <w:tcW w:w="2569" w:type="dxa"/>
                  <w:vAlign w:val="center"/>
                </w:tcPr>
                <w:p w14:paraId="0B0B9D70">
                  <w:pPr>
                    <w:jc w:val="center"/>
                    <w:rPr>
                      <w:szCs w:val="21"/>
                      <w:u w:val="single"/>
                    </w:rPr>
                  </w:pPr>
                  <w:r>
                    <w:rPr>
                      <w:rFonts w:hint="eastAsia"/>
                      <w:szCs w:val="21"/>
                      <w:u w:val="single"/>
                    </w:rPr>
                    <w:t>年平均浓度</w:t>
                  </w:r>
                </w:p>
              </w:tc>
              <w:tc>
                <w:tcPr>
                  <w:tcW w:w="1387" w:type="dxa"/>
                  <w:vAlign w:val="center"/>
                </w:tcPr>
                <w:p w14:paraId="3735205A">
                  <w:pPr>
                    <w:jc w:val="center"/>
                    <w:rPr>
                      <w:szCs w:val="21"/>
                      <w:u w:val="single"/>
                    </w:rPr>
                  </w:pPr>
                  <w:r>
                    <w:rPr>
                      <w:rFonts w:hint="eastAsia"/>
                      <w:szCs w:val="21"/>
                      <w:u w:val="single"/>
                    </w:rPr>
                    <w:t>47</w:t>
                  </w:r>
                </w:p>
              </w:tc>
              <w:tc>
                <w:tcPr>
                  <w:tcW w:w="1138" w:type="dxa"/>
                  <w:vAlign w:val="center"/>
                </w:tcPr>
                <w:p w14:paraId="41BF0DF2">
                  <w:pPr>
                    <w:jc w:val="center"/>
                    <w:rPr>
                      <w:szCs w:val="21"/>
                      <w:u w:val="single"/>
                    </w:rPr>
                  </w:pPr>
                  <w:r>
                    <w:rPr>
                      <w:rFonts w:hint="eastAsia"/>
                      <w:szCs w:val="21"/>
                      <w:u w:val="single"/>
                    </w:rPr>
                    <w:t>35</w:t>
                  </w:r>
                </w:p>
              </w:tc>
              <w:tc>
                <w:tcPr>
                  <w:tcW w:w="1025" w:type="dxa"/>
                  <w:vAlign w:val="center"/>
                </w:tcPr>
                <w:p w14:paraId="54E58F1F">
                  <w:pPr>
                    <w:jc w:val="center"/>
                    <w:rPr>
                      <w:szCs w:val="21"/>
                      <w:u w:val="single"/>
                    </w:rPr>
                  </w:pPr>
                  <w:r>
                    <w:rPr>
                      <w:rFonts w:hint="eastAsia"/>
                      <w:szCs w:val="21"/>
                      <w:u w:val="single"/>
                    </w:rPr>
                    <w:t>134.3</w:t>
                  </w:r>
                </w:p>
              </w:tc>
              <w:tc>
                <w:tcPr>
                  <w:tcW w:w="1071" w:type="dxa"/>
                  <w:vAlign w:val="center"/>
                </w:tcPr>
                <w:p w14:paraId="198A0CCB">
                  <w:pPr>
                    <w:jc w:val="center"/>
                    <w:rPr>
                      <w:szCs w:val="21"/>
                      <w:u w:val="single"/>
                    </w:rPr>
                  </w:pPr>
                  <w:r>
                    <w:rPr>
                      <w:rFonts w:hint="eastAsia"/>
                      <w:szCs w:val="21"/>
                      <w:u w:val="single"/>
                    </w:rPr>
                    <w:t>不达标</w:t>
                  </w:r>
                </w:p>
              </w:tc>
            </w:tr>
            <w:tr w14:paraId="7BB2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14:paraId="3A363084">
                  <w:pPr>
                    <w:jc w:val="center"/>
                    <w:rPr>
                      <w:szCs w:val="21"/>
                      <w:u w:val="single"/>
                    </w:rPr>
                  </w:pPr>
                </w:p>
              </w:tc>
              <w:tc>
                <w:tcPr>
                  <w:tcW w:w="2569" w:type="dxa"/>
                  <w:vAlign w:val="center"/>
                </w:tcPr>
                <w:p w14:paraId="1E6CB021">
                  <w:pPr>
                    <w:jc w:val="center"/>
                    <w:rPr>
                      <w:szCs w:val="21"/>
                      <w:u w:val="single"/>
                    </w:rPr>
                  </w:pPr>
                  <w:r>
                    <w:rPr>
                      <w:rFonts w:hint="eastAsia"/>
                      <w:szCs w:val="21"/>
                      <w:u w:val="single"/>
                    </w:rPr>
                    <w:t>日平均第95百分位数</w:t>
                  </w:r>
                </w:p>
              </w:tc>
              <w:tc>
                <w:tcPr>
                  <w:tcW w:w="1387" w:type="dxa"/>
                  <w:vAlign w:val="center"/>
                </w:tcPr>
                <w:p w14:paraId="109164BB">
                  <w:pPr>
                    <w:jc w:val="center"/>
                    <w:rPr>
                      <w:szCs w:val="21"/>
                      <w:u w:val="single"/>
                    </w:rPr>
                  </w:pPr>
                  <w:r>
                    <w:rPr>
                      <w:rFonts w:hint="eastAsia"/>
                      <w:szCs w:val="21"/>
                      <w:u w:val="single"/>
                    </w:rPr>
                    <w:t>117</w:t>
                  </w:r>
                </w:p>
              </w:tc>
              <w:tc>
                <w:tcPr>
                  <w:tcW w:w="1138" w:type="dxa"/>
                  <w:vAlign w:val="center"/>
                </w:tcPr>
                <w:p w14:paraId="265D7BA3">
                  <w:pPr>
                    <w:jc w:val="center"/>
                    <w:rPr>
                      <w:szCs w:val="21"/>
                      <w:u w:val="single"/>
                    </w:rPr>
                  </w:pPr>
                  <w:r>
                    <w:rPr>
                      <w:rFonts w:hint="eastAsia"/>
                      <w:szCs w:val="21"/>
                      <w:u w:val="single"/>
                    </w:rPr>
                    <w:t>75</w:t>
                  </w:r>
                </w:p>
              </w:tc>
              <w:tc>
                <w:tcPr>
                  <w:tcW w:w="1025" w:type="dxa"/>
                  <w:vAlign w:val="center"/>
                </w:tcPr>
                <w:p w14:paraId="4A389202">
                  <w:pPr>
                    <w:jc w:val="center"/>
                    <w:rPr>
                      <w:szCs w:val="21"/>
                      <w:u w:val="single"/>
                    </w:rPr>
                  </w:pPr>
                  <w:r>
                    <w:rPr>
                      <w:rFonts w:hint="eastAsia"/>
                      <w:szCs w:val="21"/>
                      <w:u w:val="single"/>
                    </w:rPr>
                    <w:t>156</w:t>
                  </w:r>
                </w:p>
              </w:tc>
              <w:tc>
                <w:tcPr>
                  <w:tcW w:w="1071" w:type="dxa"/>
                  <w:vAlign w:val="center"/>
                </w:tcPr>
                <w:p w14:paraId="7C4DCE73">
                  <w:pPr>
                    <w:jc w:val="center"/>
                    <w:rPr>
                      <w:szCs w:val="21"/>
                      <w:u w:val="single"/>
                    </w:rPr>
                  </w:pPr>
                  <w:r>
                    <w:rPr>
                      <w:rFonts w:hint="eastAsia"/>
                      <w:szCs w:val="21"/>
                      <w:u w:val="single"/>
                    </w:rPr>
                    <w:t>不达标</w:t>
                  </w:r>
                </w:p>
              </w:tc>
            </w:tr>
            <w:tr w14:paraId="5644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345D28A8">
                  <w:pPr>
                    <w:jc w:val="center"/>
                    <w:rPr>
                      <w:szCs w:val="21"/>
                      <w:u w:val="single"/>
                    </w:rPr>
                  </w:pPr>
                  <w:r>
                    <w:rPr>
                      <w:rFonts w:hint="eastAsia"/>
                      <w:szCs w:val="21"/>
                      <w:u w:val="single"/>
                    </w:rPr>
                    <w:t>CO</w:t>
                  </w:r>
                </w:p>
              </w:tc>
              <w:tc>
                <w:tcPr>
                  <w:tcW w:w="2569" w:type="dxa"/>
                  <w:vAlign w:val="center"/>
                </w:tcPr>
                <w:p w14:paraId="6D8B4254">
                  <w:pPr>
                    <w:jc w:val="center"/>
                    <w:rPr>
                      <w:szCs w:val="21"/>
                      <w:u w:val="single"/>
                    </w:rPr>
                  </w:pPr>
                  <w:r>
                    <w:rPr>
                      <w:rFonts w:hint="eastAsia"/>
                      <w:szCs w:val="21"/>
                      <w:u w:val="single"/>
                    </w:rPr>
                    <w:t>日平均第95百分位数</w:t>
                  </w:r>
                </w:p>
              </w:tc>
              <w:tc>
                <w:tcPr>
                  <w:tcW w:w="1387" w:type="dxa"/>
                  <w:vAlign w:val="center"/>
                </w:tcPr>
                <w:p w14:paraId="04FB09E3">
                  <w:pPr>
                    <w:jc w:val="center"/>
                    <w:rPr>
                      <w:szCs w:val="21"/>
                      <w:u w:val="single"/>
                    </w:rPr>
                  </w:pPr>
                  <w:r>
                    <w:rPr>
                      <w:rFonts w:hint="eastAsia"/>
                      <w:szCs w:val="21"/>
                      <w:u w:val="single"/>
                    </w:rPr>
                    <w:t>1100</w:t>
                  </w:r>
                </w:p>
              </w:tc>
              <w:tc>
                <w:tcPr>
                  <w:tcW w:w="1138" w:type="dxa"/>
                  <w:vAlign w:val="center"/>
                </w:tcPr>
                <w:p w14:paraId="7B39B9CA">
                  <w:pPr>
                    <w:jc w:val="center"/>
                    <w:rPr>
                      <w:szCs w:val="21"/>
                      <w:u w:val="single"/>
                    </w:rPr>
                  </w:pPr>
                  <w:r>
                    <w:rPr>
                      <w:rFonts w:hint="eastAsia"/>
                      <w:szCs w:val="21"/>
                      <w:u w:val="single"/>
                    </w:rPr>
                    <w:t>4000</w:t>
                  </w:r>
                </w:p>
              </w:tc>
              <w:tc>
                <w:tcPr>
                  <w:tcW w:w="1025" w:type="dxa"/>
                  <w:vAlign w:val="center"/>
                </w:tcPr>
                <w:p w14:paraId="6037B6D7">
                  <w:pPr>
                    <w:jc w:val="center"/>
                    <w:rPr>
                      <w:szCs w:val="21"/>
                      <w:u w:val="single"/>
                    </w:rPr>
                  </w:pPr>
                  <w:r>
                    <w:rPr>
                      <w:rFonts w:hint="eastAsia"/>
                      <w:szCs w:val="21"/>
                      <w:u w:val="single"/>
                    </w:rPr>
                    <w:t>27.5</w:t>
                  </w:r>
                </w:p>
              </w:tc>
              <w:tc>
                <w:tcPr>
                  <w:tcW w:w="1071" w:type="dxa"/>
                  <w:vAlign w:val="center"/>
                </w:tcPr>
                <w:p w14:paraId="72ABB54E">
                  <w:pPr>
                    <w:jc w:val="center"/>
                    <w:rPr>
                      <w:szCs w:val="21"/>
                      <w:u w:val="single"/>
                    </w:rPr>
                  </w:pPr>
                  <w:r>
                    <w:rPr>
                      <w:rFonts w:hint="eastAsia"/>
                      <w:szCs w:val="21"/>
                      <w:u w:val="single"/>
                    </w:rPr>
                    <w:t>达标</w:t>
                  </w:r>
                </w:p>
              </w:tc>
            </w:tr>
            <w:tr w14:paraId="71E0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715417BE">
                  <w:pPr>
                    <w:jc w:val="center"/>
                    <w:rPr>
                      <w:szCs w:val="21"/>
                      <w:u w:val="single"/>
                    </w:rPr>
                  </w:pPr>
                  <w:r>
                    <w:rPr>
                      <w:rFonts w:hint="eastAsia"/>
                      <w:szCs w:val="21"/>
                      <w:u w:val="single"/>
                    </w:rPr>
                    <w:t>O</w:t>
                  </w:r>
                  <w:r>
                    <w:rPr>
                      <w:rFonts w:hint="eastAsia"/>
                      <w:szCs w:val="21"/>
                      <w:u w:val="single"/>
                      <w:vertAlign w:val="subscript"/>
                    </w:rPr>
                    <w:t>3</w:t>
                  </w:r>
                </w:p>
              </w:tc>
              <w:tc>
                <w:tcPr>
                  <w:tcW w:w="2569" w:type="dxa"/>
                  <w:vAlign w:val="center"/>
                </w:tcPr>
                <w:p w14:paraId="3FEEB8B5">
                  <w:pPr>
                    <w:jc w:val="center"/>
                    <w:rPr>
                      <w:szCs w:val="21"/>
                      <w:u w:val="single"/>
                    </w:rPr>
                  </w:pPr>
                  <w:r>
                    <w:rPr>
                      <w:rFonts w:hint="eastAsia"/>
                      <w:szCs w:val="21"/>
                      <w:u w:val="single"/>
                    </w:rPr>
                    <w:t>日最大8小时滑动平均值第90百分位数</w:t>
                  </w:r>
                </w:p>
              </w:tc>
              <w:tc>
                <w:tcPr>
                  <w:tcW w:w="1387" w:type="dxa"/>
                  <w:vAlign w:val="center"/>
                </w:tcPr>
                <w:p w14:paraId="581A6A8B">
                  <w:pPr>
                    <w:jc w:val="center"/>
                    <w:rPr>
                      <w:szCs w:val="21"/>
                      <w:u w:val="single"/>
                    </w:rPr>
                  </w:pPr>
                  <w:r>
                    <w:rPr>
                      <w:rFonts w:hint="eastAsia"/>
                      <w:szCs w:val="21"/>
                      <w:u w:val="single"/>
                    </w:rPr>
                    <w:t>167</w:t>
                  </w:r>
                </w:p>
              </w:tc>
              <w:tc>
                <w:tcPr>
                  <w:tcW w:w="1138" w:type="dxa"/>
                  <w:vAlign w:val="center"/>
                </w:tcPr>
                <w:p w14:paraId="5251C677">
                  <w:pPr>
                    <w:jc w:val="center"/>
                    <w:rPr>
                      <w:szCs w:val="21"/>
                      <w:u w:val="single"/>
                    </w:rPr>
                  </w:pPr>
                  <w:r>
                    <w:rPr>
                      <w:rFonts w:hint="eastAsia"/>
                      <w:szCs w:val="21"/>
                      <w:u w:val="single"/>
                    </w:rPr>
                    <w:t>160</w:t>
                  </w:r>
                </w:p>
              </w:tc>
              <w:tc>
                <w:tcPr>
                  <w:tcW w:w="1025" w:type="dxa"/>
                  <w:vAlign w:val="center"/>
                </w:tcPr>
                <w:p w14:paraId="202F388D">
                  <w:pPr>
                    <w:jc w:val="center"/>
                    <w:rPr>
                      <w:szCs w:val="21"/>
                      <w:u w:val="single"/>
                    </w:rPr>
                  </w:pPr>
                  <w:r>
                    <w:rPr>
                      <w:rFonts w:hint="eastAsia"/>
                      <w:szCs w:val="21"/>
                      <w:u w:val="single"/>
                    </w:rPr>
                    <w:t>104.4</w:t>
                  </w:r>
                </w:p>
              </w:tc>
              <w:tc>
                <w:tcPr>
                  <w:tcW w:w="1071" w:type="dxa"/>
                  <w:vAlign w:val="center"/>
                </w:tcPr>
                <w:p w14:paraId="439F0F37">
                  <w:pPr>
                    <w:jc w:val="center"/>
                    <w:rPr>
                      <w:szCs w:val="21"/>
                      <w:u w:val="single"/>
                    </w:rPr>
                  </w:pPr>
                  <w:r>
                    <w:rPr>
                      <w:rFonts w:hint="eastAsia"/>
                      <w:szCs w:val="21"/>
                      <w:u w:val="single"/>
                    </w:rPr>
                    <w:t>不达标</w:t>
                  </w:r>
                </w:p>
              </w:tc>
            </w:tr>
          </w:tbl>
          <w:p w14:paraId="2D3E4E31">
            <w:pPr>
              <w:spacing w:line="360" w:lineRule="auto"/>
              <w:ind w:firstLine="480" w:firstLineChars="200"/>
              <w:rPr>
                <w:bCs/>
                <w:sz w:val="24"/>
                <w:u w:val="single"/>
              </w:rPr>
            </w:pPr>
            <w:r>
              <w:rPr>
                <w:rFonts w:hint="eastAsia"/>
                <w:bCs/>
                <w:sz w:val="24"/>
                <w:u w:val="single"/>
              </w:rPr>
              <w:t>由上表可知，</w:t>
            </w:r>
            <w:r>
              <w:rPr>
                <w:sz w:val="24"/>
                <w:u w:val="single"/>
              </w:rPr>
              <w:t>2024年濮阳市PM</w:t>
            </w:r>
            <w:r>
              <w:rPr>
                <w:rFonts w:hint="eastAsia"/>
                <w:sz w:val="24"/>
                <w:u w:val="single"/>
                <w:vertAlign w:val="subscript"/>
              </w:rPr>
              <w:t>10</w:t>
            </w:r>
            <w:r>
              <w:rPr>
                <w:sz w:val="24"/>
                <w:u w:val="single"/>
              </w:rPr>
              <w:t>年平均浓度、PM</w:t>
            </w:r>
            <w:r>
              <w:rPr>
                <w:rFonts w:hint="eastAsia"/>
                <w:sz w:val="24"/>
                <w:u w:val="single"/>
                <w:vertAlign w:val="subscript"/>
              </w:rPr>
              <w:t>2.5</w:t>
            </w:r>
            <w:r>
              <w:rPr>
                <w:sz w:val="24"/>
                <w:u w:val="single"/>
              </w:rPr>
              <w:t>年平均浓度及第95百分位数日平均质量浓度及</w:t>
            </w:r>
            <w:r>
              <w:rPr>
                <w:rFonts w:hint="eastAsia"/>
                <w:sz w:val="24"/>
                <w:u w:val="single"/>
              </w:rPr>
              <w:t>O</w:t>
            </w:r>
            <w:r>
              <w:rPr>
                <w:rFonts w:hint="eastAsia"/>
                <w:sz w:val="24"/>
                <w:u w:val="single"/>
                <w:vertAlign w:val="subscript"/>
              </w:rPr>
              <w:t>3</w:t>
            </w:r>
            <w:r>
              <w:rPr>
                <w:sz w:val="24"/>
                <w:u w:val="single"/>
              </w:rPr>
              <w:t>日最大8小时平均质量浓度超出《环境空气质量标准》(GB3095-2012)二级标准要求，其他因子满足《环境空气质量标准》(GB3095-2012)二级标准要求。</w:t>
            </w:r>
            <w:r>
              <w:rPr>
                <w:rFonts w:hint="eastAsia"/>
                <w:bCs/>
                <w:sz w:val="24"/>
                <w:u w:val="single"/>
              </w:rPr>
              <w:t>因此，项目所在区域为不达标区。</w:t>
            </w:r>
          </w:p>
          <w:p w14:paraId="0EA098F2">
            <w:pPr>
              <w:autoSpaceDE w:val="0"/>
              <w:spacing w:line="360" w:lineRule="auto"/>
              <w:ind w:firstLine="480" w:firstLineChars="200"/>
              <w:rPr>
                <w:color w:val="000000"/>
                <w:sz w:val="24"/>
                <w:u w:val="single"/>
              </w:rPr>
            </w:pPr>
            <w:r>
              <w:rPr>
                <w:rFonts w:ascii="宋体" w:hAnsi="宋体"/>
                <w:color w:val="000000"/>
                <w:sz w:val="24"/>
                <w:u w:val="single"/>
              </w:rPr>
              <w:t>为改善区域环境空气质量，濮阳市正在实施《濮阳市</w:t>
            </w:r>
            <w:r>
              <w:rPr>
                <w:color w:val="000000"/>
                <w:sz w:val="24"/>
                <w:u w:val="single"/>
              </w:rPr>
              <w:t>202</w:t>
            </w:r>
            <w:r>
              <w:rPr>
                <w:rFonts w:hint="eastAsia"/>
                <w:color w:val="000000"/>
                <w:sz w:val="24"/>
                <w:u w:val="single"/>
              </w:rPr>
              <w:t>5</w:t>
            </w:r>
            <w:r>
              <w:rPr>
                <w:rFonts w:ascii="宋体" w:hAnsi="宋体"/>
                <w:color w:val="000000"/>
                <w:sz w:val="24"/>
                <w:u w:val="single"/>
              </w:rPr>
              <w:t>年蓝天保卫战实施方案》</w:t>
            </w:r>
            <w:r>
              <w:rPr>
                <w:rFonts w:hint="eastAsia" w:ascii="宋体" w:hAnsi="宋体"/>
                <w:color w:val="000000"/>
                <w:sz w:val="24"/>
                <w:u w:val="single"/>
              </w:rPr>
              <w:t>（</w:t>
            </w:r>
            <w:r>
              <w:rPr>
                <w:rFonts w:ascii="宋体" w:hAnsi="宋体"/>
                <w:color w:val="000000"/>
                <w:sz w:val="24"/>
                <w:u w:val="single"/>
              </w:rPr>
              <w:t>濮环委【</w:t>
            </w:r>
            <w:r>
              <w:rPr>
                <w:color w:val="000000"/>
                <w:sz w:val="24"/>
                <w:u w:val="single"/>
              </w:rPr>
              <w:t>202</w:t>
            </w:r>
            <w:r>
              <w:rPr>
                <w:rFonts w:hint="eastAsia"/>
                <w:color w:val="000000"/>
                <w:sz w:val="24"/>
                <w:u w:val="single"/>
              </w:rPr>
              <w:t>5</w:t>
            </w:r>
            <w:r>
              <w:rPr>
                <w:rFonts w:ascii="宋体" w:hAnsi="宋体"/>
                <w:color w:val="000000"/>
                <w:sz w:val="24"/>
                <w:u w:val="single"/>
              </w:rPr>
              <w:t>】</w:t>
            </w:r>
            <w:r>
              <w:rPr>
                <w:color w:val="000000"/>
                <w:sz w:val="24"/>
                <w:u w:val="single"/>
              </w:rPr>
              <w:t>1</w:t>
            </w:r>
            <w:r>
              <w:rPr>
                <w:rFonts w:ascii="宋体" w:hAnsi="宋体"/>
                <w:color w:val="000000"/>
                <w:sz w:val="24"/>
                <w:u w:val="single"/>
              </w:rPr>
              <w:t>号</w:t>
            </w:r>
            <w:r>
              <w:rPr>
                <w:rFonts w:hint="eastAsia" w:ascii="宋体" w:hAnsi="宋体"/>
                <w:color w:val="000000"/>
                <w:sz w:val="24"/>
                <w:u w:val="single"/>
              </w:rPr>
              <w:t>）</w:t>
            </w:r>
            <w:r>
              <w:rPr>
                <w:rFonts w:ascii="宋体" w:hAnsi="宋体"/>
                <w:color w:val="000000"/>
                <w:sz w:val="24"/>
                <w:u w:val="single"/>
              </w:rPr>
              <w:t>，</w:t>
            </w:r>
            <w:r>
              <w:rPr>
                <w:rFonts w:hint="eastAsia" w:ascii="宋体" w:hAnsi="宋体"/>
                <w:color w:val="000000"/>
                <w:sz w:val="24"/>
                <w:u w:val="single"/>
              </w:rPr>
              <w:t>持续改善全市环境空气质量</w:t>
            </w:r>
            <w:r>
              <w:rPr>
                <w:rFonts w:ascii="宋体" w:hAnsi="宋体"/>
                <w:color w:val="000000"/>
                <w:sz w:val="24"/>
                <w:u w:val="single"/>
              </w:rPr>
              <w:t>。工作目标：</w:t>
            </w:r>
            <w:r>
              <w:rPr>
                <w:color w:val="000000"/>
                <w:sz w:val="24"/>
                <w:u w:val="single"/>
              </w:rPr>
              <w:t>2025</w:t>
            </w:r>
            <w:r>
              <w:rPr>
                <w:rFonts w:ascii="宋体" w:hAnsi="宋体"/>
                <w:color w:val="000000"/>
                <w:sz w:val="24"/>
                <w:u w:val="single"/>
              </w:rPr>
              <w:t>年，全市空气质量</w:t>
            </w:r>
            <w:r>
              <w:rPr>
                <w:color w:val="000000"/>
                <w:sz w:val="24"/>
                <w:u w:val="single"/>
              </w:rPr>
              <w:t>PM</w:t>
            </w:r>
            <w:r>
              <w:rPr>
                <w:rFonts w:hint="eastAsia"/>
                <w:color w:val="000000"/>
                <w:sz w:val="24"/>
                <w:u w:val="single"/>
                <w:vertAlign w:val="subscript"/>
              </w:rPr>
              <w:t>2.5</w:t>
            </w:r>
            <w:r>
              <w:rPr>
                <w:rFonts w:ascii="宋体" w:hAnsi="宋体"/>
                <w:color w:val="000000"/>
                <w:sz w:val="24"/>
                <w:u w:val="single"/>
              </w:rPr>
              <w:t>浓度不高于</w:t>
            </w:r>
            <w:r>
              <w:rPr>
                <w:color w:val="000000"/>
                <w:sz w:val="24"/>
                <w:u w:val="single"/>
              </w:rPr>
              <w:t>45</w:t>
            </w:r>
            <w:r>
              <w:rPr>
                <w:rFonts w:ascii="宋体" w:hAnsi="宋体"/>
                <w:color w:val="000000"/>
                <w:sz w:val="24"/>
                <w:u w:val="single"/>
              </w:rPr>
              <w:t>微克</w:t>
            </w:r>
            <w:r>
              <w:rPr>
                <w:color w:val="000000"/>
                <w:sz w:val="24"/>
                <w:u w:val="single"/>
              </w:rPr>
              <w:t>/</w:t>
            </w:r>
            <w:r>
              <w:rPr>
                <w:rFonts w:ascii="宋体" w:hAnsi="宋体"/>
                <w:color w:val="000000"/>
                <w:sz w:val="24"/>
                <w:u w:val="single"/>
              </w:rPr>
              <w:t>立方米，优良天数比例达到</w:t>
            </w:r>
            <w:r>
              <w:rPr>
                <w:color w:val="000000"/>
                <w:sz w:val="24"/>
                <w:u w:val="single"/>
              </w:rPr>
              <w:t>68.0%</w:t>
            </w:r>
            <w:r>
              <w:rPr>
                <w:rFonts w:ascii="宋体" w:hAnsi="宋体"/>
                <w:color w:val="000000"/>
                <w:sz w:val="24"/>
                <w:u w:val="single"/>
              </w:rPr>
              <w:t>，重污染天数比例不高于</w:t>
            </w:r>
            <w:r>
              <w:rPr>
                <w:color w:val="000000"/>
                <w:sz w:val="24"/>
                <w:u w:val="single"/>
              </w:rPr>
              <w:t>1.9%</w:t>
            </w:r>
            <w:r>
              <w:rPr>
                <w:rFonts w:ascii="宋体" w:hAnsi="宋体"/>
                <w:color w:val="000000"/>
                <w:sz w:val="24"/>
                <w:u w:val="single"/>
              </w:rPr>
              <w:t>，完成省下达的</w:t>
            </w:r>
            <w:r>
              <w:rPr>
                <w:rFonts w:hint="eastAsia" w:ascii="宋体" w:hAnsi="宋体"/>
                <w:color w:val="000000"/>
                <w:sz w:val="24"/>
                <w:u w:val="single"/>
              </w:rPr>
              <w:t>“</w:t>
            </w:r>
            <w:r>
              <w:rPr>
                <w:rFonts w:ascii="宋体" w:hAnsi="宋体"/>
                <w:color w:val="000000"/>
                <w:sz w:val="24"/>
                <w:u w:val="single"/>
              </w:rPr>
              <w:t>十四五</w:t>
            </w:r>
            <w:r>
              <w:rPr>
                <w:rFonts w:hint="eastAsia" w:ascii="宋体" w:hAnsi="宋体"/>
                <w:color w:val="000000"/>
                <w:sz w:val="24"/>
                <w:u w:val="single"/>
              </w:rPr>
              <w:t>”</w:t>
            </w:r>
            <w:r>
              <w:rPr>
                <w:rFonts w:ascii="宋体" w:hAnsi="宋体"/>
                <w:color w:val="000000"/>
                <w:sz w:val="24"/>
                <w:u w:val="single"/>
              </w:rPr>
              <w:t>氮氧化物和挥发性有机物</w:t>
            </w:r>
            <w:r>
              <w:rPr>
                <w:color w:val="000000"/>
                <w:sz w:val="24"/>
                <w:u w:val="single"/>
              </w:rPr>
              <w:t>(VOCs)</w:t>
            </w:r>
            <w:r>
              <w:rPr>
                <w:rFonts w:ascii="宋体" w:hAnsi="宋体"/>
                <w:color w:val="000000"/>
                <w:sz w:val="24"/>
                <w:u w:val="single"/>
              </w:rPr>
              <w:t>总量减排任务。各县</w:t>
            </w:r>
            <w:r>
              <w:rPr>
                <w:color w:val="000000"/>
                <w:sz w:val="24"/>
                <w:u w:val="single"/>
              </w:rPr>
              <w:t>(</w:t>
            </w:r>
            <w:r>
              <w:rPr>
                <w:rFonts w:ascii="宋体" w:hAnsi="宋体"/>
                <w:color w:val="000000"/>
                <w:sz w:val="24"/>
                <w:u w:val="single"/>
              </w:rPr>
              <w:t>区</w:t>
            </w:r>
            <w:r>
              <w:rPr>
                <w:color w:val="000000"/>
                <w:sz w:val="24"/>
                <w:u w:val="single"/>
              </w:rPr>
              <w:t>)</w:t>
            </w:r>
            <w:r>
              <w:rPr>
                <w:rFonts w:ascii="宋体" w:hAnsi="宋体"/>
                <w:color w:val="000000"/>
                <w:sz w:val="24"/>
                <w:u w:val="single"/>
              </w:rPr>
              <w:t>完成市下达的</w:t>
            </w:r>
            <w:r>
              <w:rPr>
                <w:color w:val="000000"/>
                <w:sz w:val="24"/>
                <w:u w:val="single"/>
              </w:rPr>
              <w:t>2025</w:t>
            </w:r>
            <w:r>
              <w:rPr>
                <w:rFonts w:ascii="宋体" w:hAnsi="宋体"/>
                <w:color w:val="000000"/>
                <w:sz w:val="24"/>
                <w:u w:val="single"/>
              </w:rPr>
              <w:t>年环境空气质量改善目标。主要任务如下：</w:t>
            </w:r>
          </w:p>
          <w:p w14:paraId="56AC991F">
            <w:pPr>
              <w:autoSpaceDE w:val="0"/>
              <w:spacing w:line="360" w:lineRule="auto"/>
              <w:ind w:firstLine="480" w:firstLineChars="200"/>
              <w:rPr>
                <w:color w:val="000000"/>
                <w:sz w:val="24"/>
                <w:u w:val="single"/>
              </w:rPr>
            </w:pPr>
            <w:r>
              <w:rPr>
                <w:rFonts w:hint="eastAsia" w:ascii="宋体" w:hAnsi="宋体" w:cs="宋体"/>
                <w:color w:val="000000"/>
                <w:sz w:val="24"/>
                <w:u w:val="single"/>
              </w:rPr>
              <w:t>①</w:t>
            </w:r>
            <w:r>
              <w:rPr>
                <w:rFonts w:hint="eastAsia" w:ascii="宋体" w:hAnsi="宋体"/>
                <w:color w:val="000000"/>
                <w:sz w:val="24"/>
                <w:u w:val="single"/>
              </w:rPr>
              <w:t>结构优化升级专项攻坚；</w:t>
            </w:r>
            <w:r>
              <w:rPr>
                <w:rFonts w:hint="eastAsia" w:ascii="宋体" w:hAnsi="宋体" w:cs="宋体"/>
                <w:color w:val="000000"/>
                <w:sz w:val="24"/>
                <w:u w:val="single"/>
              </w:rPr>
              <w:t>②</w:t>
            </w:r>
            <w:r>
              <w:rPr>
                <w:rFonts w:hint="eastAsia" w:ascii="宋体" w:hAnsi="宋体"/>
                <w:color w:val="000000"/>
                <w:sz w:val="24"/>
                <w:u w:val="single"/>
              </w:rPr>
              <w:t>工业企业提标治理专项攻坚；</w:t>
            </w:r>
            <w:r>
              <w:rPr>
                <w:rFonts w:hint="eastAsia" w:ascii="宋体" w:hAnsi="宋体" w:cs="宋体"/>
                <w:color w:val="000000"/>
                <w:sz w:val="24"/>
                <w:u w:val="single"/>
              </w:rPr>
              <w:t>③</w:t>
            </w:r>
            <w:r>
              <w:rPr>
                <w:rFonts w:hint="eastAsia" w:ascii="宋体" w:hAnsi="宋体"/>
                <w:color w:val="000000"/>
                <w:sz w:val="24"/>
                <w:u w:val="single"/>
              </w:rPr>
              <w:t>移动源污染排放控制专项攻坚；</w:t>
            </w:r>
            <w:r>
              <w:rPr>
                <w:rFonts w:hint="eastAsia" w:ascii="宋体" w:hAnsi="宋体" w:cs="宋体"/>
                <w:color w:val="000000"/>
                <w:sz w:val="24"/>
                <w:u w:val="single"/>
              </w:rPr>
              <w:t>④</w:t>
            </w:r>
            <w:r>
              <w:rPr>
                <w:rFonts w:hint="eastAsia" w:ascii="宋体" w:hAnsi="宋体"/>
                <w:color w:val="000000"/>
                <w:sz w:val="24"/>
                <w:u w:val="single"/>
              </w:rPr>
              <w:t>面源污染防控专项攻坚；</w:t>
            </w:r>
            <w:r>
              <w:rPr>
                <w:rFonts w:hint="eastAsia" w:ascii="宋体" w:hAnsi="宋体" w:cs="宋体"/>
                <w:color w:val="000000"/>
                <w:sz w:val="24"/>
                <w:u w:val="single"/>
              </w:rPr>
              <w:t>⑤</w:t>
            </w:r>
            <w:r>
              <w:rPr>
                <w:rFonts w:hint="eastAsia" w:ascii="宋体" w:hAnsi="宋体"/>
                <w:color w:val="000000"/>
                <w:sz w:val="24"/>
                <w:u w:val="single"/>
              </w:rPr>
              <w:t>重污染天气应对专项攻坚；</w:t>
            </w:r>
            <w:r>
              <w:rPr>
                <w:rFonts w:hint="eastAsia" w:ascii="宋体" w:hAnsi="宋体" w:cs="宋体"/>
                <w:color w:val="000000"/>
                <w:sz w:val="24"/>
                <w:u w:val="single"/>
              </w:rPr>
              <w:t>⑥</w:t>
            </w:r>
            <w:r>
              <w:rPr>
                <w:rFonts w:hint="eastAsia" w:ascii="宋体" w:hAnsi="宋体"/>
                <w:color w:val="000000"/>
                <w:sz w:val="24"/>
                <w:u w:val="single"/>
              </w:rPr>
              <w:t>监管能力提升专项攻坚</w:t>
            </w:r>
            <w:r>
              <w:rPr>
                <w:rFonts w:ascii="宋体" w:hAnsi="宋体"/>
                <w:color w:val="000000"/>
                <w:sz w:val="24"/>
                <w:u w:val="single"/>
              </w:rPr>
              <w:t>。</w:t>
            </w:r>
          </w:p>
          <w:p w14:paraId="5CEF60E6">
            <w:pPr>
              <w:spacing w:line="360" w:lineRule="auto"/>
              <w:ind w:firstLine="480" w:firstLineChars="200"/>
              <w:rPr>
                <w:sz w:val="24"/>
                <w:szCs w:val="32"/>
                <w:u w:val="single"/>
                <w:lang w:bidi="ar"/>
              </w:rPr>
            </w:pPr>
            <w:r>
              <w:rPr>
                <w:rFonts w:hint="eastAsia"/>
                <w:bCs/>
                <w:sz w:val="24"/>
                <w:u w:val="single"/>
              </w:rPr>
              <w:t>待以上措施逐步实施后，濮阳市环境空气质量将得到持续改善</w:t>
            </w:r>
            <w:r>
              <w:rPr>
                <w:rFonts w:hint="eastAsia"/>
                <w:sz w:val="24"/>
                <w:szCs w:val="32"/>
                <w:u w:val="single"/>
                <w:lang w:bidi="ar"/>
              </w:rPr>
              <w:t>。</w:t>
            </w:r>
          </w:p>
          <w:p w14:paraId="2F05C882">
            <w:pPr>
              <w:spacing w:line="360" w:lineRule="auto"/>
              <w:ind w:firstLine="482" w:firstLineChars="200"/>
              <w:rPr>
                <w:b/>
                <w:bCs/>
                <w:sz w:val="24"/>
                <w:u w:val="single"/>
              </w:rPr>
            </w:pPr>
            <w:r>
              <w:rPr>
                <w:rFonts w:hint="eastAsia"/>
                <w:b/>
                <w:bCs/>
                <w:sz w:val="24"/>
                <w:u w:val="single"/>
              </w:rPr>
              <w:t>（2）其他污染物环境质量现状</w:t>
            </w:r>
          </w:p>
          <w:p w14:paraId="313B78AD">
            <w:pPr>
              <w:spacing w:line="360" w:lineRule="auto"/>
              <w:ind w:firstLine="480" w:firstLineChars="200"/>
              <w:rPr>
                <w:bCs/>
                <w:sz w:val="24"/>
                <w:u w:val="single"/>
              </w:rPr>
            </w:pPr>
            <w:r>
              <w:rPr>
                <w:bCs/>
                <w:sz w:val="24"/>
                <w:u w:val="single"/>
              </w:rPr>
              <w:t>根据《建设项目环境影响报告表编制技术指南》（污染影响类）要求，</w:t>
            </w:r>
            <w:r>
              <w:rPr>
                <w:rFonts w:hint="eastAsia"/>
                <w:bCs/>
                <w:sz w:val="24"/>
                <w:u w:val="single"/>
              </w:rPr>
              <w:t>项目排放国家、地方环境空气质量标准中有标准限值要求的特征污染物时，应引用建设项目周边5千米范围内近3年的现有大气环境监测数据。</w:t>
            </w:r>
          </w:p>
          <w:p w14:paraId="3B66D408">
            <w:pPr>
              <w:spacing w:line="360" w:lineRule="auto"/>
              <w:ind w:firstLine="480" w:firstLineChars="200"/>
              <w:rPr>
                <w:bCs/>
                <w:sz w:val="24"/>
                <w:u w:val="single"/>
              </w:rPr>
            </w:pPr>
            <w:r>
              <w:rPr>
                <w:bCs/>
                <w:sz w:val="24"/>
                <w:u w:val="single"/>
              </w:rPr>
              <w:t>本次评价特征因子非甲烷总烃</w:t>
            </w:r>
            <w:r>
              <w:rPr>
                <w:rFonts w:hint="eastAsia"/>
                <w:bCs/>
                <w:sz w:val="24"/>
                <w:u w:val="single"/>
              </w:rPr>
              <w:t>监测数据引用《濮阳市挥发性有机物综合治理废活性炭集中再生中心(绿岛)项目环境影响评价报告书》中2023年4月26日-2023年5月2日对后荣花树村（位于本项目NE，1.8km）的监测数据。后荣花树村位于本项目周边5km范围内，且检测时间在3年有效期内，故引用数据可行。具体监测结果如下：</w:t>
            </w:r>
          </w:p>
          <w:p w14:paraId="35935255">
            <w:pPr>
              <w:pStyle w:val="19"/>
              <w:numPr>
                <w:ilvl w:val="0"/>
                <w:numId w:val="6"/>
              </w:numPr>
              <w:spacing w:before="0" w:after="0" w:line="360" w:lineRule="auto"/>
              <w:ind w:right="0"/>
              <w:jc w:val="center"/>
              <w:rPr>
                <w:b/>
                <w:sz w:val="21"/>
                <w:szCs w:val="21"/>
                <w:u w:val="single"/>
              </w:rPr>
            </w:pPr>
            <w:r>
              <w:rPr>
                <w:rFonts w:hint="eastAsia"/>
                <w:b/>
                <w:sz w:val="21"/>
                <w:szCs w:val="21"/>
                <w:u w:val="single"/>
              </w:rPr>
              <w:t>其他污染物</w:t>
            </w:r>
            <w:r>
              <w:rPr>
                <w:b/>
                <w:sz w:val="21"/>
                <w:szCs w:val="21"/>
                <w:u w:val="single"/>
              </w:rPr>
              <w:t>环境空气质量现状</w:t>
            </w:r>
            <w:r>
              <w:rPr>
                <w:rFonts w:hint="eastAsia"/>
                <w:b/>
                <w:sz w:val="21"/>
                <w:szCs w:val="21"/>
                <w:u w:val="single"/>
              </w:rPr>
              <w:t>评价</w:t>
            </w:r>
            <w:r>
              <w:rPr>
                <w:b/>
                <w:sz w:val="21"/>
                <w:szCs w:val="21"/>
                <w:u w:val="single"/>
              </w:rPr>
              <w:t>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339"/>
              <w:gridCol w:w="1276"/>
              <w:gridCol w:w="1134"/>
              <w:gridCol w:w="1559"/>
              <w:gridCol w:w="992"/>
              <w:gridCol w:w="787"/>
            </w:tblGrid>
            <w:tr w14:paraId="4760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38089674">
                  <w:pPr>
                    <w:jc w:val="center"/>
                    <w:rPr>
                      <w:szCs w:val="21"/>
                      <w:u w:val="single"/>
                    </w:rPr>
                  </w:pPr>
                  <w:r>
                    <w:rPr>
                      <w:rFonts w:hint="eastAsia"/>
                      <w:szCs w:val="21"/>
                      <w:u w:val="single"/>
                    </w:rPr>
                    <w:t>污染物</w:t>
                  </w:r>
                </w:p>
              </w:tc>
              <w:tc>
                <w:tcPr>
                  <w:tcW w:w="1339" w:type="dxa"/>
                  <w:vAlign w:val="center"/>
                </w:tcPr>
                <w:p w14:paraId="0EEB005F">
                  <w:pPr>
                    <w:jc w:val="center"/>
                    <w:rPr>
                      <w:szCs w:val="21"/>
                      <w:u w:val="single"/>
                    </w:rPr>
                  </w:pPr>
                  <w:r>
                    <w:rPr>
                      <w:rFonts w:hint="eastAsia"/>
                      <w:szCs w:val="21"/>
                      <w:u w:val="single"/>
                    </w:rPr>
                    <w:t>监测点位</w:t>
                  </w:r>
                </w:p>
              </w:tc>
              <w:tc>
                <w:tcPr>
                  <w:tcW w:w="1276" w:type="dxa"/>
                  <w:vAlign w:val="center"/>
                </w:tcPr>
                <w:p w14:paraId="723A1B42">
                  <w:pPr>
                    <w:jc w:val="center"/>
                    <w:rPr>
                      <w:szCs w:val="21"/>
                      <w:u w:val="single"/>
                    </w:rPr>
                  </w:pPr>
                  <w:r>
                    <w:rPr>
                      <w:rFonts w:hint="eastAsia"/>
                      <w:szCs w:val="21"/>
                      <w:u w:val="single"/>
                    </w:rPr>
                    <w:t>检测值mg/m</w:t>
                  </w:r>
                  <w:r>
                    <w:rPr>
                      <w:rFonts w:hint="eastAsia"/>
                      <w:szCs w:val="21"/>
                      <w:u w:val="single"/>
                      <w:vertAlign w:val="superscript"/>
                    </w:rPr>
                    <w:t>3</w:t>
                  </w:r>
                </w:p>
              </w:tc>
              <w:tc>
                <w:tcPr>
                  <w:tcW w:w="1134" w:type="dxa"/>
                  <w:vAlign w:val="center"/>
                </w:tcPr>
                <w:p w14:paraId="207776BF">
                  <w:pPr>
                    <w:jc w:val="center"/>
                    <w:rPr>
                      <w:szCs w:val="21"/>
                      <w:u w:val="single"/>
                    </w:rPr>
                  </w:pPr>
                  <w:r>
                    <w:rPr>
                      <w:rFonts w:hint="eastAsia"/>
                      <w:szCs w:val="21"/>
                      <w:u w:val="single"/>
                    </w:rPr>
                    <w:t>标准值mg/m</w:t>
                  </w:r>
                  <w:r>
                    <w:rPr>
                      <w:rFonts w:hint="eastAsia"/>
                      <w:szCs w:val="21"/>
                      <w:u w:val="single"/>
                      <w:vertAlign w:val="superscript"/>
                    </w:rPr>
                    <w:t>3</w:t>
                  </w:r>
                </w:p>
              </w:tc>
              <w:tc>
                <w:tcPr>
                  <w:tcW w:w="1559" w:type="dxa"/>
                  <w:vAlign w:val="center"/>
                </w:tcPr>
                <w:p w14:paraId="4458C550">
                  <w:pPr>
                    <w:jc w:val="center"/>
                    <w:rPr>
                      <w:szCs w:val="21"/>
                      <w:u w:val="single"/>
                    </w:rPr>
                  </w:pPr>
                  <w:r>
                    <w:rPr>
                      <w:rFonts w:hint="eastAsia"/>
                      <w:szCs w:val="21"/>
                      <w:u w:val="single"/>
                    </w:rPr>
                    <w:t>标准指数范围</w:t>
                  </w:r>
                </w:p>
              </w:tc>
              <w:tc>
                <w:tcPr>
                  <w:tcW w:w="992" w:type="dxa"/>
                  <w:vAlign w:val="center"/>
                </w:tcPr>
                <w:p w14:paraId="669F9D98">
                  <w:pPr>
                    <w:jc w:val="center"/>
                    <w:rPr>
                      <w:szCs w:val="21"/>
                      <w:u w:val="single"/>
                    </w:rPr>
                  </w:pPr>
                  <w:r>
                    <w:rPr>
                      <w:rFonts w:hint="eastAsia"/>
                      <w:szCs w:val="21"/>
                      <w:u w:val="single"/>
                    </w:rPr>
                    <w:t>超标率%</w:t>
                  </w:r>
                </w:p>
              </w:tc>
              <w:tc>
                <w:tcPr>
                  <w:tcW w:w="787" w:type="dxa"/>
                  <w:vAlign w:val="center"/>
                </w:tcPr>
                <w:p w14:paraId="7DAFAF21">
                  <w:pPr>
                    <w:jc w:val="center"/>
                    <w:rPr>
                      <w:szCs w:val="21"/>
                      <w:u w:val="single"/>
                    </w:rPr>
                  </w:pPr>
                  <w:r>
                    <w:rPr>
                      <w:rFonts w:hint="eastAsia"/>
                      <w:szCs w:val="21"/>
                      <w:u w:val="single"/>
                    </w:rPr>
                    <w:t>达标情况</w:t>
                  </w:r>
                </w:p>
              </w:tc>
            </w:tr>
            <w:tr w14:paraId="43C6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16224B24">
                  <w:pPr>
                    <w:jc w:val="center"/>
                    <w:rPr>
                      <w:szCs w:val="21"/>
                      <w:u w:val="single"/>
                    </w:rPr>
                  </w:pPr>
                  <w:r>
                    <w:rPr>
                      <w:rFonts w:hint="eastAsia"/>
                      <w:szCs w:val="21"/>
                      <w:u w:val="single"/>
                    </w:rPr>
                    <w:t>非甲烷总烃</w:t>
                  </w:r>
                </w:p>
              </w:tc>
              <w:tc>
                <w:tcPr>
                  <w:tcW w:w="1339" w:type="dxa"/>
                  <w:vAlign w:val="center"/>
                </w:tcPr>
                <w:p w14:paraId="67B4557F">
                  <w:pPr>
                    <w:jc w:val="center"/>
                    <w:rPr>
                      <w:szCs w:val="21"/>
                      <w:u w:val="single"/>
                    </w:rPr>
                  </w:pPr>
                  <w:r>
                    <w:rPr>
                      <w:rFonts w:hint="eastAsia"/>
                      <w:szCs w:val="21"/>
                      <w:u w:val="single"/>
                    </w:rPr>
                    <w:t>后荣花树村</w:t>
                  </w:r>
                </w:p>
              </w:tc>
              <w:tc>
                <w:tcPr>
                  <w:tcW w:w="1276" w:type="dxa"/>
                  <w:vAlign w:val="center"/>
                </w:tcPr>
                <w:p w14:paraId="47DD8156">
                  <w:pPr>
                    <w:jc w:val="center"/>
                    <w:rPr>
                      <w:szCs w:val="21"/>
                      <w:u w:val="single"/>
                    </w:rPr>
                  </w:pPr>
                  <w:r>
                    <w:rPr>
                      <w:rFonts w:hint="eastAsia"/>
                      <w:szCs w:val="21"/>
                      <w:u w:val="single"/>
                    </w:rPr>
                    <w:t>0.76~0.95</w:t>
                  </w:r>
                </w:p>
              </w:tc>
              <w:tc>
                <w:tcPr>
                  <w:tcW w:w="1134" w:type="dxa"/>
                  <w:vAlign w:val="center"/>
                </w:tcPr>
                <w:p w14:paraId="4C7714E2">
                  <w:pPr>
                    <w:jc w:val="center"/>
                    <w:rPr>
                      <w:szCs w:val="21"/>
                      <w:u w:val="single"/>
                    </w:rPr>
                  </w:pPr>
                  <w:r>
                    <w:rPr>
                      <w:rFonts w:hint="eastAsia"/>
                      <w:szCs w:val="21"/>
                      <w:u w:val="single"/>
                    </w:rPr>
                    <w:t>2.0</w:t>
                  </w:r>
                </w:p>
              </w:tc>
              <w:tc>
                <w:tcPr>
                  <w:tcW w:w="1559" w:type="dxa"/>
                  <w:vAlign w:val="center"/>
                </w:tcPr>
                <w:p w14:paraId="67AFA3FC">
                  <w:pPr>
                    <w:jc w:val="center"/>
                    <w:rPr>
                      <w:szCs w:val="21"/>
                      <w:u w:val="single"/>
                    </w:rPr>
                  </w:pPr>
                  <w:r>
                    <w:rPr>
                      <w:rFonts w:hint="eastAsia"/>
                      <w:szCs w:val="21"/>
                      <w:u w:val="single"/>
                    </w:rPr>
                    <w:t>0.38~0.475</w:t>
                  </w:r>
                </w:p>
              </w:tc>
              <w:tc>
                <w:tcPr>
                  <w:tcW w:w="992" w:type="dxa"/>
                  <w:vAlign w:val="center"/>
                </w:tcPr>
                <w:p w14:paraId="5DD3E1E2">
                  <w:pPr>
                    <w:jc w:val="center"/>
                    <w:rPr>
                      <w:szCs w:val="21"/>
                      <w:u w:val="single"/>
                    </w:rPr>
                  </w:pPr>
                  <w:r>
                    <w:rPr>
                      <w:rFonts w:hint="eastAsia"/>
                      <w:szCs w:val="21"/>
                      <w:u w:val="single"/>
                    </w:rPr>
                    <w:t>0</w:t>
                  </w:r>
                </w:p>
              </w:tc>
              <w:tc>
                <w:tcPr>
                  <w:tcW w:w="787" w:type="dxa"/>
                  <w:vAlign w:val="center"/>
                </w:tcPr>
                <w:p w14:paraId="1953C7E6">
                  <w:pPr>
                    <w:jc w:val="center"/>
                    <w:rPr>
                      <w:szCs w:val="21"/>
                      <w:u w:val="single"/>
                    </w:rPr>
                  </w:pPr>
                  <w:r>
                    <w:rPr>
                      <w:rFonts w:hint="eastAsia"/>
                      <w:szCs w:val="21"/>
                      <w:u w:val="single"/>
                    </w:rPr>
                    <w:t>达标</w:t>
                  </w:r>
                </w:p>
              </w:tc>
            </w:tr>
          </w:tbl>
          <w:p w14:paraId="4DD509FE">
            <w:pPr>
              <w:spacing w:line="360" w:lineRule="auto"/>
              <w:ind w:firstLine="472" w:firstLineChars="200"/>
              <w:rPr>
                <w:bCs/>
                <w:sz w:val="24"/>
                <w:u w:val="single"/>
              </w:rPr>
            </w:pPr>
            <w:r>
              <w:rPr>
                <w:rFonts w:ascii="宋体" w:hAnsi="宋体" w:cs="宋体"/>
                <w:spacing w:val="-2"/>
                <w:sz w:val="24"/>
                <w:u w:val="single"/>
              </w:rPr>
              <w:t>由上述监测结果可知，该区域环境空气特征因子非甲烷总</w:t>
            </w:r>
            <w:r>
              <w:rPr>
                <w:rFonts w:ascii="宋体" w:hAnsi="宋体" w:cs="宋体"/>
                <w:spacing w:val="-3"/>
                <w:sz w:val="24"/>
                <w:u w:val="single"/>
              </w:rPr>
              <w:t>烃小时值可以满足</w:t>
            </w:r>
            <w:r>
              <w:rPr>
                <w:rFonts w:ascii="宋体" w:hAnsi="宋体" w:cs="宋体"/>
                <w:sz w:val="24"/>
                <w:u w:val="single"/>
              </w:rPr>
              <w:t xml:space="preserve"> </w:t>
            </w:r>
            <w:r>
              <w:rPr>
                <w:rFonts w:ascii="宋体" w:hAnsi="宋体" w:cs="宋体"/>
                <w:spacing w:val="-4"/>
                <w:sz w:val="24"/>
                <w:u w:val="single"/>
              </w:rPr>
              <w:t>《大气污染物综合排放标准详解》推荐值</w:t>
            </w:r>
            <w:r>
              <w:rPr>
                <w:rFonts w:ascii="宋体" w:hAnsi="宋体" w:cs="宋体"/>
                <w:spacing w:val="-50"/>
                <w:sz w:val="24"/>
                <w:u w:val="single"/>
              </w:rPr>
              <w:t xml:space="preserve"> </w:t>
            </w:r>
            <w:r>
              <w:rPr>
                <w:rFonts w:eastAsia="Times New Roman"/>
                <w:spacing w:val="-4"/>
                <w:sz w:val="24"/>
                <w:u w:val="single"/>
              </w:rPr>
              <w:t>2.0mg/m</w:t>
            </w:r>
            <w:r>
              <w:rPr>
                <w:rFonts w:eastAsia="Times New Roman"/>
                <w:spacing w:val="-4"/>
                <w:position w:val="8"/>
                <w:sz w:val="15"/>
                <w:szCs w:val="15"/>
                <w:u w:val="single"/>
              </w:rPr>
              <w:t>3</w:t>
            </w:r>
            <w:r>
              <w:rPr>
                <w:rFonts w:eastAsia="Times New Roman"/>
                <w:spacing w:val="29"/>
                <w:w w:val="101"/>
                <w:position w:val="8"/>
                <w:sz w:val="15"/>
                <w:szCs w:val="15"/>
                <w:u w:val="single"/>
              </w:rPr>
              <w:t xml:space="preserve"> </w:t>
            </w:r>
            <w:r>
              <w:rPr>
                <w:rFonts w:ascii="宋体" w:hAnsi="宋体" w:cs="宋体"/>
                <w:spacing w:val="-4"/>
                <w:sz w:val="24"/>
                <w:u w:val="single"/>
              </w:rPr>
              <w:t>的要求</w:t>
            </w:r>
            <w:r>
              <w:rPr>
                <w:rFonts w:hint="eastAsia" w:ascii="宋体" w:hAnsi="宋体" w:cs="宋体"/>
                <w:spacing w:val="-4"/>
                <w:sz w:val="24"/>
                <w:u w:val="single"/>
              </w:rPr>
              <w:t>。</w:t>
            </w:r>
          </w:p>
          <w:p w14:paraId="0F0B87B8">
            <w:pPr>
              <w:spacing w:line="360" w:lineRule="auto"/>
              <w:ind w:firstLine="482" w:firstLineChars="200"/>
              <w:rPr>
                <w:b/>
                <w:sz w:val="24"/>
              </w:rPr>
            </w:pPr>
            <w:r>
              <w:rPr>
                <w:rFonts w:hint="eastAsia" w:hAnsi="宋体"/>
                <w:b/>
                <w:bCs/>
                <w:sz w:val="24"/>
              </w:rPr>
              <w:t>2、</w:t>
            </w:r>
            <w:r>
              <w:rPr>
                <w:rFonts w:hint="eastAsia"/>
                <w:b/>
                <w:sz w:val="24"/>
              </w:rPr>
              <w:t>地表水环境质量现状</w:t>
            </w:r>
          </w:p>
          <w:p w14:paraId="66C7DEB3">
            <w:pPr>
              <w:spacing w:line="360" w:lineRule="auto"/>
              <w:ind w:firstLine="480" w:firstLineChars="200"/>
              <w:rPr>
                <w:sz w:val="24"/>
              </w:rPr>
            </w:pPr>
            <w:r>
              <w:rPr>
                <w:rFonts w:hint="eastAsia"/>
                <w:sz w:val="24"/>
                <w:lang w:val="zh-CN"/>
              </w:rPr>
              <w:t>本项目废水经处理后由开发区污水管网引入清丰中州水务有限公司第二污水处理厂深度处理。</w:t>
            </w:r>
            <w:r>
              <w:rPr>
                <w:rFonts w:hint="eastAsia"/>
                <w:sz w:val="24"/>
                <w:u w:val="single"/>
              </w:rPr>
              <w:t>根据《清丰县先进制造业开发区发展规划（2022~2035）环境影响报告书》内容分析，</w:t>
            </w:r>
            <w:r>
              <w:rPr>
                <w:sz w:val="24"/>
                <w:u w:val="single"/>
              </w:rPr>
              <w:t>清丰中州水务有限公司第二污水处理厂</w:t>
            </w:r>
            <w:r>
              <w:rPr>
                <w:rFonts w:hint="eastAsia"/>
                <w:sz w:val="24"/>
                <w:u w:val="single"/>
              </w:rPr>
              <w:t>出水向北排入潴泷河，再汇入马颊河，最终汇入海河。地表水环境质量现状数据引用濮阳市生态环境局公布的濮阳市环境质量月报，濮阳市生态环境局公布的濮阳市环境质量月报从2022年开始截止目前未公布马颊河西吉七数据，本项目采用2024年1月-2024年12月马颊河南乐县水文站断面监测结果及引用《清丰县先进制造业开发区发展规划（2022-2035）环境影响报告书》（报批版）中对区域潴泷河地表水进行监测，对区域潴泷河地表水进行监测公司为河南地矿生态环境科技有限公司，监测时间为为2023年9月13日至9月15日，监测时间为3天，符合引用数据相关要求。马颊河南乐县水文站断面水质执行《地表水环境质量标准》（GB3838-2002）Ⅲ类标准，潴泷河地表水水质《地表水环境质量标准》（GB3838-2002）Ⅳ类标准。</w:t>
            </w:r>
          </w:p>
          <w:p w14:paraId="48369C5D">
            <w:pPr>
              <w:pStyle w:val="19"/>
              <w:numPr>
                <w:ilvl w:val="0"/>
                <w:numId w:val="6"/>
              </w:numPr>
              <w:spacing w:before="0" w:after="0" w:line="360" w:lineRule="auto"/>
              <w:ind w:right="0"/>
              <w:jc w:val="center"/>
              <w:rPr>
                <w:b/>
                <w:sz w:val="21"/>
                <w:szCs w:val="21"/>
                <w:u w:val="single"/>
              </w:rPr>
            </w:pPr>
            <w:r>
              <w:rPr>
                <w:rFonts w:ascii="宋体" w:hAnsi="宋体"/>
                <w:b/>
                <w:sz w:val="21"/>
                <w:szCs w:val="21"/>
                <w:u w:val="single"/>
              </w:rPr>
              <w:t>地表水环境质量现状统计（南乐县水文站断面）</w:t>
            </w:r>
            <w:r>
              <w:rPr>
                <w:b/>
                <w:sz w:val="21"/>
                <w:szCs w:val="21"/>
                <w:u w:val="single"/>
              </w:rPr>
              <w:t xml:space="preserve"> </w:t>
            </w:r>
            <w:r>
              <w:rPr>
                <w:rFonts w:hint="eastAsia"/>
                <w:b/>
                <w:sz w:val="21"/>
                <w:szCs w:val="21"/>
                <w:u w:val="single"/>
              </w:rPr>
              <w:t xml:space="preserve"> </w:t>
            </w:r>
            <w:r>
              <w:rPr>
                <w:rFonts w:ascii="宋体" w:hAnsi="宋体"/>
                <w:b/>
                <w:sz w:val="21"/>
                <w:szCs w:val="21"/>
                <w:u w:val="single"/>
              </w:rPr>
              <w:t>单位：</w:t>
            </w:r>
            <w:r>
              <w:rPr>
                <w:b/>
                <w:sz w:val="21"/>
                <w:szCs w:val="21"/>
                <w:u w:val="single"/>
              </w:rPr>
              <w:t>mg/L</w:t>
            </w:r>
          </w:p>
          <w:tbl>
            <w:tblPr>
              <w:tblStyle w:val="3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543"/>
              <w:gridCol w:w="1008"/>
              <w:gridCol w:w="1009"/>
              <w:gridCol w:w="1009"/>
              <w:gridCol w:w="1009"/>
              <w:gridCol w:w="1009"/>
              <w:gridCol w:w="1009"/>
            </w:tblGrid>
            <w:tr w14:paraId="3F7F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tcBorders>
                    <w:top w:val="single" w:color="auto" w:sz="4" w:space="0"/>
                    <w:left w:val="single" w:color="auto" w:sz="4" w:space="0"/>
                    <w:bottom w:val="single" w:color="auto" w:sz="4" w:space="0"/>
                    <w:right w:val="single" w:color="auto" w:sz="4" w:space="0"/>
                  </w:tcBorders>
                  <w:vAlign w:val="center"/>
                </w:tcPr>
                <w:p w14:paraId="3B73774E">
                  <w:pPr>
                    <w:autoSpaceDE w:val="0"/>
                    <w:jc w:val="center"/>
                    <w:rPr>
                      <w:color w:val="000000"/>
                      <w:szCs w:val="21"/>
                      <w:u w:val="single"/>
                    </w:rPr>
                  </w:pPr>
                  <w:r>
                    <w:rPr>
                      <w:rFonts w:hint="eastAsia" w:ascii="宋体" w:hAnsi="宋体"/>
                      <w:color w:val="000000"/>
                      <w:u w:val="single"/>
                    </w:rPr>
                    <w:t>断面</w:t>
                  </w:r>
                </w:p>
              </w:tc>
              <w:tc>
                <w:tcPr>
                  <w:tcW w:w="1543" w:type="dxa"/>
                  <w:tcBorders>
                    <w:top w:val="single" w:color="auto" w:sz="4" w:space="0"/>
                    <w:left w:val="single" w:color="auto" w:sz="4" w:space="0"/>
                    <w:bottom w:val="single" w:color="auto" w:sz="4" w:space="0"/>
                    <w:right w:val="single" w:color="auto" w:sz="4" w:space="0"/>
                  </w:tcBorders>
                  <w:vAlign w:val="center"/>
                </w:tcPr>
                <w:p w14:paraId="3F98A547">
                  <w:pPr>
                    <w:autoSpaceDE w:val="0"/>
                    <w:jc w:val="center"/>
                    <w:rPr>
                      <w:color w:val="000000"/>
                      <w:szCs w:val="21"/>
                      <w:u w:val="single"/>
                    </w:rPr>
                  </w:pPr>
                  <w:r>
                    <w:rPr>
                      <w:rFonts w:hint="eastAsia" w:ascii="宋体" w:hAnsi="宋体"/>
                      <w:color w:val="000000"/>
                      <w:u w:val="single"/>
                    </w:rPr>
                    <w:t>监测因子</w:t>
                  </w:r>
                </w:p>
              </w:tc>
              <w:tc>
                <w:tcPr>
                  <w:tcW w:w="1008" w:type="dxa"/>
                  <w:tcBorders>
                    <w:top w:val="single" w:color="auto" w:sz="4" w:space="0"/>
                    <w:left w:val="single" w:color="auto" w:sz="4" w:space="0"/>
                    <w:bottom w:val="single" w:color="auto" w:sz="4" w:space="0"/>
                    <w:right w:val="single" w:color="auto" w:sz="4" w:space="0"/>
                  </w:tcBorders>
                  <w:vAlign w:val="center"/>
                </w:tcPr>
                <w:p w14:paraId="38F2A430">
                  <w:pPr>
                    <w:autoSpaceDE w:val="0"/>
                    <w:jc w:val="center"/>
                    <w:rPr>
                      <w:color w:val="000000"/>
                      <w:szCs w:val="21"/>
                      <w:u w:val="single"/>
                    </w:rPr>
                  </w:pPr>
                  <w:r>
                    <w:rPr>
                      <w:rFonts w:hint="eastAsia" w:ascii="宋体" w:hAnsi="宋体"/>
                      <w:color w:val="000000"/>
                      <w:u w:val="single"/>
                    </w:rPr>
                    <w:t>监测时间</w:t>
                  </w:r>
                </w:p>
              </w:tc>
              <w:tc>
                <w:tcPr>
                  <w:tcW w:w="1009" w:type="dxa"/>
                  <w:tcBorders>
                    <w:top w:val="single" w:color="auto" w:sz="4" w:space="0"/>
                    <w:left w:val="single" w:color="auto" w:sz="4" w:space="0"/>
                    <w:bottom w:val="single" w:color="auto" w:sz="4" w:space="0"/>
                    <w:right w:val="single" w:color="auto" w:sz="4" w:space="0"/>
                  </w:tcBorders>
                  <w:vAlign w:val="center"/>
                </w:tcPr>
                <w:p w14:paraId="6D33D695">
                  <w:pPr>
                    <w:autoSpaceDE w:val="0"/>
                    <w:jc w:val="center"/>
                    <w:rPr>
                      <w:color w:val="000000"/>
                      <w:szCs w:val="21"/>
                      <w:u w:val="single"/>
                    </w:rPr>
                  </w:pPr>
                  <w:r>
                    <w:rPr>
                      <w:rFonts w:hint="eastAsia" w:ascii="宋体" w:hAnsi="宋体"/>
                      <w:color w:val="000000"/>
                      <w:u w:val="single"/>
                    </w:rPr>
                    <w:t>监测结果</w:t>
                  </w:r>
                </w:p>
              </w:tc>
              <w:tc>
                <w:tcPr>
                  <w:tcW w:w="1009" w:type="dxa"/>
                  <w:tcBorders>
                    <w:top w:val="single" w:color="auto" w:sz="4" w:space="0"/>
                    <w:left w:val="single" w:color="auto" w:sz="4" w:space="0"/>
                    <w:bottom w:val="single" w:color="auto" w:sz="4" w:space="0"/>
                    <w:right w:val="single" w:color="auto" w:sz="4" w:space="0"/>
                  </w:tcBorders>
                  <w:vAlign w:val="center"/>
                </w:tcPr>
                <w:p w14:paraId="1B3A4D4B">
                  <w:pPr>
                    <w:autoSpaceDE w:val="0"/>
                    <w:jc w:val="center"/>
                    <w:rPr>
                      <w:color w:val="000000"/>
                      <w:szCs w:val="21"/>
                      <w:u w:val="single"/>
                    </w:rPr>
                  </w:pPr>
                  <w:r>
                    <w:rPr>
                      <w:rFonts w:hint="eastAsia" w:ascii="宋体" w:hAnsi="宋体"/>
                      <w:color w:val="000000"/>
                      <w:u w:val="single"/>
                    </w:rPr>
                    <w:t>标准</w:t>
                  </w:r>
                </w:p>
              </w:tc>
              <w:tc>
                <w:tcPr>
                  <w:tcW w:w="1009" w:type="dxa"/>
                  <w:tcBorders>
                    <w:top w:val="single" w:color="auto" w:sz="4" w:space="0"/>
                    <w:left w:val="single" w:color="auto" w:sz="4" w:space="0"/>
                    <w:bottom w:val="single" w:color="auto" w:sz="4" w:space="0"/>
                    <w:right w:val="single" w:color="auto" w:sz="4" w:space="0"/>
                  </w:tcBorders>
                  <w:vAlign w:val="center"/>
                </w:tcPr>
                <w:p w14:paraId="6B997D51">
                  <w:pPr>
                    <w:autoSpaceDE w:val="0"/>
                    <w:jc w:val="center"/>
                    <w:rPr>
                      <w:color w:val="000000"/>
                      <w:szCs w:val="21"/>
                      <w:u w:val="single"/>
                    </w:rPr>
                  </w:pPr>
                  <w:r>
                    <w:rPr>
                      <w:rFonts w:hint="eastAsia" w:ascii="宋体" w:hAnsi="宋体"/>
                      <w:color w:val="000000"/>
                      <w:u w:val="single"/>
                    </w:rPr>
                    <w:t>标准指数</w:t>
                  </w:r>
                </w:p>
              </w:tc>
              <w:tc>
                <w:tcPr>
                  <w:tcW w:w="1009" w:type="dxa"/>
                  <w:tcBorders>
                    <w:top w:val="single" w:color="auto" w:sz="4" w:space="0"/>
                    <w:left w:val="single" w:color="auto" w:sz="4" w:space="0"/>
                    <w:bottom w:val="single" w:color="auto" w:sz="4" w:space="0"/>
                    <w:right w:val="single" w:color="auto" w:sz="4" w:space="0"/>
                  </w:tcBorders>
                  <w:vAlign w:val="center"/>
                </w:tcPr>
                <w:p w14:paraId="0BE2FF89">
                  <w:pPr>
                    <w:autoSpaceDE w:val="0"/>
                    <w:jc w:val="center"/>
                    <w:rPr>
                      <w:color w:val="000000"/>
                      <w:szCs w:val="21"/>
                      <w:u w:val="single"/>
                    </w:rPr>
                  </w:pPr>
                  <w:r>
                    <w:rPr>
                      <w:rFonts w:hint="eastAsia" w:ascii="宋体" w:hAnsi="宋体"/>
                      <w:color w:val="000000"/>
                      <w:u w:val="single"/>
                    </w:rPr>
                    <w:t>超标倍数</w:t>
                  </w:r>
                </w:p>
              </w:tc>
              <w:tc>
                <w:tcPr>
                  <w:tcW w:w="1009" w:type="dxa"/>
                  <w:tcBorders>
                    <w:top w:val="single" w:color="auto" w:sz="4" w:space="0"/>
                    <w:left w:val="single" w:color="auto" w:sz="4" w:space="0"/>
                    <w:bottom w:val="single" w:color="auto" w:sz="4" w:space="0"/>
                    <w:right w:val="single" w:color="auto" w:sz="4" w:space="0"/>
                  </w:tcBorders>
                  <w:vAlign w:val="center"/>
                </w:tcPr>
                <w:p w14:paraId="5067CBD0">
                  <w:pPr>
                    <w:autoSpaceDE w:val="0"/>
                    <w:jc w:val="center"/>
                    <w:rPr>
                      <w:color w:val="000000"/>
                      <w:szCs w:val="21"/>
                      <w:u w:val="single"/>
                    </w:rPr>
                  </w:pPr>
                  <w:r>
                    <w:rPr>
                      <w:rFonts w:hint="eastAsia" w:ascii="宋体" w:hAnsi="宋体"/>
                      <w:color w:val="000000"/>
                      <w:u w:val="single"/>
                    </w:rPr>
                    <w:t>是否达标</w:t>
                  </w:r>
                </w:p>
              </w:tc>
            </w:tr>
            <w:tr w14:paraId="048B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tcBorders>
                    <w:top w:val="nil"/>
                    <w:left w:val="single" w:color="auto" w:sz="4" w:space="0"/>
                    <w:bottom w:val="single" w:color="auto" w:sz="4" w:space="0"/>
                    <w:right w:val="single" w:color="auto" w:sz="4" w:space="0"/>
                  </w:tcBorders>
                  <w:vAlign w:val="center"/>
                </w:tcPr>
                <w:p w14:paraId="36ADD531">
                  <w:pPr>
                    <w:autoSpaceDE w:val="0"/>
                    <w:jc w:val="center"/>
                    <w:rPr>
                      <w:color w:val="000000"/>
                      <w:szCs w:val="21"/>
                      <w:u w:val="single"/>
                    </w:rPr>
                  </w:pPr>
                  <w:r>
                    <w:rPr>
                      <w:rFonts w:ascii="宋体" w:hAnsi="宋体"/>
                      <w:color w:val="000000"/>
                      <w:u w:val="single"/>
                    </w:rPr>
                    <w:t>马颊河南乐县水文站</w:t>
                  </w:r>
                </w:p>
              </w:tc>
              <w:tc>
                <w:tcPr>
                  <w:tcW w:w="1543" w:type="dxa"/>
                  <w:tcBorders>
                    <w:top w:val="single" w:color="auto" w:sz="4" w:space="0"/>
                    <w:left w:val="single" w:color="auto" w:sz="4" w:space="0"/>
                    <w:bottom w:val="single" w:color="auto" w:sz="4" w:space="0"/>
                    <w:right w:val="single" w:color="auto" w:sz="4" w:space="0"/>
                  </w:tcBorders>
                  <w:vAlign w:val="center"/>
                </w:tcPr>
                <w:p w14:paraId="275F5C39">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178E3883">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1</w:t>
                  </w:r>
                  <w:r>
                    <w:rPr>
                      <w:rFonts w:hint="eastAsia" w:ascii="宋体" w:hAnsi="宋体"/>
                      <w:color w:val="000000"/>
                      <w:u w:val="single"/>
                    </w:rPr>
                    <w:t>月</w:t>
                  </w:r>
                </w:p>
              </w:tc>
              <w:tc>
                <w:tcPr>
                  <w:tcW w:w="1009" w:type="dxa"/>
                  <w:tcBorders>
                    <w:top w:val="single" w:color="auto" w:sz="4" w:space="0"/>
                    <w:left w:val="single" w:color="auto" w:sz="4" w:space="0"/>
                    <w:bottom w:val="single" w:color="auto" w:sz="4" w:space="0"/>
                    <w:right w:val="single" w:color="auto" w:sz="4" w:space="0"/>
                  </w:tcBorders>
                  <w:vAlign w:val="center"/>
                </w:tcPr>
                <w:p w14:paraId="0CB81EF1">
                  <w:pPr>
                    <w:autoSpaceDE w:val="0"/>
                    <w:jc w:val="center"/>
                    <w:rPr>
                      <w:color w:val="000000"/>
                      <w:szCs w:val="21"/>
                      <w:u w:val="single"/>
                    </w:rPr>
                  </w:pPr>
                  <w:r>
                    <w:rPr>
                      <w:rFonts w:hint="eastAsia"/>
                      <w:color w:val="000000"/>
                      <w:u w:val="single"/>
                    </w:rPr>
                    <w:t>5</w:t>
                  </w:r>
                </w:p>
              </w:tc>
              <w:tc>
                <w:tcPr>
                  <w:tcW w:w="1009" w:type="dxa"/>
                  <w:tcBorders>
                    <w:top w:val="single" w:color="auto" w:sz="4" w:space="0"/>
                    <w:left w:val="single" w:color="auto" w:sz="4" w:space="0"/>
                    <w:bottom w:val="single" w:color="auto" w:sz="4" w:space="0"/>
                    <w:right w:val="single" w:color="auto" w:sz="4" w:space="0"/>
                  </w:tcBorders>
                  <w:vAlign w:val="center"/>
                </w:tcPr>
                <w:p w14:paraId="4E03B812">
                  <w:pPr>
                    <w:autoSpaceDE w:val="0"/>
                    <w:jc w:val="center"/>
                    <w:rPr>
                      <w:color w:val="000000"/>
                      <w:szCs w:val="21"/>
                      <w:u w:val="single"/>
                    </w:rPr>
                  </w:pPr>
                  <w:r>
                    <w:rPr>
                      <w:rFonts w:hint="eastAsia" w:ascii="宋体" w:hAnsi="宋体"/>
                      <w:color w:val="000000"/>
                      <w:u w:val="single"/>
                    </w:rPr>
                    <w:t>≤</w:t>
                  </w:r>
                  <w:r>
                    <w:rPr>
                      <w:rFonts w:hint="eastAsia"/>
                      <w:color w:val="000000"/>
                      <w:u w:val="single"/>
                    </w:rPr>
                    <w:t>6</w:t>
                  </w:r>
                </w:p>
              </w:tc>
              <w:tc>
                <w:tcPr>
                  <w:tcW w:w="1009" w:type="dxa"/>
                  <w:tcBorders>
                    <w:top w:val="single" w:color="auto" w:sz="4" w:space="0"/>
                    <w:left w:val="single" w:color="auto" w:sz="4" w:space="0"/>
                    <w:bottom w:val="single" w:color="auto" w:sz="4" w:space="0"/>
                    <w:right w:val="single" w:color="auto" w:sz="4" w:space="0"/>
                  </w:tcBorders>
                  <w:vAlign w:val="center"/>
                </w:tcPr>
                <w:p w14:paraId="677C79BD">
                  <w:pPr>
                    <w:autoSpaceDE w:val="0"/>
                    <w:jc w:val="center"/>
                    <w:rPr>
                      <w:color w:val="000000"/>
                      <w:szCs w:val="21"/>
                      <w:u w:val="single"/>
                    </w:rPr>
                  </w:pPr>
                  <w:r>
                    <w:rPr>
                      <w:rFonts w:hint="eastAsia"/>
                      <w:color w:val="000000"/>
                      <w:u w:val="single"/>
                    </w:rPr>
                    <w:t>0.83</w:t>
                  </w:r>
                </w:p>
              </w:tc>
              <w:tc>
                <w:tcPr>
                  <w:tcW w:w="1009" w:type="dxa"/>
                  <w:tcBorders>
                    <w:top w:val="single" w:color="auto" w:sz="4" w:space="0"/>
                    <w:left w:val="single" w:color="auto" w:sz="4" w:space="0"/>
                    <w:bottom w:val="single" w:color="auto" w:sz="4" w:space="0"/>
                    <w:right w:val="single" w:color="auto" w:sz="4" w:space="0"/>
                  </w:tcBorders>
                  <w:vAlign w:val="center"/>
                </w:tcPr>
                <w:p w14:paraId="686CDA28">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672A55A1">
                  <w:pPr>
                    <w:autoSpaceDE w:val="0"/>
                    <w:jc w:val="center"/>
                    <w:rPr>
                      <w:color w:val="000000"/>
                      <w:szCs w:val="21"/>
                      <w:u w:val="single"/>
                    </w:rPr>
                  </w:pPr>
                  <w:r>
                    <w:rPr>
                      <w:rFonts w:hint="eastAsia" w:ascii="宋体" w:hAnsi="宋体"/>
                      <w:color w:val="000000"/>
                      <w:u w:val="single"/>
                    </w:rPr>
                    <w:t>达标</w:t>
                  </w:r>
                </w:p>
              </w:tc>
            </w:tr>
            <w:tr w14:paraId="5FF9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21A4E6CD">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49A6C3E3">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07374F6C">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521208E5">
                  <w:pPr>
                    <w:autoSpaceDE w:val="0"/>
                    <w:jc w:val="center"/>
                    <w:rPr>
                      <w:color w:val="000000"/>
                      <w:szCs w:val="21"/>
                      <w:u w:val="single"/>
                    </w:rPr>
                  </w:pPr>
                  <w:r>
                    <w:rPr>
                      <w:rFonts w:hint="eastAsia"/>
                      <w:color w:val="000000"/>
                      <w:u w:val="single"/>
                    </w:rPr>
                    <w:t>0.43</w:t>
                  </w:r>
                </w:p>
              </w:tc>
              <w:tc>
                <w:tcPr>
                  <w:tcW w:w="1009" w:type="dxa"/>
                  <w:tcBorders>
                    <w:top w:val="single" w:color="auto" w:sz="4" w:space="0"/>
                    <w:left w:val="single" w:color="auto" w:sz="4" w:space="0"/>
                    <w:bottom w:val="single" w:color="auto" w:sz="4" w:space="0"/>
                    <w:right w:val="single" w:color="auto" w:sz="4" w:space="0"/>
                  </w:tcBorders>
                  <w:vAlign w:val="center"/>
                </w:tcPr>
                <w:p w14:paraId="5E700AA1">
                  <w:pPr>
                    <w:autoSpaceDE w:val="0"/>
                    <w:jc w:val="center"/>
                    <w:rPr>
                      <w:color w:val="000000"/>
                      <w:szCs w:val="21"/>
                      <w:u w:val="single"/>
                    </w:rPr>
                  </w:pPr>
                  <w:r>
                    <w:rPr>
                      <w:rFonts w:hint="eastAsia" w:ascii="宋体" w:hAnsi="宋体"/>
                      <w:color w:val="000000"/>
                      <w:u w:val="single"/>
                    </w:rPr>
                    <w:t>≤</w:t>
                  </w:r>
                  <w:r>
                    <w:rPr>
                      <w:rFonts w:hint="eastAsia"/>
                      <w:color w:val="000000"/>
                      <w:u w:val="single"/>
                    </w:rPr>
                    <w:t>1</w:t>
                  </w:r>
                </w:p>
              </w:tc>
              <w:tc>
                <w:tcPr>
                  <w:tcW w:w="1009" w:type="dxa"/>
                  <w:tcBorders>
                    <w:top w:val="single" w:color="auto" w:sz="4" w:space="0"/>
                    <w:left w:val="single" w:color="auto" w:sz="4" w:space="0"/>
                    <w:bottom w:val="single" w:color="auto" w:sz="4" w:space="0"/>
                    <w:right w:val="single" w:color="auto" w:sz="4" w:space="0"/>
                  </w:tcBorders>
                  <w:vAlign w:val="center"/>
                </w:tcPr>
                <w:p w14:paraId="3D7D0039">
                  <w:pPr>
                    <w:autoSpaceDE w:val="0"/>
                    <w:jc w:val="center"/>
                    <w:rPr>
                      <w:color w:val="000000"/>
                      <w:szCs w:val="21"/>
                      <w:u w:val="single"/>
                    </w:rPr>
                  </w:pPr>
                  <w:r>
                    <w:rPr>
                      <w:rFonts w:hint="eastAsia"/>
                      <w:color w:val="000000"/>
                      <w:u w:val="single"/>
                    </w:rPr>
                    <w:t>0.43</w:t>
                  </w:r>
                </w:p>
              </w:tc>
              <w:tc>
                <w:tcPr>
                  <w:tcW w:w="1009" w:type="dxa"/>
                  <w:tcBorders>
                    <w:top w:val="single" w:color="auto" w:sz="4" w:space="0"/>
                    <w:left w:val="single" w:color="auto" w:sz="4" w:space="0"/>
                    <w:bottom w:val="single" w:color="auto" w:sz="4" w:space="0"/>
                    <w:right w:val="single" w:color="auto" w:sz="4" w:space="0"/>
                  </w:tcBorders>
                  <w:vAlign w:val="center"/>
                </w:tcPr>
                <w:p w14:paraId="730DFF6E">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2C8B3B67">
                  <w:pPr>
                    <w:autoSpaceDE w:val="0"/>
                    <w:jc w:val="center"/>
                    <w:rPr>
                      <w:color w:val="000000"/>
                      <w:szCs w:val="21"/>
                      <w:u w:val="single"/>
                    </w:rPr>
                  </w:pPr>
                  <w:r>
                    <w:rPr>
                      <w:rFonts w:hint="eastAsia" w:ascii="宋体" w:hAnsi="宋体"/>
                      <w:color w:val="000000"/>
                      <w:u w:val="single"/>
                    </w:rPr>
                    <w:t>达标</w:t>
                  </w:r>
                </w:p>
              </w:tc>
            </w:tr>
            <w:tr w14:paraId="378C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3EE7EF3F">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12267F70">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1AE99A5E">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651B53B1">
                  <w:pPr>
                    <w:autoSpaceDE w:val="0"/>
                    <w:jc w:val="center"/>
                    <w:rPr>
                      <w:color w:val="000000"/>
                      <w:szCs w:val="21"/>
                      <w:u w:val="single"/>
                    </w:rPr>
                  </w:pPr>
                  <w:r>
                    <w:rPr>
                      <w:rFonts w:hint="eastAsia"/>
                      <w:color w:val="000000"/>
                      <w:u w:val="single"/>
                    </w:rPr>
                    <w:t>0.093</w:t>
                  </w:r>
                </w:p>
              </w:tc>
              <w:tc>
                <w:tcPr>
                  <w:tcW w:w="1009" w:type="dxa"/>
                  <w:tcBorders>
                    <w:top w:val="single" w:color="auto" w:sz="4" w:space="0"/>
                    <w:left w:val="single" w:color="auto" w:sz="4" w:space="0"/>
                    <w:bottom w:val="single" w:color="auto" w:sz="4" w:space="0"/>
                    <w:right w:val="single" w:color="auto" w:sz="4" w:space="0"/>
                  </w:tcBorders>
                  <w:vAlign w:val="center"/>
                </w:tcPr>
                <w:p w14:paraId="0589AD8E">
                  <w:pPr>
                    <w:autoSpaceDE w:val="0"/>
                    <w:jc w:val="center"/>
                    <w:rPr>
                      <w:color w:val="000000"/>
                      <w:szCs w:val="21"/>
                      <w:u w:val="single"/>
                    </w:rPr>
                  </w:pPr>
                  <w:r>
                    <w:rPr>
                      <w:rFonts w:hint="eastAsia" w:ascii="宋体" w:hAnsi="宋体"/>
                      <w:color w:val="000000"/>
                      <w:u w:val="single"/>
                    </w:rPr>
                    <w:t>≤</w:t>
                  </w:r>
                  <w:r>
                    <w:rPr>
                      <w:rFonts w:hint="eastAsia"/>
                      <w:color w:val="000000"/>
                      <w:u w:val="single"/>
                    </w:rPr>
                    <w:t>0.2</w:t>
                  </w:r>
                </w:p>
              </w:tc>
              <w:tc>
                <w:tcPr>
                  <w:tcW w:w="1009" w:type="dxa"/>
                  <w:tcBorders>
                    <w:top w:val="single" w:color="auto" w:sz="4" w:space="0"/>
                    <w:left w:val="single" w:color="auto" w:sz="4" w:space="0"/>
                    <w:bottom w:val="single" w:color="auto" w:sz="4" w:space="0"/>
                    <w:right w:val="single" w:color="auto" w:sz="4" w:space="0"/>
                  </w:tcBorders>
                  <w:vAlign w:val="center"/>
                </w:tcPr>
                <w:p w14:paraId="5620328A">
                  <w:pPr>
                    <w:autoSpaceDE w:val="0"/>
                    <w:jc w:val="center"/>
                    <w:rPr>
                      <w:color w:val="000000"/>
                      <w:szCs w:val="21"/>
                      <w:u w:val="single"/>
                    </w:rPr>
                  </w:pPr>
                  <w:r>
                    <w:rPr>
                      <w:rFonts w:hint="eastAsia"/>
                      <w:color w:val="000000"/>
                      <w:u w:val="single"/>
                    </w:rPr>
                    <w:t>0.465</w:t>
                  </w:r>
                </w:p>
              </w:tc>
              <w:tc>
                <w:tcPr>
                  <w:tcW w:w="1009" w:type="dxa"/>
                  <w:tcBorders>
                    <w:top w:val="single" w:color="auto" w:sz="4" w:space="0"/>
                    <w:left w:val="single" w:color="auto" w:sz="4" w:space="0"/>
                    <w:bottom w:val="single" w:color="auto" w:sz="4" w:space="0"/>
                    <w:right w:val="single" w:color="auto" w:sz="4" w:space="0"/>
                  </w:tcBorders>
                  <w:vAlign w:val="center"/>
                </w:tcPr>
                <w:p w14:paraId="2C712E65">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479D07C9">
                  <w:pPr>
                    <w:autoSpaceDE w:val="0"/>
                    <w:jc w:val="center"/>
                    <w:rPr>
                      <w:color w:val="000000"/>
                      <w:szCs w:val="21"/>
                      <w:u w:val="single"/>
                    </w:rPr>
                  </w:pPr>
                  <w:r>
                    <w:rPr>
                      <w:rFonts w:hint="eastAsia" w:ascii="宋体" w:hAnsi="宋体"/>
                      <w:color w:val="000000"/>
                      <w:u w:val="single"/>
                    </w:rPr>
                    <w:t>达标</w:t>
                  </w:r>
                </w:p>
              </w:tc>
            </w:tr>
            <w:tr w14:paraId="79A9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2A003CA1">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08BBC2FF">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5D52BF66">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2</w:t>
                  </w:r>
                  <w:r>
                    <w:rPr>
                      <w:rFonts w:hint="eastAsia" w:ascii="宋体" w:hAnsi="宋体"/>
                      <w:color w:val="000000"/>
                      <w:u w:val="single"/>
                    </w:rPr>
                    <w:t>月</w:t>
                  </w:r>
                </w:p>
              </w:tc>
              <w:tc>
                <w:tcPr>
                  <w:tcW w:w="1009" w:type="dxa"/>
                  <w:tcBorders>
                    <w:top w:val="single" w:color="auto" w:sz="4" w:space="0"/>
                    <w:left w:val="single" w:color="auto" w:sz="4" w:space="0"/>
                    <w:bottom w:val="single" w:color="auto" w:sz="4" w:space="0"/>
                    <w:right w:val="single" w:color="auto" w:sz="4" w:space="0"/>
                  </w:tcBorders>
                  <w:vAlign w:val="center"/>
                </w:tcPr>
                <w:p w14:paraId="4CA9BC1B">
                  <w:pPr>
                    <w:autoSpaceDE w:val="0"/>
                    <w:jc w:val="center"/>
                    <w:rPr>
                      <w:color w:val="000000"/>
                      <w:szCs w:val="21"/>
                      <w:u w:val="single"/>
                    </w:rPr>
                  </w:pPr>
                  <w:r>
                    <w:rPr>
                      <w:rFonts w:hint="eastAsia"/>
                      <w:color w:val="000000"/>
                      <w:u w:val="single"/>
                    </w:rPr>
                    <w:t>6.6</w:t>
                  </w:r>
                </w:p>
              </w:tc>
              <w:tc>
                <w:tcPr>
                  <w:tcW w:w="1009" w:type="dxa"/>
                  <w:tcBorders>
                    <w:top w:val="single" w:color="auto" w:sz="4" w:space="0"/>
                    <w:left w:val="single" w:color="auto" w:sz="4" w:space="0"/>
                    <w:bottom w:val="single" w:color="auto" w:sz="4" w:space="0"/>
                    <w:right w:val="single" w:color="auto" w:sz="4" w:space="0"/>
                  </w:tcBorders>
                  <w:vAlign w:val="center"/>
                </w:tcPr>
                <w:p w14:paraId="66938CCC">
                  <w:pPr>
                    <w:autoSpaceDE w:val="0"/>
                    <w:jc w:val="center"/>
                    <w:rPr>
                      <w:color w:val="000000"/>
                      <w:szCs w:val="21"/>
                      <w:u w:val="single"/>
                    </w:rPr>
                  </w:pPr>
                  <w:r>
                    <w:rPr>
                      <w:rFonts w:hint="eastAsia" w:ascii="宋体" w:hAnsi="宋体"/>
                      <w:color w:val="000000"/>
                      <w:u w:val="single"/>
                    </w:rPr>
                    <w:t>≤</w:t>
                  </w:r>
                  <w:r>
                    <w:rPr>
                      <w:rFonts w:hint="eastAsia"/>
                      <w:color w:val="000000"/>
                      <w:u w:val="single"/>
                    </w:rPr>
                    <w:t>6</w:t>
                  </w:r>
                </w:p>
              </w:tc>
              <w:tc>
                <w:tcPr>
                  <w:tcW w:w="1009" w:type="dxa"/>
                  <w:tcBorders>
                    <w:top w:val="single" w:color="auto" w:sz="4" w:space="0"/>
                    <w:left w:val="single" w:color="auto" w:sz="4" w:space="0"/>
                    <w:bottom w:val="single" w:color="auto" w:sz="4" w:space="0"/>
                    <w:right w:val="single" w:color="auto" w:sz="4" w:space="0"/>
                  </w:tcBorders>
                  <w:vAlign w:val="center"/>
                </w:tcPr>
                <w:p w14:paraId="7966B59F">
                  <w:pPr>
                    <w:autoSpaceDE w:val="0"/>
                    <w:jc w:val="center"/>
                    <w:rPr>
                      <w:color w:val="000000"/>
                      <w:szCs w:val="21"/>
                      <w:u w:val="single"/>
                    </w:rPr>
                  </w:pPr>
                  <w:r>
                    <w:rPr>
                      <w:rFonts w:hint="eastAsia"/>
                      <w:color w:val="000000"/>
                      <w:u w:val="single"/>
                    </w:rPr>
                    <w:t>1.1</w:t>
                  </w:r>
                </w:p>
              </w:tc>
              <w:tc>
                <w:tcPr>
                  <w:tcW w:w="1009" w:type="dxa"/>
                  <w:tcBorders>
                    <w:top w:val="single" w:color="auto" w:sz="4" w:space="0"/>
                    <w:left w:val="single" w:color="auto" w:sz="4" w:space="0"/>
                    <w:bottom w:val="single" w:color="auto" w:sz="4" w:space="0"/>
                    <w:right w:val="single" w:color="auto" w:sz="4" w:space="0"/>
                  </w:tcBorders>
                  <w:vAlign w:val="center"/>
                </w:tcPr>
                <w:p w14:paraId="076FAE8A">
                  <w:pPr>
                    <w:autoSpaceDE w:val="0"/>
                    <w:jc w:val="center"/>
                    <w:rPr>
                      <w:color w:val="000000"/>
                      <w:szCs w:val="21"/>
                      <w:u w:val="single"/>
                    </w:rPr>
                  </w:pPr>
                  <w:r>
                    <w:rPr>
                      <w:rFonts w:hint="eastAsia"/>
                      <w:color w:val="000000"/>
                      <w:u w:val="single"/>
                    </w:rPr>
                    <w:t>0.1</w:t>
                  </w:r>
                </w:p>
              </w:tc>
              <w:tc>
                <w:tcPr>
                  <w:tcW w:w="1009" w:type="dxa"/>
                  <w:tcBorders>
                    <w:top w:val="single" w:color="auto" w:sz="4" w:space="0"/>
                    <w:left w:val="single" w:color="auto" w:sz="4" w:space="0"/>
                    <w:bottom w:val="single" w:color="auto" w:sz="4" w:space="0"/>
                    <w:right w:val="single" w:color="auto" w:sz="4" w:space="0"/>
                  </w:tcBorders>
                  <w:vAlign w:val="center"/>
                </w:tcPr>
                <w:p w14:paraId="171ED74B">
                  <w:pPr>
                    <w:autoSpaceDE w:val="0"/>
                    <w:jc w:val="center"/>
                    <w:rPr>
                      <w:color w:val="000000"/>
                      <w:szCs w:val="21"/>
                      <w:u w:val="single"/>
                    </w:rPr>
                  </w:pPr>
                  <w:r>
                    <w:rPr>
                      <w:rFonts w:hint="eastAsia" w:ascii="宋体" w:hAnsi="宋体"/>
                      <w:color w:val="000000"/>
                      <w:u w:val="single"/>
                    </w:rPr>
                    <w:t>超标</w:t>
                  </w:r>
                </w:p>
              </w:tc>
            </w:tr>
            <w:tr w14:paraId="2ECE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7A643AE3">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1BD9F5A4">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66C1B468">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21785ABB">
                  <w:pPr>
                    <w:autoSpaceDE w:val="0"/>
                    <w:jc w:val="center"/>
                    <w:rPr>
                      <w:color w:val="000000"/>
                      <w:szCs w:val="21"/>
                      <w:u w:val="single"/>
                    </w:rPr>
                  </w:pPr>
                  <w:r>
                    <w:rPr>
                      <w:rFonts w:hint="eastAsia"/>
                      <w:color w:val="000000"/>
                      <w:u w:val="single"/>
                    </w:rPr>
                    <w:t>0.43</w:t>
                  </w:r>
                </w:p>
              </w:tc>
              <w:tc>
                <w:tcPr>
                  <w:tcW w:w="1009" w:type="dxa"/>
                  <w:tcBorders>
                    <w:top w:val="single" w:color="auto" w:sz="4" w:space="0"/>
                    <w:left w:val="single" w:color="auto" w:sz="4" w:space="0"/>
                    <w:bottom w:val="single" w:color="auto" w:sz="4" w:space="0"/>
                    <w:right w:val="single" w:color="auto" w:sz="4" w:space="0"/>
                  </w:tcBorders>
                  <w:vAlign w:val="center"/>
                </w:tcPr>
                <w:p w14:paraId="3CDF5BA6">
                  <w:pPr>
                    <w:autoSpaceDE w:val="0"/>
                    <w:jc w:val="center"/>
                    <w:rPr>
                      <w:color w:val="000000"/>
                      <w:szCs w:val="21"/>
                      <w:u w:val="single"/>
                    </w:rPr>
                  </w:pPr>
                  <w:r>
                    <w:rPr>
                      <w:rFonts w:hint="eastAsia" w:ascii="宋体" w:hAnsi="宋体"/>
                      <w:color w:val="000000"/>
                      <w:u w:val="single"/>
                    </w:rPr>
                    <w:t>≤</w:t>
                  </w:r>
                  <w:r>
                    <w:rPr>
                      <w:rFonts w:hint="eastAsia"/>
                      <w:color w:val="000000"/>
                      <w:u w:val="single"/>
                    </w:rPr>
                    <w:t>1</w:t>
                  </w:r>
                </w:p>
              </w:tc>
              <w:tc>
                <w:tcPr>
                  <w:tcW w:w="1009" w:type="dxa"/>
                  <w:tcBorders>
                    <w:top w:val="single" w:color="auto" w:sz="4" w:space="0"/>
                    <w:left w:val="single" w:color="auto" w:sz="4" w:space="0"/>
                    <w:bottom w:val="single" w:color="auto" w:sz="4" w:space="0"/>
                    <w:right w:val="single" w:color="auto" w:sz="4" w:space="0"/>
                  </w:tcBorders>
                  <w:vAlign w:val="center"/>
                </w:tcPr>
                <w:p w14:paraId="6B921E64">
                  <w:pPr>
                    <w:autoSpaceDE w:val="0"/>
                    <w:jc w:val="center"/>
                    <w:rPr>
                      <w:color w:val="000000"/>
                      <w:szCs w:val="21"/>
                      <w:u w:val="single"/>
                    </w:rPr>
                  </w:pPr>
                  <w:r>
                    <w:rPr>
                      <w:rFonts w:hint="eastAsia"/>
                      <w:color w:val="000000"/>
                      <w:u w:val="single"/>
                    </w:rPr>
                    <w:t>0.43</w:t>
                  </w:r>
                </w:p>
              </w:tc>
              <w:tc>
                <w:tcPr>
                  <w:tcW w:w="1009" w:type="dxa"/>
                  <w:tcBorders>
                    <w:top w:val="single" w:color="auto" w:sz="4" w:space="0"/>
                    <w:left w:val="single" w:color="auto" w:sz="4" w:space="0"/>
                    <w:bottom w:val="single" w:color="auto" w:sz="4" w:space="0"/>
                    <w:right w:val="single" w:color="auto" w:sz="4" w:space="0"/>
                  </w:tcBorders>
                  <w:vAlign w:val="center"/>
                </w:tcPr>
                <w:p w14:paraId="64D3CF38">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05B285CF">
                  <w:pPr>
                    <w:autoSpaceDE w:val="0"/>
                    <w:jc w:val="center"/>
                    <w:rPr>
                      <w:color w:val="000000"/>
                      <w:szCs w:val="21"/>
                      <w:u w:val="single"/>
                    </w:rPr>
                  </w:pPr>
                  <w:r>
                    <w:rPr>
                      <w:rFonts w:hint="eastAsia" w:ascii="宋体" w:hAnsi="宋体"/>
                      <w:color w:val="000000"/>
                      <w:u w:val="single"/>
                    </w:rPr>
                    <w:t>达标</w:t>
                  </w:r>
                </w:p>
              </w:tc>
            </w:tr>
            <w:tr w14:paraId="3874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1FDB126C">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2D8E1EAA">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7329E689">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52202137">
                  <w:pPr>
                    <w:autoSpaceDE w:val="0"/>
                    <w:jc w:val="center"/>
                    <w:rPr>
                      <w:color w:val="000000"/>
                      <w:szCs w:val="21"/>
                      <w:u w:val="single"/>
                    </w:rPr>
                  </w:pPr>
                  <w:r>
                    <w:rPr>
                      <w:rFonts w:hint="eastAsia"/>
                      <w:color w:val="000000"/>
                      <w:u w:val="single"/>
                    </w:rPr>
                    <w:t>0.133</w:t>
                  </w:r>
                </w:p>
              </w:tc>
              <w:tc>
                <w:tcPr>
                  <w:tcW w:w="1009" w:type="dxa"/>
                  <w:tcBorders>
                    <w:top w:val="single" w:color="auto" w:sz="4" w:space="0"/>
                    <w:left w:val="single" w:color="auto" w:sz="4" w:space="0"/>
                    <w:bottom w:val="single" w:color="auto" w:sz="4" w:space="0"/>
                    <w:right w:val="single" w:color="auto" w:sz="4" w:space="0"/>
                  </w:tcBorders>
                  <w:vAlign w:val="center"/>
                </w:tcPr>
                <w:p w14:paraId="74E2CE20">
                  <w:pPr>
                    <w:autoSpaceDE w:val="0"/>
                    <w:jc w:val="center"/>
                    <w:rPr>
                      <w:color w:val="000000"/>
                      <w:szCs w:val="21"/>
                      <w:u w:val="single"/>
                    </w:rPr>
                  </w:pPr>
                  <w:r>
                    <w:rPr>
                      <w:rFonts w:hint="eastAsia" w:ascii="宋体" w:hAnsi="宋体"/>
                      <w:color w:val="000000"/>
                      <w:u w:val="single"/>
                    </w:rPr>
                    <w:t>≤</w:t>
                  </w:r>
                  <w:r>
                    <w:rPr>
                      <w:rFonts w:hint="eastAsia"/>
                      <w:color w:val="000000"/>
                      <w:u w:val="single"/>
                    </w:rPr>
                    <w:t>0.2</w:t>
                  </w:r>
                </w:p>
              </w:tc>
              <w:tc>
                <w:tcPr>
                  <w:tcW w:w="1009" w:type="dxa"/>
                  <w:tcBorders>
                    <w:top w:val="single" w:color="auto" w:sz="4" w:space="0"/>
                    <w:left w:val="single" w:color="auto" w:sz="4" w:space="0"/>
                    <w:bottom w:val="single" w:color="auto" w:sz="4" w:space="0"/>
                    <w:right w:val="single" w:color="auto" w:sz="4" w:space="0"/>
                  </w:tcBorders>
                  <w:vAlign w:val="center"/>
                </w:tcPr>
                <w:p w14:paraId="6A02A069">
                  <w:pPr>
                    <w:autoSpaceDE w:val="0"/>
                    <w:jc w:val="center"/>
                    <w:rPr>
                      <w:color w:val="000000"/>
                      <w:szCs w:val="21"/>
                      <w:u w:val="single"/>
                    </w:rPr>
                  </w:pPr>
                  <w:r>
                    <w:rPr>
                      <w:rFonts w:hint="eastAsia"/>
                      <w:color w:val="000000"/>
                      <w:u w:val="single"/>
                    </w:rPr>
                    <w:t>0.665</w:t>
                  </w:r>
                </w:p>
              </w:tc>
              <w:tc>
                <w:tcPr>
                  <w:tcW w:w="1009" w:type="dxa"/>
                  <w:tcBorders>
                    <w:top w:val="single" w:color="auto" w:sz="4" w:space="0"/>
                    <w:left w:val="single" w:color="auto" w:sz="4" w:space="0"/>
                    <w:bottom w:val="single" w:color="auto" w:sz="4" w:space="0"/>
                    <w:right w:val="single" w:color="auto" w:sz="4" w:space="0"/>
                  </w:tcBorders>
                  <w:vAlign w:val="center"/>
                </w:tcPr>
                <w:p w14:paraId="0C603D92">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6CCB3541">
                  <w:pPr>
                    <w:autoSpaceDE w:val="0"/>
                    <w:jc w:val="center"/>
                    <w:rPr>
                      <w:color w:val="000000"/>
                      <w:szCs w:val="21"/>
                      <w:u w:val="single"/>
                    </w:rPr>
                  </w:pPr>
                  <w:r>
                    <w:rPr>
                      <w:rFonts w:hint="eastAsia" w:ascii="宋体" w:hAnsi="宋体"/>
                      <w:color w:val="000000"/>
                      <w:u w:val="single"/>
                    </w:rPr>
                    <w:t>达标</w:t>
                  </w:r>
                </w:p>
              </w:tc>
            </w:tr>
            <w:tr w14:paraId="38FC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59C5B1CA">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64780FF4">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12B02195">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3</w:t>
                  </w:r>
                  <w:r>
                    <w:rPr>
                      <w:rFonts w:hint="eastAsia" w:ascii="宋体" w:hAnsi="宋体"/>
                      <w:color w:val="000000"/>
                      <w:u w:val="single"/>
                    </w:rPr>
                    <w:t>月</w:t>
                  </w:r>
                </w:p>
              </w:tc>
              <w:tc>
                <w:tcPr>
                  <w:tcW w:w="5045" w:type="dxa"/>
                  <w:gridSpan w:val="5"/>
                  <w:vMerge w:val="restart"/>
                  <w:tcBorders>
                    <w:top w:val="nil"/>
                    <w:left w:val="single" w:color="auto" w:sz="4" w:space="0"/>
                    <w:bottom w:val="single" w:color="auto" w:sz="4" w:space="0"/>
                    <w:right w:val="single" w:color="auto" w:sz="4" w:space="0"/>
                  </w:tcBorders>
                  <w:vAlign w:val="center"/>
                </w:tcPr>
                <w:p w14:paraId="7D50651D">
                  <w:pPr>
                    <w:autoSpaceDE w:val="0"/>
                    <w:jc w:val="center"/>
                    <w:rPr>
                      <w:color w:val="000000"/>
                      <w:szCs w:val="21"/>
                      <w:u w:val="single"/>
                    </w:rPr>
                  </w:pPr>
                  <w:r>
                    <w:rPr>
                      <w:rFonts w:hint="eastAsia" w:ascii="宋体" w:hAnsi="宋体"/>
                      <w:color w:val="000000"/>
                      <w:u w:val="single"/>
                    </w:rPr>
                    <w:t>断流</w:t>
                  </w:r>
                </w:p>
              </w:tc>
            </w:tr>
            <w:tr w14:paraId="5393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1A22F2A0">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0F1EE748">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2D256B08">
                  <w:pPr>
                    <w:widowControl/>
                    <w:jc w:val="left"/>
                    <w:rPr>
                      <w:color w:val="000000"/>
                      <w:szCs w:val="21"/>
                      <w:u w:val="single"/>
                    </w:rPr>
                  </w:pPr>
                </w:p>
              </w:tc>
              <w:tc>
                <w:tcPr>
                  <w:tcW w:w="9081" w:type="dxa"/>
                  <w:gridSpan w:val="5"/>
                  <w:vMerge w:val="continue"/>
                  <w:tcBorders>
                    <w:top w:val="nil"/>
                    <w:left w:val="single" w:color="auto" w:sz="4" w:space="0"/>
                    <w:bottom w:val="single" w:color="auto" w:sz="4" w:space="0"/>
                    <w:right w:val="single" w:color="auto" w:sz="4" w:space="0"/>
                  </w:tcBorders>
                  <w:vAlign w:val="center"/>
                </w:tcPr>
                <w:p w14:paraId="45DE9B2F">
                  <w:pPr>
                    <w:widowControl/>
                    <w:jc w:val="left"/>
                    <w:rPr>
                      <w:color w:val="000000"/>
                      <w:szCs w:val="21"/>
                      <w:u w:val="single"/>
                    </w:rPr>
                  </w:pPr>
                </w:p>
              </w:tc>
            </w:tr>
            <w:tr w14:paraId="2813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3A4A71DC">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1DDF4E7B">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04A6E8AA">
                  <w:pPr>
                    <w:widowControl/>
                    <w:jc w:val="left"/>
                    <w:rPr>
                      <w:color w:val="000000"/>
                      <w:szCs w:val="21"/>
                      <w:u w:val="single"/>
                    </w:rPr>
                  </w:pPr>
                </w:p>
              </w:tc>
              <w:tc>
                <w:tcPr>
                  <w:tcW w:w="9081" w:type="dxa"/>
                  <w:gridSpan w:val="5"/>
                  <w:vMerge w:val="continue"/>
                  <w:tcBorders>
                    <w:top w:val="nil"/>
                    <w:left w:val="single" w:color="auto" w:sz="4" w:space="0"/>
                    <w:bottom w:val="single" w:color="auto" w:sz="4" w:space="0"/>
                    <w:right w:val="single" w:color="auto" w:sz="4" w:space="0"/>
                  </w:tcBorders>
                  <w:vAlign w:val="center"/>
                </w:tcPr>
                <w:p w14:paraId="192744F5">
                  <w:pPr>
                    <w:widowControl/>
                    <w:jc w:val="left"/>
                    <w:rPr>
                      <w:color w:val="000000"/>
                      <w:szCs w:val="21"/>
                      <w:u w:val="single"/>
                    </w:rPr>
                  </w:pPr>
                </w:p>
              </w:tc>
            </w:tr>
            <w:tr w14:paraId="59B4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4FF3173C">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476AEE78">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3DAFD107">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4</w:t>
                  </w:r>
                  <w:r>
                    <w:rPr>
                      <w:rFonts w:hint="eastAsia" w:ascii="宋体" w:hAnsi="宋体"/>
                      <w:color w:val="000000"/>
                      <w:u w:val="single"/>
                    </w:rPr>
                    <w:t>月</w:t>
                  </w:r>
                </w:p>
              </w:tc>
              <w:tc>
                <w:tcPr>
                  <w:tcW w:w="5045" w:type="dxa"/>
                  <w:gridSpan w:val="5"/>
                  <w:vMerge w:val="restart"/>
                  <w:tcBorders>
                    <w:top w:val="nil"/>
                    <w:left w:val="single" w:color="auto" w:sz="4" w:space="0"/>
                    <w:bottom w:val="single" w:color="auto" w:sz="4" w:space="0"/>
                    <w:right w:val="single" w:color="auto" w:sz="4" w:space="0"/>
                  </w:tcBorders>
                  <w:vAlign w:val="center"/>
                </w:tcPr>
                <w:p w14:paraId="35DC70CF">
                  <w:pPr>
                    <w:autoSpaceDE w:val="0"/>
                    <w:jc w:val="center"/>
                    <w:rPr>
                      <w:color w:val="000000"/>
                      <w:szCs w:val="21"/>
                      <w:u w:val="single"/>
                    </w:rPr>
                  </w:pPr>
                  <w:r>
                    <w:rPr>
                      <w:rFonts w:hint="eastAsia" w:ascii="宋体" w:hAnsi="宋体"/>
                      <w:color w:val="000000"/>
                      <w:u w:val="single"/>
                    </w:rPr>
                    <w:t>断流</w:t>
                  </w:r>
                </w:p>
              </w:tc>
            </w:tr>
            <w:tr w14:paraId="3B03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0F301147">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414D8D09">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18D0E99F">
                  <w:pPr>
                    <w:widowControl/>
                    <w:jc w:val="left"/>
                    <w:rPr>
                      <w:color w:val="000000"/>
                      <w:szCs w:val="21"/>
                      <w:u w:val="single"/>
                    </w:rPr>
                  </w:pPr>
                </w:p>
              </w:tc>
              <w:tc>
                <w:tcPr>
                  <w:tcW w:w="9081" w:type="dxa"/>
                  <w:gridSpan w:val="5"/>
                  <w:vMerge w:val="continue"/>
                  <w:tcBorders>
                    <w:top w:val="nil"/>
                    <w:left w:val="single" w:color="auto" w:sz="4" w:space="0"/>
                    <w:bottom w:val="single" w:color="auto" w:sz="4" w:space="0"/>
                    <w:right w:val="single" w:color="auto" w:sz="4" w:space="0"/>
                  </w:tcBorders>
                  <w:vAlign w:val="center"/>
                </w:tcPr>
                <w:p w14:paraId="5AF509FC">
                  <w:pPr>
                    <w:widowControl/>
                    <w:jc w:val="left"/>
                    <w:rPr>
                      <w:color w:val="000000"/>
                      <w:szCs w:val="21"/>
                      <w:u w:val="single"/>
                    </w:rPr>
                  </w:pPr>
                </w:p>
              </w:tc>
            </w:tr>
            <w:tr w14:paraId="546A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2845A8BA">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2178062E">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1D2CCA86">
                  <w:pPr>
                    <w:widowControl/>
                    <w:jc w:val="left"/>
                    <w:rPr>
                      <w:color w:val="000000"/>
                      <w:szCs w:val="21"/>
                      <w:u w:val="single"/>
                    </w:rPr>
                  </w:pPr>
                </w:p>
              </w:tc>
              <w:tc>
                <w:tcPr>
                  <w:tcW w:w="9081" w:type="dxa"/>
                  <w:gridSpan w:val="5"/>
                  <w:vMerge w:val="continue"/>
                  <w:tcBorders>
                    <w:top w:val="nil"/>
                    <w:left w:val="single" w:color="auto" w:sz="4" w:space="0"/>
                    <w:bottom w:val="single" w:color="auto" w:sz="4" w:space="0"/>
                    <w:right w:val="single" w:color="auto" w:sz="4" w:space="0"/>
                  </w:tcBorders>
                  <w:vAlign w:val="center"/>
                </w:tcPr>
                <w:p w14:paraId="41B68B93">
                  <w:pPr>
                    <w:widowControl/>
                    <w:jc w:val="left"/>
                    <w:rPr>
                      <w:color w:val="000000"/>
                      <w:szCs w:val="21"/>
                      <w:u w:val="single"/>
                    </w:rPr>
                  </w:pPr>
                </w:p>
              </w:tc>
            </w:tr>
            <w:tr w14:paraId="567C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4E2A2F74">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600C8F8B">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6A5877A7">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5</w:t>
                  </w:r>
                  <w:r>
                    <w:rPr>
                      <w:rFonts w:hint="eastAsia" w:ascii="宋体" w:hAnsi="宋体"/>
                      <w:color w:val="000000"/>
                      <w:u w:val="single"/>
                    </w:rPr>
                    <w:t>月</w:t>
                  </w:r>
                </w:p>
              </w:tc>
              <w:tc>
                <w:tcPr>
                  <w:tcW w:w="1009" w:type="dxa"/>
                  <w:tcBorders>
                    <w:top w:val="single" w:color="auto" w:sz="4" w:space="0"/>
                    <w:left w:val="single" w:color="auto" w:sz="4" w:space="0"/>
                    <w:bottom w:val="single" w:color="auto" w:sz="4" w:space="0"/>
                    <w:right w:val="single" w:color="auto" w:sz="4" w:space="0"/>
                  </w:tcBorders>
                  <w:vAlign w:val="center"/>
                </w:tcPr>
                <w:p w14:paraId="718F6DB2">
                  <w:pPr>
                    <w:autoSpaceDE w:val="0"/>
                    <w:jc w:val="center"/>
                    <w:rPr>
                      <w:color w:val="000000"/>
                      <w:szCs w:val="21"/>
                      <w:u w:val="single"/>
                    </w:rPr>
                  </w:pPr>
                  <w:r>
                    <w:rPr>
                      <w:rFonts w:hint="eastAsia"/>
                      <w:color w:val="000000"/>
                      <w:u w:val="single"/>
                    </w:rPr>
                    <w:t>3.9</w:t>
                  </w:r>
                </w:p>
              </w:tc>
              <w:tc>
                <w:tcPr>
                  <w:tcW w:w="1009" w:type="dxa"/>
                  <w:tcBorders>
                    <w:top w:val="single" w:color="auto" w:sz="4" w:space="0"/>
                    <w:left w:val="single" w:color="auto" w:sz="4" w:space="0"/>
                    <w:bottom w:val="single" w:color="auto" w:sz="4" w:space="0"/>
                    <w:right w:val="single" w:color="auto" w:sz="4" w:space="0"/>
                  </w:tcBorders>
                  <w:vAlign w:val="center"/>
                </w:tcPr>
                <w:p w14:paraId="7A76903C">
                  <w:pPr>
                    <w:autoSpaceDE w:val="0"/>
                    <w:jc w:val="center"/>
                    <w:rPr>
                      <w:color w:val="000000"/>
                      <w:szCs w:val="21"/>
                      <w:u w:val="single"/>
                    </w:rPr>
                  </w:pPr>
                  <w:r>
                    <w:rPr>
                      <w:rFonts w:hint="eastAsia" w:ascii="宋体" w:hAnsi="宋体"/>
                      <w:color w:val="000000"/>
                      <w:u w:val="single"/>
                    </w:rPr>
                    <w:t>≤</w:t>
                  </w:r>
                  <w:r>
                    <w:rPr>
                      <w:rFonts w:hint="eastAsia"/>
                      <w:color w:val="000000"/>
                      <w:u w:val="single"/>
                    </w:rPr>
                    <w:t>6</w:t>
                  </w:r>
                </w:p>
              </w:tc>
              <w:tc>
                <w:tcPr>
                  <w:tcW w:w="1009" w:type="dxa"/>
                  <w:tcBorders>
                    <w:top w:val="single" w:color="auto" w:sz="4" w:space="0"/>
                    <w:left w:val="single" w:color="auto" w:sz="4" w:space="0"/>
                    <w:bottom w:val="single" w:color="auto" w:sz="4" w:space="0"/>
                    <w:right w:val="single" w:color="auto" w:sz="4" w:space="0"/>
                  </w:tcBorders>
                  <w:vAlign w:val="center"/>
                </w:tcPr>
                <w:p w14:paraId="0327C49E">
                  <w:pPr>
                    <w:autoSpaceDE w:val="0"/>
                    <w:jc w:val="center"/>
                    <w:rPr>
                      <w:color w:val="000000"/>
                      <w:szCs w:val="21"/>
                      <w:u w:val="single"/>
                    </w:rPr>
                  </w:pPr>
                  <w:r>
                    <w:rPr>
                      <w:rFonts w:hint="eastAsia"/>
                      <w:color w:val="000000"/>
                      <w:u w:val="single"/>
                    </w:rPr>
                    <w:t>0.65</w:t>
                  </w:r>
                </w:p>
              </w:tc>
              <w:tc>
                <w:tcPr>
                  <w:tcW w:w="1009" w:type="dxa"/>
                  <w:tcBorders>
                    <w:top w:val="single" w:color="auto" w:sz="4" w:space="0"/>
                    <w:left w:val="single" w:color="auto" w:sz="4" w:space="0"/>
                    <w:bottom w:val="single" w:color="auto" w:sz="4" w:space="0"/>
                    <w:right w:val="single" w:color="auto" w:sz="4" w:space="0"/>
                  </w:tcBorders>
                  <w:vAlign w:val="center"/>
                </w:tcPr>
                <w:p w14:paraId="33068C4B">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1A8DB25F">
                  <w:pPr>
                    <w:autoSpaceDE w:val="0"/>
                    <w:jc w:val="center"/>
                    <w:rPr>
                      <w:color w:val="000000"/>
                      <w:szCs w:val="21"/>
                      <w:u w:val="single"/>
                    </w:rPr>
                  </w:pPr>
                  <w:r>
                    <w:rPr>
                      <w:rFonts w:hint="eastAsia" w:ascii="宋体" w:hAnsi="宋体"/>
                      <w:color w:val="000000"/>
                      <w:u w:val="single"/>
                    </w:rPr>
                    <w:t>达标</w:t>
                  </w:r>
                </w:p>
              </w:tc>
            </w:tr>
            <w:tr w14:paraId="0DE5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7BEEF88E">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30A22AEF">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353285DF">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3B43957E">
                  <w:pPr>
                    <w:autoSpaceDE w:val="0"/>
                    <w:jc w:val="center"/>
                    <w:rPr>
                      <w:color w:val="000000"/>
                      <w:szCs w:val="21"/>
                      <w:u w:val="single"/>
                    </w:rPr>
                  </w:pPr>
                  <w:r>
                    <w:rPr>
                      <w:rFonts w:hint="eastAsia"/>
                      <w:color w:val="000000"/>
                      <w:u w:val="single"/>
                    </w:rPr>
                    <w:t>0.26</w:t>
                  </w:r>
                </w:p>
              </w:tc>
              <w:tc>
                <w:tcPr>
                  <w:tcW w:w="1009" w:type="dxa"/>
                  <w:tcBorders>
                    <w:top w:val="single" w:color="auto" w:sz="4" w:space="0"/>
                    <w:left w:val="single" w:color="auto" w:sz="4" w:space="0"/>
                    <w:bottom w:val="single" w:color="auto" w:sz="4" w:space="0"/>
                    <w:right w:val="single" w:color="auto" w:sz="4" w:space="0"/>
                  </w:tcBorders>
                  <w:vAlign w:val="center"/>
                </w:tcPr>
                <w:p w14:paraId="72E79362">
                  <w:pPr>
                    <w:autoSpaceDE w:val="0"/>
                    <w:jc w:val="center"/>
                    <w:rPr>
                      <w:color w:val="000000"/>
                      <w:szCs w:val="21"/>
                      <w:u w:val="single"/>
                    </w:rPr>
                  </w:pPr>
                  <w:r>
                    <w:rPr>
                      <w:rFonts w:hint="eastAsia" w:ascii="宋体" w:hAnsi="宋体"/>
                      <w:color w:val="000000"/>
                      <w:u w:val="single"/>
                    </w:rPr>
                    <w:t>≤</w:t>
                  </w:r>
                  <w:r>
                    <w:rPr>
                      <w:rFonts w:hint="eastAsia"/>
                      <w:color w:val="000000"/>
                      <w:u w:val="single"/>
                    </w:rPr>
                    <w:t>1</w:t>
                  </w:r>
                </w:p>
              </w:tc>
              <w:tc>
                <w:tcPr>
                  <w:tcW w:w="1009" w:type="dxa"/>
                  <w:tcBorders>
                    <w:top w:val="single" w:color="auto" w:sz="4" w:space="0"/>
                    <w:left w:val="single" w:color="auto" w:sz="4" w:space="0"/>
                    <w:bottom w:val="single" w:color="auto" w:sz="4" w:space="0"/>
                    <w:right w:val="single" w:color="auto" w:sz="4" w:space="0"/>
                  </w:tcBorders>
                  <w:vAlign w:val="center"/>
                </w:tcPr>
                <w:p w14:paraId="5140D9E5">
                  <w:pPr>
                    <w:autoSpaceDE w:val="0"/>
                    <w:jc w:val="center"/>
                    <w:rPr>
                      <w:color w:val="000000"/>
                      <w:szCs w:val="21"/>
                      <w:u w:val="single"/>
                    </w:rPr>
                  </w:pPr>
                  <w:r>
                    <w:rPr>
                      <w:rFonts w:hint="eastAsia"/>
                      <w:color w:val="000000"/>
                      <w:u w:val="single"/>
                    </w:rPr>
                    <w:t>0.26</w:t>
                  </w:r>
                </w:p>
              </w:tc>
              <w:tc>
                <w:tcPr>
                  <w:tcW w:w="1009" w:type="dxa"/>
                  <w:tcBorders>
                    <w:top w:val="single" w:color="auto" w:sz="4" w:space="0"/>
                    <w:left w:val="single" w:color="auto" w:sz="4" w:space="0"/>
                    <w:bottom w:val="single" w:color="auto" w:sz="4" w:space="0"/>
                    <w:right w:val="single" w:color="auto" w:sz="4" w:space="0"/>
                  </w:tcBorders>
                  <w:vAlign w:val="center"/>
                </w:tcPr>
                <w:p w14:paraId="11A48308">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1A0AE315">
                  <w:pPr>
                    <w:autoSpaceDE w:val="0"/>
                    <w:jc w:val="center"/>
                    <w:rPr>
                      <w:color w:val="000000"/>
                      <w:szCs w:val="21"/>
                      <w:u w:val="single"/>
                    </w:rPr>
                  </w:pPr>
                  <w:r>
                    <w:rPr>
                      <w:rFonts w:hint="eastAsia" w:ascii="宋体" w:hAnsi="宋体"/>
                      <w:color w:val="000000"/>
                      <w:u w:val="single"/>
                    </w:rPr>
                    <w:t>达标</w:t>
                  </w:r>
                </w:p>
              </w:tc>
            </w:tr>
            <w:tr w14:paraId="4867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115C2B1C">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1603DBCC">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3174D508">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2905A4C3">
                  <w:pPr>
                    <w:autoSpaceDE w:val="0"/>
                    <w:jc w:val="center"/>
                    <w:rPr>
                      <w:color w:val="000000"/>
                      <w:szCs w:val="21"/>
                      <w:u w:val="single"/>
                    </w:rPr>
                  </w:pPr>
                  <w:r>
                    <w:rPr>
                      <w:rFonts w:hint="eastAsia"/>
                      <w:color w:val="000000"/>
                      <w:u w:val="single"/>
                    </w:rPr>
                    <w:t>0.091</w:t>
                  </w:r>
                </w:p>
              </w:tc>
              <w:tc>
                <w:tcPr>
                  <w:tcW w:w="1009" w:type="dxa"/>
                  <w:tcBorders>
                    <w:top w:val="single" w:color="auto" w:sz="4" w:space="0"/>
                    <w:left w:val="single" w:color="auto" w:sz="4" w:space="0"/>
                    <w:bottom w:val="single" w:color="auto" w:sz="4" w:space="0"/>
                    <w:right w:val="single" w:color="auto" w:sz="4" w:space="0"/>
                  </w:tcBorders>
                  <w:vAlign w:val="center"/>
                </w:tcPr>
                <w:p w14:paraId="64E293BE">
                  <w:pPr>
                    <w:autoSpaceDE w:val="0"/>
                    <w:jc w:val="center"/>
                    <w:rPr>
                      <w:color w:val="000000"/>
                      <w:szCs w:val="21"/>
                      <w:u w:val="single"/>
                    </w:rPr>
                  </w:pPr>
                  <w:r>
                    <w:rPr>
                      <w:rFonts w:hint="eastAsia" w:ascii="宋体" w:hAnsi="宋体"/>
                      <w:color w:val="000000"/>
                      <w:u w:val="single"/>
                    </w:rPr>
                    <w:t>≤</w:t>
                  </w:r>
                  <w:r>
                    <w:rPr>
                      <w:rFonts w:hint="eastAsia"/>
                      <w:color w:val="000000"/>
                      <w:u w:val="single"/>
                    </w:rPr>
                    <w:t>0.2</w:t>
                  </w:r>
                </w:p>
              </w:tc>
              <w:tc>
                <w:tcPr>
                  <w:tcW w:w="1009" w:type="dxa"/>
                  <w:tcBorders>
                    <w:top w:val="single" w:color="auto" w:sz="4" w:space="0"/>
                    <w:left w:val="single" w:color="auto" w:sz="4" w:space="0"/>
                    <w:bottom w:val="single" w:color="auto" w:sz="4" w:space="0"/>
                    <w:right w:val="single" w:color="auto" w:sz="4" w:space="0"/>
                  </w:tcBorders>
                  <w:vAlign w:val="center"/>
                </w:tcPr>
                <w:p w14:paraId="0BEAA3B8">
                  <w:pPr>
                    <w:autoSpaceDE w:val="0"/>
                    <w:jc w:val="center"/>
                    <w:rPr>
                      <w:color w:val="000000"/>
                      <w:szCs w:val="21"/>
                      <w:u w:val="single"/>
                    </w:rPr>
                  </w:pPr>
                  <w:r>
                    <w:rPr>
                      <w:rFonts w:hint="eastAsia"/>
                      <w:color w:val="000000"/>
                      <w:u w:val="single"/>
                    </w:rPr>
                    <w:t>0.455</w:t>
                  </w:r>
                </w:p>
              </w:tc>
              <w:tc>
                <w:tcPr>
                  <w:tcW w:w="1009" w:type="dxa"/>
                  <w:tcBorders>
                    <w:top w:val="single" w:color="auto" w:sz="4" w:space="0"/>
                    <w:left w:val="single" w:color="auto" w:sz="4" w:space="0"/>
                    <w:bottom w:val="single" w:color="auto" w:sz="4" w:space="0"/>
                    <w:right w:val="single" w:color="auto" w:sz="4" w:space="0"/>
                  </w:tcBorders>
                  <w:vAlign w:val="center"/>
                </w:tcPr>
                <w:p w14:paraId="02CA2E09">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04C860E7">
                  <w:pPr>
                    <w:autoSpaceDE w:val="0"/>
                    <w:jc w:val="center"/>
                    <w:rPr>
                      <w:color w:val="000000"/>
                      <w:szCs w:val="21"/>
                      <w:u w:val="single"/>
                    </w:rPr>
                  </w:pPr>
                  <w:r>
                    <w:rPr>
                      <w:rFonts w:hint="eastAsia" w:ascii="宋体" w:hAnsi="宋体"/>
                      <w:color w:val="000000"/>
                      <w:u w:val="single"/>
                    </w:rPr>
                    <w:t>达标</w:t>
                  </w:r>
                </w:p>
              </w:tc>
            </w:tr>
            <w:tr w14:paraId="3203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16752F9B">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12E12BDF">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463045C4">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6</w:t>
                  </w:r>
                  <w:r>
                    <w:rPr>
                      <w:rFonts w:hint="eastAsia" w:ascii="宋体" w:hAnsi="宋体"/>
                      <w:color w:val="000000"/>
                      <w:u w:val="single"/>
                    </w:rPr>
                    <w:t>月</w:t>
                  </w:r>
                </w:p>
              </w:tc>
              <w:tc>
                <w:tcPr>
                  <w:tcW w:w="1009" w:type="dxa"/>
                  <w:tcBorders>
                    <w:top w:val="single" w:color="auto" w:sz="4" w:space="0"/>
                    <w:left w:val="single" w:color="auto" w:sz="4" w:space="0"/>
                    <w:bottom w:val="single" w:color="auto" w:sz="4" w:space="0"/>
                    <w:right w:val="single" w:color="auto" w:sz="4" w:space="0"/>
                  </w:tcBorders>
                  <w:vAlign w:val="center"/>
                </w:tcPr>
                <w:p w14:paraId="283046E1">
                  <w:pPr>
                    <w:autoSpaceDE w:val="0"/>
                    <w:jc w:val="center"/>
                    <w:rPr>
                      <w:color w:val="000000"/>
                      <w:szCs w:val="21"/>
                      <w:u w:val="single"/>
                    </w:rPr>
                  </w:pPr>
                  <w:r>
                    <w:rPr>
                      <w:rFonts w:hint="eastAsia"/>
                      <w:color w:val="000000"/>
                      <w:u w:val="single"/>
                    </w:rPr>
                    <w:t>3.6</w:t>
                  </w:r>
                </w:p>
              </w:tc>
              <w:tc>
                <w:tcPr>
                  <w:tcW w:w="1009" w:type="dxa"/>
                  <w:tcBorders>
                    <w:top w:val="single" w:color="auto" w:sz="4" w:space="0"/>
                    <w:left w:val="single" w:color="auto" w:sz="4" w:space="0"/>
                    <w:bottom w:val="single" w:color="auto" w:sz="4" w:space="0"/>
                    <w:right w:val="single" w:color="auto" w:sz="4" w:space="0"/>
                  </w:tcBorders>
                  <w:vAlign w:val="center"/>
                </w:tcPr>
                <w:p w14:paraId="7690A8ED">
                  <w:pPr>
                    <w:autoSpaceDE w:val="0"/>
                    <w:jc w:val="center"/>
                    <w:rPr>
                      <w:color w:val="000000"/>
                      <w:szCs w:val="21"/>
                      <w:u w:val="single"/>
                    </w:rPr>
                  </w:pPr>
                  <w:r>
                    <w:rPr>
                      <w:rFonts w:hint="eastAsia" w:ascii="宋体" w:hAnsi="宋体"/>
                      <w:color w:val="000000"/>
                      <w:u w:val="single"/>
                    </w:rPr>
                    <w:t>≤</w:t>
                  </w:r>
                  <w:r>
                    <w:rPr>
                      <w:rFonts w:hint="eastAsia"/>
                      <w:color w:val="000000"/>
                      <w:u w:val="single"/>
                    </w:rPr>
                    <w:t>6</w:t>
                  </w:r>
                </w:p>
              </w:tc>
              <w:tc>
                <w:tcPr>
                  <w:tcW w:w="1009" w:type="dxa"/>
                  <w:tcBorders>
                    <w:top w:val="single" w:color="auto" w:sz="4" w:space="0"/>
                    <w:left w:val="single" w:color="auto" w:sz="4" w:space="0"/>
                    <w:bottom w:val="single" w:color="auto" w:sz="4" w:space="0"/>
                    <w:right w:val="single" w:color="auto" w:sz="4" w:space="0"/>
                  </w:tcBorders>
                  <w:vAlign w:val="center"/>
                </w:tcPr>
                <w:p w14:paraId="48EEBA84">
                  <w:pPr>
                    <w:autoSpaceDE w:val="0"/>
                    <w:jc w:val="center"/>
                    <w:rPr>
                      <w:color w:val="000000"/>
                      <w:szCs w:val="21"/>
                      <w:u w:val="single"/>
                    </w:rPr>
                  </w:pPr>
                  <w:r>
                    <w:rPr>
                      <w:rFonts w:hint="eastAsia"/>
                      <w:color w:val="000000"/>
                      <w:u w:val="single"/>
                    </w:rPr>
                    <w:t>0.6</w:t>
                  </w:r>
                </w:p>
              </w:tc>
              <w:tc>
                <w:tcPr>
                  <w:tcW w:w="1009" w:type="dxa"/>
                  <w:tcBorders>
                    <w:top w:val="single" w:color="auto" w:sz="4" w:space="0"/>
                    <w:left w:val="single" w:color="auto" w:sz="4" w:space="0"/>
                    <w:bottom w:val="single" w:color="auto" w:sz="4" w:space="0"/>
                    <w:right w:val="single" w:color="auto" w:sz="4" w:space="0"/>
                  </w:tcBorders>
                  <w:vAlign w:val="center"/>
                </w:tcPr>
                <w:p w14:paraId="0A63CD98">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55537EC1">
                  <w:pPr>
                    <w:autoSpaceDE w:val="0"/>
                    <w:jc w:val="center"/>
                    <w:rPr>
                      <w:color w:val="000000"/>
                      <w:szCs w:val="21"/>
                      <w:u w:val="single"/>
                    </w:rPr>
                  </w:pPr>
                  <w:r>
                    <w:rPr>
                      <w:rFonts w:hint="eastAsia" w:ascii="宋体" w:hAnsi="宋体"/>
                      <w:color w:val="000000"/>
                      <w:u w:val="single"/>
                    </w:rPr>
                    <w:t>达标</w:t>
                  </w:r>
                </w:p>
              </w:tc>
            </w:tr>
            <w:tr w14:paraId="30D3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4139CAC2">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1084BF4F">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77F3CEA9">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289EBE84">
                  <w:pPr>
                    <w:autoSpaceDE w:val="0"/>
                    <w:jc w:val="center"/>
                    <w:rPr>
                      <w:color w:val="000000"/>
                      <w:szCs w:val="21"/>
                      <w:u w:val="single"/>
                    </w:rPr>
                  </w:pPr>
                  <w:r>
                    <w:rPr>
                      <w:rFonts w:hint="eastAsia"/>
                      <w:color w:val="000000"/>
                      <w:u w:val="single"/>
                    </w:rPr>
                    <w:t>0.16</w:t>
                  </w:r>
                </w:p>
              </w:tc>
              <w:tc>
                <w:tcPr>
                  <w:tcW w:w="1009" w:type="dxa"/>
                  <w:tcBorders>
                    <w:top w:val="single" w:color="auto" w:sz="4" w:space="0"/>
                    <w:left w:val="single" w:color="auto" w:sz="4" w:space="0"/>
                    <w:bottom w:val="single" w:color="auto" w:sz="4" w:space="0"/>
                    <w:right w:val="single" w:color="auto" w:sz="4" w:space="0"/>
                  </w:tcBorders>
                  <w:vAlign w:val="center"/>
                </w:tcPr>
                <w:p w14:paraId="487AE13A">
                  <w:pPr>
                    <w:autoSpaceDE w:val="0"/>
                    <w:jc w:val="center"/>
                    <w:rPr>
                      <w:color w:val="000000"/>
                      <w:szCs w:val="21"/>
                      <w:u w:val="single"/>
                    </w:rPr>
                  </w:pPr>
                  <w:r>
                    <w:rPr>
                      <w:rFonts w:hint="eastAsia" w:ascii="宋体" w:hAnsi="宋体"/>
                      <w:color w:val="000000"/>
                      <w:u w:val="single"/>
                    </w:rPr>
                    <w:t>≤</w:t>
                  </w:r>
                  <w:r>
                    <w:rPr>
                      <w:rFonts w:hint="eastAsia"/>
                      <w:color w:val="000000"/>
                      <w:u w:val="single"/>
                    </w:rPr>
                    <w:t>1</w:t>
                  </w:r>
                </w:p>
              </w:tc>
              <w:tc>
                <w:tcPr>
                  <w:tcW w:w="1009" w:type="dxa"/>
                  <w:tcBorders>
                    <w:top w:val="single" w:color="auto" w:sz="4" w:space="0"/>
                    <w:left w:val="single" w:color="auto" w:sz="4" w:space="0"/>
                    <w:bottom w:val="single" w:color="auto" w:sz="4" w:space="0"/>
                    <w:right w:val="single" w:color="auto" w:sz="4" w:space="0"/>
                  </w:tcBorders>
                  <w:vAlign w:val="center"/>
                </w:tcPr>
                <w:p w14:paraId="77E5F343">
                  <w:pPr>
                    <w:autoSpaceDE w:val="0"/>
                    <w:jc w:val="center"/>
                    <w:rPr>
                      <w:color w:val="000000"/>
                      <w:szCs w:val="21"/>
                      <w:u w:val="single"/>
                    </w:rPr>
                  </w:pPr>
                  <w:r>
                    <w:rPr>
                      <w:rFonts w:hint="eastAsia"/>
                      <w:color w:val="000000"/>
                      <w:u w:val="single"/>
                    </w:rPr>
                    <w:t>0.16</w:t>
                  </w:r>
                </w:p>
              </w:tc>
              <w:tc>
                <w:tcPr>
                  <w:tcW w:w="1009" w:type="dxa"/>
                  <w:tcBorders>
                    <w:top w:val="single" w:color="auto" w:sz="4" w:space="0"/>
                    <w:left w:val="single" w:color="auto" w:sz="4" w:space="0"/>
                    <w:bottom w:val="single" w:color="auto" w:sz="4" w:space="0"/>
                    <w:right w:val="single" w:color="auto" w:sz="4" w:space="0"/>
                  </w:tcBorders>
                  <w:vAlign w:val="center"/>
                </w:tcPr>
                <w:p w14:paraId="23D8AB50">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717BB332">
                  <w:pPr>
                    <w:autoSpaceDE w:val="0"/>
                    <w:jc w:val="center"/>
                    <w:rPr>
                      <w:color w:val="000000"/>
                      <w:szCs w:val="21"/>
                      <w:u w:val="single"/>
                    </w:rPr>
                  </w:pPr>
                  <w:r>
                    <w:rPr>
                      <w:rFonts w:hint="eastAsia" w:ascii="宋体" w:hAnsi="宋体"/>
                      <w:color w:val="000000"/>
                      <w:u w:val="single"/>
                    </w:rPr>
                    <w:t>达标</w:t>
                  </w:r>
                </w:p>
              </w:tc>
            </w:tr>
            <w:tr w14:paraId="33B9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64777997">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2D32C31C">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0E1DEE7E">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5E3A69D4">
                  <w:pPr>
                    <w:autoSpaceDE w:val="0"/>
                    <w:jc w:val="center"/>
                    <w:rPr>
                      <w:color w:val="000000"/>
                      <w:szCs w:val="21"/>
                      <w:u w:val="single"/>
                    </w:rPr>
                  </w:pPr>
                  <w:r>
                    <w:rPr>
                      <w:rFonts w:hint="eastAsia"/>
                      <w:color w:val="000000"/>
                      <w:u w:val="single"/>
                    </w:rPr>
                    <w:t>0.076</w:t>
                  </w:r>
                </w:p>
              </w:tc>
              <w:tc>
                <w:tcPr>
                  <w:tcW w:w="1009" w:type="dxa"/>
                  <w:tcBorders>
                    <w:top w:val="single" w:color="auto" w:sz="4" w:space="0"/>
                    <w:left w:val="single" w:color="auto" w:sz="4" w:space="0"/>
                    <w:bottom w:val="single" w:color="auto" w:sz="4" w:space="0"/>
                    <w:right w:val="single" w:color="auto" w:sz="4" w:space="0"/>
                  </w:tcBorders>
                  <w:vAlign w:val="center"/>
                </w:tcPr>
                <w:p w14:paraId="1A3E3125">
                  <w:pPr>
                    <w:autoSpaceDE w:val="0"/>
                    <w:jc w:val="center"/>
                    <w:rPr>
                      <w:color w:val="000000"/>
                      <w:szCs w:val="21"/>
                      <w:u w:val="single"/>
                    </w:rPr>
                  </w:pPr>
                  <w:r>
                    <w:rPr>
                      <w:rFonts w:hint="eastAsia" w:ascii="宋体" w:hAnsi="宋体"/>
                      <w:color w:val="000000"/>
                      <w:u w:val="single"/>
                    </w:rPr>
                    <w:t>≤</w:t>
                  </w:r>
                  <w:r>
                    <w:rPr>
                      <w:rFonts w:hint="eastAsia"/>
                      <w:color w:val="000000"/>
                      <w:u w:val="single"/>
                    </w:rPr>
                    <w:t>0.2</w:t>
                  </w:r>
                </w:p>
              </w:tc>
              <w:tc>
                <w:tcPr>
                  <w:tcW w:w="1009" w:type="dxa"/>
                  <w:tcBorders>
                    <w:top w:val="single" w:color="auto" w:sz="4" w:space="0"/>
                    <w:left w:val="single" w:color="auto" w:sz="4" w:space="0"/>
                    <w:bottom w:val="single" w:color="auto" w:sz="4" w:space="0"/>
                    <w:right w:val="single" w:color="auto" w:sz="4" w:space="0"/>
                  </w:tcBorders>
                  <w:vAlign w:val="center"/>
                </w:tcPr>
                <w:p w14:paraId="17CAFC5F">
                  <w:pPr>
                    <w:autoSpaceDE w:val="0"/>
                    <w:jc w:val="center"/>
                    <w:rPr>
                      <w:color w:val="000000"/>
                      <w:szCs w:val="21"/>
                      <w:u w:val="single"/>
                    </w:rPr>
                  </w:pPr>
                  <w:r>
                    <w:rPr>
                      <w:rFonts w:hint="eastAsia"/>
                      <w:color w:val="000000"/>
                      <w:u w:val="single"/>
                    </w:rPr>
                    <w:t>0.38</w:t>
                  </w:r>
                </w:p>
              </w:tc>
              <w:tc>
                <w:tcPr>
                  <w:tcW w:w="1009" w:type="dxa"/>
                  <w:tcBorders>
                    <w:top w:val="single" w:color="auto" w:sz="4" w:space="0"/>
                    <w:left w:val="single" w:color="auto" w:sz="4" w:space="0"/>
                    <w:bottom w:val="single" w:color="auto" w:sz="4" w:space="0"/>
                    <w:right w:val="single" w:color="auto" w:sz="4" w:space="0"/>
                  </w:tcBorders>
                  <w:vAlign w:val="center"/>
                </w:tcPr>
                <w:p w14:paraId="5AC2DB9D">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35D3ED1B">
                  <w:pPr>
                    <w:autoSpaceDE w:val="0"/>
                    <w:jc w:val="center"/>
                    <w:rPr>
                      <w:color w:val="000000"/>
                      <w:szCs w:val="21"/>
                      <w:u w:val="single"/>
                    </w:rPr>
                  </w:pPr>
                  <w:r>
                    <w:rPr>
                      <w:rFonts w:hint="eastAsia" w:ascii="宋体" w:hAnsi="宋体"/>
                      <w:color w:val="000000"/>
                      <w:u w:val="single"/>
                    </w:rPr>
                    <w:t>达标</w:t>
                  </w:r>
                </w:p>
              </w:tc>
            </w:tr>
            <w:tr w14:paraId="59F4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344D9A54">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758E93D0">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5CAD70BE">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7</w:t>
                  </w:r>
                  <w:r>
                    <w:rPr>
                      <w:rFonts w:hint="eastAsia" w:ascii="宋体" w:hAnsi="宋体"/>
                      <w:color w:val="000000"/>
                      <w:u w:val="single"/>
                    </w:rPr>
                    <w:t>月</w:t>
                  </w:r>
                </w:p>
              </w:tc>
              <w:tc>
                <w:tcPr>
                  <w:tcW w:w="1009" w:type="dxa"/>
                  <w:tcBorders>
                    <w:top w:val="single" w:color="auto" w:sz="4" w:space="0"/>
                    <w:left w:val="single" w:color="auto" w:sz="4" w:space="0"/>
                    <w:bottom w:val="single" w:color="auto" w:sz="4" w:space="0"/>
                    <w:right w:val="single" w:color="auto" w:sz="4" w:space="0"/>
                  </w:tcBorders>
                  <w:vAlign w:val="center"/>
                </w:tcPr>
                <w:p w14:paraId="2F907F75">
                  <w:pPr>
                    <w:autoSpaceDE w:val="0"/>
                    <w:jc w:val="center"/>
                    <w:rPr>
                      <w:color w:val="000000"/>
                      <w:szCs w:val="21"/>
                      <w:u w:val="single"/>
                    </w:rPr>
                  </w:pPr>
                  <w:r>
                    <w:rPr>
                      <w:rFonts w:hint="eastAsia"/>
                      <w:color w:val="000000"/>
                      <w:u w:val="single"/>
                    </w:rPr>
                    <w:t>6.1</w:t>
                  </w:r>
                </w:p>
              </w:tc>
              <w:tc>
                <w:tcPr>
                  <w:tcW w:w="1009" w:type="dxa"/>
                  <w:tcBorders>
                    <w:top w:val="single" w:color="auto" w:sz="4" w:space="0"/>
                    <w:left w:val="single" w:color="auto" w:sz="4" w:space="0"/>
                    <w:bottom w:val="single" w:color="auto" w:sz="4" w:space="0"/>
                    <w:right w:val="single" w:color="auto" w:sz="4" w:space="0"/>
                  </w:tcBorders>
                  <w:vAlign w:val="center"/>
                </w:tcPr>
                <w:p w14:paraId="72CAA390">
                  <w:pPr>
                    <w:autoSpaceDE w:val="0"/>
                    <w:jc w:val="center"/>
                    <w:rPr>
                      <w:color w:val="000000"/>
                      <w:szCs w:val="21"/>
                      <w:u w:val="single"/>
                    </w:rPr>
                  </w:pPr>
                  <w:r>
                    <w:rPr>
                      <w:rFonts w:hint="eastAsia" w:ascii="宋体" w:hAnsi="宋体"/>
                      <w:color w:val="000000"/>
                      <w:u w:val="single"/>
                    </w:rPr>
                    <w:t>≤</w:t>
                  </w:r>
                  <w:r>
                    <w:rPr>
                      <w:rFonts w:hint="eastAsia"/>
                      <w:color w:val="000000"/>
                      <w:u w:val="single"/>
                    </w:rPr>
                    <w:t>6</w:t>
                  </w:r>
                </w:p>
              </w:tc>
              <w:tc>
                <w:tcPr>
                  <w:tcW w:w="1009" w:type="dxa"/>
                  <w:tcBorders>
                    <w:top w:val="single" w:color="auto" w:sz="4" w:space="0"/>
                    <w:left w:val="single" w:color="auto" w:sz="4" w:space="0"/>
                    <w:bottom w:val="single" w:color="auto" w:sz="4" w:space="0"/>
                    <w:right w:val="single" w:color="auto" w:sz="4" w:space="0"/>
                  </w:tcBorders>
                  <w:vAlign w:val="center"/>
                </w:tcPr>
                <w:p w14:paraId="77DB687D">
                  <w:pPr>
                    <w:autoSpaceDE w:val="0"/>
                    <w:jc w:val="center"/>
                    <w:rPr>
                      <w:color w:val="000000"/>
                      <w:szCs w:val="21"/>
                      <w:u w:val="single"/>
                    </w:rPr>
                  </w:pPr>
                  <w:r>
                    <w:rPr>
                      <w:rFonts w:hint="eastAsia"/>
                      <w:color w:val="000000"/>
                      <w:u w:val="single"/>
                    </w:rPr>
                    <w:t>1.02</w:t>
                  </w:r>
                </w:p>
              </w:tc>
              <w:tc>
                <w:tcPr>
                  <w:tcW w:w="1009" w:type="dxa"/>
                  <w:tcBorders>
                    <w:top w:val="single" w:color="auto" w:sz="4" w:space="0"/>
                    <w:left w:val="single" w:color="auto" w:sz="4" w:space="0"/>
                    <w:bottom w:val="single" w:color="auto" w:sz="4" w:space="0"/>
                    <w:right w:val="single" w:color="auto" w:sz="4" w:space="0"/>
                  </w:tcBorders>
                  <w:vAlign w:val="center"/>
                </w:tcPr>
                <w:p w14:paraId="68A361BE">
                  <w:pPr>
                    <w:autoSpaceDE w:val="0"/>
                    <w:jc w:val="center"/>
                    <w:rPr>
                      <w:color w:val="000000"/>
                      <w:szCs w:val="21"/>
                      <w:u w:val="single"/>
                    </w:rPr>
                  </w:pPr>
                  <w:r>
                    <w:rPr>
                      <w:rFonts w:hint="eastAsia"/>
                      <w:color w:val="000000"/>
                      <w:u w:val="single"/>
                    </w:rPr>
                    <w:t>0.02</w:t>
                  </w:r>
                </w:p>
              </w:tc>
              <w:tc>
                <w:tcPr>
                  <w:tcW w:w="1009" w:type="dxa"/>
                  <w:tcBorders>
                    <w:top w:val="single" w:color="auto" w:sz="4" w:space="0"/>
                    <w:left w:val="single" w:color="auto" w:sz="4" w:space="0"/>
                    <w:bottom w:val="single" w:color="auto" w:sz="4" w:space="0"/>
                    <w:right w:val="single" w:color="auto" w:sz="4" w:space="0"/>
                  </w:tcBorders>
                  <w:vAlign w:val="center"/>
                </w:tcPr>
                <w:p w14:paraId="2E6E0540">
                  <w:pPr>
                    <w:autoSpaceDE w:val="0"/>
                    <w:jc w:val="center"/>
                    <w:rPr>
                      <w:color w:val="000000"/>
                      <w:szCs w:val="21"/>
                      <w:u w:val="single"/>
                    </w:rPr>
                  </w:pPr>
                  <w:r>
                    <w:rPr>
                      <w:rFonts w:hint="eastAsia" w:ascii="宋体" w:hAnsi="宋体"/>
                      <w:color w:val="000000"/>
                      <w:u w:val="single"/>
                    </w:rPr>
                    <w:t>超标</w:t>
                  </w:r>
                </w:p>
              </w:tc>
            </w:tr>
            <w:tr w14:paraId="5B2A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561F65F7">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16CB60D0">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778634A8">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29B269D5">
                  <w:pPr>
                    <w:autoSpaceDE w:val="0"/>
                    <w:jc w:val="center"/>
                    <w:rPr>
                      <w:color w:val="000000"/>
                      <w:szCs w:val="21"/>
                      <w:u w:val="single"/>
                    </w:rPr>
                  </w:pPr>
                  <w:r>
                    <w:rPr>
                      <w:rFonts w:hint="eastAsia"/>
                      <w:color w:val="000000"/>
                      <w:u w:val="single"/>
                    </w:rPr>
                    <w:t>0.97</w:t>
                  </w:r>
                </w:p>
              </w:tc>
              <w:tc>
                <w:tcPr>
                  <w:tcW w:w="1009" w:type="dxa"/>
                  <w:tcBorders>
                    <w:top w:val="single" w:color="auto" w:sz="4" w:space="0"/>
                    <w:left w:val="single" w:color="auto" w:sz="4" w:space="0"/>
                    <w:bottom w:val="single" w:color="auto" w:sz="4" w:space="0"/>
                    <w:right w:val="single" w:color="auto" w:sz="4" w:space="0"/>
                  </w:tcBorders>
                  <w:vAlign w:val="center"/>
                </w:tcPr>
                <w:p w14:paraId="421ACEF2">
                  <w:pPr>
                    <w:autoSpaceDE w:val="0"/>
                    <w:jc w:val="center"/>
                    <w:rPr>
                      <w:color w:val="000000"/>
                      <w:szCs w:val="21"/>
                      <w:u w:val="single"/>
                    </w:rPr>
                  </w:pPr>
                  <w:r>
                    <w:rPr>
                      <w:rFonts w:hint="eastAsia" w:ascii="宋体" w:hAnsi="宋体"/>
                      <w:color w:val="000000"/>
                      <w:u w:val="single"/>
                    </w:rPr>
                    <w:t>≤</w:t>
                  </w:r>
                  <w:r>
                    <w:rPr>
                      <w:rFonts w:hint="eastAsia"/>
                      <w:color w:val="000000"/>
                      <w:u w:val="single"/>
                    </w:rPr>
                    <w:t>1</w:t>
                  </w:r>
                </w:p>
              </w:tc>
              <w:tc>
                <w:tcPr>
                  <w:tcW w:w="1009" w:type="dxa"/>
                  <w:tcBorders>
                    <w:top w:val="single" w:color="auto" w:sz="4" w:space="0"/>
                    <w:left w:val="single" w:color="auto" w:sz="4" w:space="0"/>
                    <w:bottom w:val="single" w:color="auto" w:sz="4" w:space="0"/>
                    <w:right w:val="single" w:color="auto" w:sz="4" w:space="0"/>
                  </w:tcBorders>
                  <w:vAlign w:val="center"/>
                </w:tcPr>
                <w:p w14:paraId="67C9B185">
                  <w:pPr>
                    <w:autoSpaceDE w:val="0"/>
                    <w:jc w:val="center"/>
                    <w:rPr>
                      <w:color w:val="000000"/>
                      <w:szCs w:val="21"/>
                      <w:u w:val="single"/>
                    </w:rPr>
                  </w:pPr>
                  <w:r>
                    <w:rPr>
                      <w:rFonts w:hint="eastAsia"/>
                      <w:color w:val="000000"/>
                      <w:u w:val="single"/>
                    </w:rPr>
                    <w:t>0.97</w:t>
                  </w:r>
                </w:p>
              </w:tc>
              <w:tc>
                <w:tcPr>
                  <w:tcW w:w="1009" w:type="dxa"/>
                  <w:tcBorders>
                    <w:top w:val="single" w:color="auto" w:sz="4" w:space="0"/>
                    <w:left w:val="single" w:color="auto" w:sz="4" w:space="0"/>
                    <w:bottom w:val="single" w:color="auto" w:sz="4" w:space="0"/>
                    <w:right w:val="single" w:color="auto" w:sz="4" w:space="0"/>
                  </w:tcBorders>
                  <w:vAlign w:val="center"/>
                </w:tcPr>
                <w:p w14:paraId="7AD7A962">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68D6615B">
                  <w:pPr>
                    <w:autoSpaceDE w:val="0"/>
                    <w:jc w:val="center"/>
                    <w:rPr>
                      <w:color w:val="000000"/>
                      <w:szCs w:val="21"/>
                      <w:u w:val="single"/>
                    </w:rPr>
                  </w:pPr>
                  <w:r>
                    <w:rPr>
                      <w:rFonts w:hint="eastAsia" w:ascii="宋体" w:hAnsi="宋体"/>
                      <w:color w:val="000000"/>
                      <w:u w:val="single"/>
                    </w:rPr>
                    <w:t>达标</w:t>
                  </w:r>
                </w:p>
              </w:tc>
            </w:tr>
            <w:tr w14:paraId="460C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48C2E0E2">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5039A867">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241A2722">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6475D7AD">
                  <w:pPr>
                    <w:autoSpaceDE w:val="0"/>
                    <w:jc w:val="center"/>
                    <w:rPr>
                      <w:color w:val="000000"/>
                      <w:szCs w:val="21"/>
                      <w:u w:val="single"/>
                    </w:rPr>
                  </w:pPr>
                  <w:r>
                    <w:rPr>
                      <w:rFonts w:hint="eastAsia"/>
                      <w:color w:val="000000"/>
                      <w:u w:val="single"/>
                    </w:rPr>
                    <w:t>0.155</w:t>
                  </w:r>
                </w:p>
              </w:tc>
              <w:tc>
                <w:tcPr>
                  <w:tcW w:w="1009" w:type="dxa"/>
                  <w:tcBorders>
                    <w:top w:val="single" w:color="auto" w:sz="4" w:space="0"/>
                    <w:left w:val="single" w:color="auto" w:sz="4" w:space="0"/>
                    <w:bottom w:val="single" w:color="auto" w:sz="4" w:space="0"/>
                    <w:right w:val="single" w:color="auto" w:sz="4" w:space="0"/>
                  </w:tcBorders>
                  <w:vAlign w:val="center"/>
                </w:tcPr>
                <w:p w14:paraId="605514BF">
                  <w:pPr>
                    <w:autoSpaceDE w:val="0"/>
                    <w:jc w:val="center"/>
                    <w:rPr>
                      <w:color w:val="000000"/>
                      <w:szCs w:val="21"/>
                      <w:u w:val="single"/>
                    </w:rPr>
                  </w:pPr>
                  <w:r>
                    <w:rPr>
                      <w:rFonts w:hint="eastAsia" w:ascii="宋体" w:hAnsi="宋体"/>
                      <w:color w:val="000000"/>
                      <w:u w:val="single"/>
                    </w:rPr>
                    <w:t>≤</w:t>
                  </w:r>
                  <w:r>
                    <w:rPr>
                      <w:rFonts w:hint="eastAsia"/>
                      <w:color w:val="000000"/>
                      <w:u w:val="single"/>
                    </w:rPr>
                    <w:t>0.2</w:t>
                  </w:r>
                </w:p>
              </w:tc>
              <w:tc>
                <w:tcPr>
                  <w:tcW w:w="1009" w:type="dxa"/>
                  <w:tcBorders>
                    <w:top w:val="single" w:color="auto" w:sz="4" w:space="0"/>
                    <w:left w:val="single" w:color="auto" w:sz="4" w:space="0"/>
                    <w:bottom w:val="single" w:color="auto" w:sz="4" w:space="0"/>
                    <w:right w:val="single" w:color="auto" w:sz="4" w:space="0"/>
                  </w:tcBorders>
                  <w:vAlign w:val="center"/>
                </w:tcPr>
                <w:p w14:paraId="7F60E8FC">
                  <w:pPr>
                    <w:autoSpaceDE w:val="0"/>
                    <w:jc w:val="center"/>
                    <w:rPr>
                      <w:color w:val="000000"/>
                      <w:szCs w:val="21"/>
                      <w:u w:val="single"/>
                    </w:rPr>
                  </w:pPr>
                  <w:r>
                    <w:rPr>
                      <w:rFonts w:hint="eastAsia"/>
                      <w:color w:val="000000"/>
                      <w:u w:val="single"/>
                    </w:rPr>
                    <w:t>0.775</w:t>
                  </w:r>
                </w:p>
              </w:tc>
              <w:tc>
                <w:tcPr>
                  <w:tcW w:w="1009" w:type="dxa"/>
                  <w:tcBorders>
                    <w:top w:val="single" w:color="auto" w:sz="4" w:space="0"/>
                    <w:left w:val="single" w:color="auto" w:sz="4" w:space="0"/>
                    <w:bottom w:val="single" w:color="auto" w:sz="4" w:space="0"/>
                    <w:right w:val="single" w:color="auto" w:sz="4" w:space="0"/>
                  </w:tcBorders>
                  <w:vAlign w:val="center"/>
                </w:tcPr>
                <w:p w14:paraId="47D3EEBA">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27A2EC98">
                  <w:pPr>
                    <w:autoSpaceDE w:val="0"/>
                    <w:jc w:val="center"/>
                    <w:rPr>
                      <w:color w:val="000000"/>
                      <w:szCs w:val="21"/>
                      <w:u w:val="single"/>
                    </w:rPr>
                  </w:pPr>
                  <w:r>
                    <w:rPr>
                      <w:rFonts w:hint="eastAsia" w:ascii="宋体" w:hAnsi="宋体"/>
                      <w:color w:val="000000"/>
                      <w:u w:val="single"/>
                    </w:rPr>
                    <w:t>达标</w:t>
                  </w:r>
                </w:p>
              </w:tc>
            </w:tr>
            <w:tr w14:paraId="1D57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108558E8">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17BEC921">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7E75547D">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8</w:t>
                  </w:r>
                  <w:r>
                    <w:rPr>
                      <w:rFonts w:hint="eastAsia" w:ascii="宋体" w:hAnsi="宋体"/>
                      <w:color w:val="000000"/>
                      <w:u w:val="single"/>
                    </w:rPr>
                    <w:t>月</w:t>
                  </w:r>
                </w:p>
              </w:tc>
              <w:tc>
                <w:tcPr>
                  <w:tcW w:w="1009" w:type="dxa"/>
                  <w:tcBorders>
                    <w:top w:val="single" w:color="auto" w:sz="4" w:space="0"/>
                    <w:left w:val="single" w:color="auto" w:sz="4" w:space="0"/>
                    <w:bottom w:val="single" w:color="auto" w:sz="4" w:space="0"/>
                    <w:right w:val="single" w:color="auto" w:sz="4" w:space="0"/>
                  </w:tcBorders>
                  <w:vAlign w:val="center"/>
                </w:tcPr>
                <w:p w14:paraId="10561261">
                  <w:pPr>
                    <w:autoSpaceDE w:val="0"/>
                    <w:jc w:val="center"/>
                    <w:rPr>
                      <w:color w:val="000000"/>
                      <w:szCs w:val="21"/>
                      <w:u w:val="single"/>
                    </w:rPr>
                  </w:pPr>
                  <w:r>
                    <w:rPr>
                      <w:rFonts w:hint="eastAsia"/>
                      <w:color w:val="000000"/>
                      <w:u w:val="single"/>
                    </w:rPr>
                    <w:t>6.5</w:t>
                  </w:r>
                </w:p>
              </w:tc>
              <w:tc>
                <w:tcPr>
                  <w:tcW w:w="1009" w:type="dxa"/>
                  <w:tcBorders>
                    <w:top w:val="single" w:color="auto" w:sz="4" w:space="0"/>
                    <w:left w:val="single" w:color="auto" w:sz="4" w:space="0"/>
                    <w:bottom w:val="single" w:color="auto" w:sz="4" w:space="0"/>
                    <w:right w:val="single" w:color="auto" w:sz="4" w:space="0"/>
                  </w:tcBorders>
                  <w:vAlign w:val="center"/>
                </w:tcPr>
                <w:p w14:paraId="24F8D3A3">
                  <w:pPr>
                    <w:autoSpaceDE w:val="0"/>
                    <w:jc w:val="center"/>
                    <w:rPr>
                      <w:color w:val="000000"/>
                      <w:szCs w:val="21"/>
                      <w:u w:val="single"/>
                    </w:rPr>
                  </w:pPr>
                  <w:r>
                    <w:rPr>
                      <w:rFonts w:hint="eastAsia" w:ascii="宋体" w:hAnsi="宋体"/>
                      <w:color w:val="000000"/>
                      <w:u w:val="single"/>
                    </w:rPr>
                    <w:t>≤</w:t>
                  </w:r>
                  <w:r>
                    <w:rPr>
                      <w:rFonts w:hint="eastAsia"/>
                      <w:color w:val="000000"/>
                      <w:u w:val="single"/>
                    </w:rPr>
                    <w:t>6</w:t>
                  </w:r>
                </w:p>
              </w:tc>
              <w:tc>
                <w:tcPr>
                  <w:tcW w:w="1009" w:type="dxa"/>
                  <w:tcBorders>
                    <w:top w:val="single" w:color="auto" w:sz="4" w:space="0"/>
                    <w:left w:val="single" w:color="auto" w:sz="4" w:space="0"/>
                    <w:bottom w:val="single" w:color="auto" w:sz="4" w:space="0"/>
                    <w:right w:val="single" w:color="auto" w:sz="4" w:space="0"/>
                  </w:tcBorders>
                  <w:vAlign w:val="center"/>
                </w:tcPr>
                <w:p w14:paraId="239CD26F">
                  <w:pPr>
                    <w:autoSpaceDE w:val="0"/>
                    <w:jc w:val="center"/>
                    <w:rPr>
                      <w:color w:val="000000"/>
                      <w:szCs w:val="21"/>
                      <w:u w:val="single"/>
                    </w:rPr>
                  </w:pPr>
                  <w:r>
                    <w:rPr>
                      <w:rFonts w:hint="eastAsia"/>
                      <w:color w:val="000000"/>
                      <w:u w:val="single"/>
                    </w:rPr>
                    <w:t>1.08</w:t>
                  </w:r>
                </w:p>
              </w:tc>
              <w:tc>
                <w:tcPr>
                  <w:tcW w:w="1009" w:type="dxa"/>
                  <w:tcBorders>
                    <w:top w:val="single" w:color="auto" w:sz="4" w:space="0"/>
                    <w:left w:val="single" w:color="auto" w:sz="4" w:space="0"/>
                    <w:bottom w:val="single" w:color="auto" w:sz="4" w:space="0"/>
                    <w:right w:val="single" w:color="auto" w:sz="4" w:space="0"/>
                  </w:tcBorders>
                  <w:vAlign w:val="center"/>
                </w:tcPr>
                <w:p w14:paraId="0E657232">
                  <w:pPr>
                    <w:autoSpaceDE w:val="0"/>
                    <w:jc w:val="center"/>
                    <w:rPr>
                      <w:color w:val="000000"/>
                      <w:szCs w:val="21"/>
                      <w:u w:val="single"/>
                    </w:rPr>
                  </w:pPr>
                  <w:r>
                    <w:rPr>
                      <w:rFonts w:hint="eastAsia"/>
                      <w:color w:val="000000"/>
                      <w:u w:val="single"/>
                    </w:rPr>
                    <w:t>0.08</w:t>
                  </w:r>
                </w:p>
              </w:tc>
              <w:tc>
                <w:tcPr>
                  <w:tcW w:w="1009" w:type="dxa"/>
                  <w:tcBorders>
                    <w:top w:val="single" w:color="auto" w:sz="4" w:space="0"/>
                    <w:left w:val="single" w:color="auto" w:sz="4" w:space="0"/>
                    <w:bottom w:val="single" w:color="auto" w:sz="4" w:space="0"/>
                    <w:right w:val="single" w:color="auto" w:sz="4" w:space="0"/>
                  </w:tcBorders>
                  <w:vAlign w:val="center"/>
                </w:tcPr>
                <w:p w14:paraId="5C44A5E7">
                  <w:pPr>
                    <w:autoSpaceDE w:val="0"/>
                    <w:jc w:val="center"/>
                    <w:rPr>
                      <w:color w:val="000000"/>
                      <w:szCs w:val="21"/>
                      <w:u w:val="single"/>
                    </w:rPr>
                  </w:pPr>
                  <w:r>
                    <w:rPr>
                      <w:rFonts w:hint="eastAsia" w:ascii="宋体" w:hAnsi="宋体"/>
                      <w:color w:val="000000"/>
                      <w:u w:val="single"/>
                    </w:rPr>
                    <w:t>超标</w:t>
                  </w:r>
                </w:p>
              </w:tc>
            </w:tr>
            <w:tr w14:paraId="0CC1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1E917D4F">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1AA569C0">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72A5290A">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532508BA">
                  <w:pPr>
                    <w:autoSpaceDE w:val="0"/>
                    <w:jc w:val="center"/>
                    <w:rPr>
                      <w:color w:val="000000"/>
                      <w:szCs w:val="21"/>
                      <w:u w:val="single"/>
                    </w:rPr>
                  </w:pPr>
                  <w:r>
                    <w:rPr>
                      <w:rFonts w:hint="eastAsia"/>
                      <w:color w:val="000000"/>
                      <w:u w:val="single"/>
                    </w:rPr>
                    <w:t>0.49</w:t>
                  </w:r>
                </w:p>
              </w:tc>
              <w:tc>
                <w:tcPr>
                  <w:tcW w:w="1009" w:type="dxa"/>
                  <w:tcBorders>
                    <w:top w:val="single" w:color="auto" w:sz="4" w:space="0"/>
                    <w:left w:val="single" w:color="auto" w:sz="4" w:space="0"/>
                    <w:bottom w:val="single" w:color="auto" w:sz="4" w:space="0"/>
                    <w:right w:val="single" w:color="auto" w:sz="4" w:space="0"/>
                  </w:tcBorders>
                  <w:vAlign w:val="center"/>
                </w:tcPr>
                <w:p w14:paraId="7FD51F67">
                  <w:pPr>
                    <w:autoSpaceDE w:val="0"/>
                    <w:jc w:val="center"/>
                    <w:rPr>
                      <w:color w:val="000000"/>
                      <w:szCs w:val="21"/>
                      <w:u w:val="single"/>
                    </w:rPr>
                  </w:pPr>
                  <w:r>
                    <w:rPr>
                      <w:rFonts w:hint="eastAsia" w:ascii="宋体" w:hAnsi="宋体"/>
                      <w:color w:val="000000"/>
                      <w:u w:val="single"/>
                    </w:rPr>
                    <w:t>≤</w:t>
                  </w:r>
                  <w:r>
                    <w:rPr>
                      <w:rFonts w:hint="eastAsia"/>
                      <w:color w:val="000000"/>
                      <w:u w:val="single"/>
                    </w:rPr>
                    <w:t>1</w:t>
                  </w:r>
                </w:p>
              </w:tc>
              <w:tc>
                <w:tcPr>
                  <w:tcW w:w="1009" w:type="dxa"/>
                  <w:tcBorders>
                    <w:top w:val="single" w:color="auto" w:sz="4" w:space="0"/>
                    <w:left w:val="single" w:color="auto" w:sz="4" w:space="0"/>
                    <w:bottom w:val="single" w:color="auto" w:sz="4" w:space="0"/>
                    <w:right w:val="single" w:color="auto" w:sz="4" w:space="0"/>
                  </w:tcBorders>
                  <w:vAlign w:val="center"/>
                </w:tcPr>
                <w:p w14:paraId="6BA988B1">
                  <w:pPr>
                    <w:autoSpaceDE w:val="0"/>
                    <w:jc w:val="center"/>
                    <w:rPr>
                      <w:color w:val="000000"/>
                      <w:szCs w:val="21"/>
                      <w:u w:val="single"/>
                    </w:rPr>
                  </w:pPr>
                  <w:r>
                    <w:rPr>
                      <w:rFonts w:hint="eastAsia"/>
                      <w:color w:val="000000"/>
                      <w:u w:val="single"/>
                    </w:rPr>
                    <w:t>0.49</w:t>
                  </w:r>
                </w:p>
              </w:tc>
              <w:tc>
                <w:tcPr>
                  <w:tcW w:w="1009" w:type="dxa"/>
                  <w:tcBorders>
                    <w:top w:val="single" w:color="auto" w:sz="4" w:space="0"/>
                    <w:left w:val="single" w:color="auto" w:sz="4" w:space="0"/>
                    <w:bottom w:val="single" w:color="auto" w:sz="4" w:space="0"/>
                    <w:right w:val="single" w:color="auto" w:sz="4" w:space="0"/>
                  </w:tcBorders>
                  <w:vAlign w:val="center"/>
                </w:tcPr>
                <w:p w14:paraId="75504896">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71908946">
                  <w:pPr>
                    <w:autoSpaceDE w:val="0"/>
                    <w:jc w:val="center"/>
                    <w:rPr>
                      <w:color w:val="000000"/>
                      <w:szCs w:val="21"/>
                      <w:u w:val="single"/>
                    </w:rPr>
                  </w:pPr>
                  <w:r>
                    <w:rPr>
                      <w:rFonts w:hint="eastAsia" w:ascii="宋体" w:hAnsi="宋体"/>
                      <w:color w:val="000000"/>
                      <w:u w:val="single"/>
                    </w:rPr>
                    <w:t>达标</w:t>
                  </w:r>
                </w:p>
              </w:tc>
            </w:tr>
            <w:tr w14:paraId="068C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1116EBAD">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6F8083E1">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14E86F76">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2586DF3F">
                  <w:pPr>
                    <w:autoSpaceDE w:val="0"/>
                    <w:jc w:val="center"/>
                    <w:rPr>
                      <w:color w:val="000000"/>
                      <w:szCs w:val="21"/>
                      <w:u w:val="single"/>
                    </w:rPr>
                  </w:pPr>
                  <w:r>
                    <w:rPr>
                      <w:rFonts w:hint="eastAsia"/>
                      <w:color w:val="000000"/>
                      <w:u w:val="single"/>
                    </w:rPr>
                    <w:t>0.156</w:t>
                  </w:r>
                </w:p>
              </w:tc>
              <w:tc>
                <w:tcPr>
                  <w:tcW w:w="1009" w:type="dxa"/>
                  <w:tcBorders>
                    <w:top w:val="single" w:color="auto" w:sz="4" w:space="0"/>
                    <w:left w:val="single" w:color="auto" w:sz="4" w:space="0"/>
                    <w:bottom w:val="single" w:color="auto" w:sz="4" w:space="0"/>
                    <w:right w:val="single" w:color="auto" w:sz="4" w:space="0"/>
                  </w:tcBorders>
                  <w:vAlign w:val="center"/>
                </w:tcPr>
                <w:p w14:paraId="1D05402B">
                  <w:pPr>
                    <w:autoSpaceDE w:val="0"/>
                    <w:jc w:val="center"/>
                    <w:rPr>
                      <w:color w:val="000000"/>
                      <w:szCs w:val="21"/>
                      <w:u w:val="single"/>
                    </w:rPr>
                  </w:pPr>
                  <w:r>
                    <w:rPr>
                      <w:rFonts w:hint="eastAsia" w:ascii="宋体" w:hAnsi="宋体"/>
                      <w:color w:val="000000"/>
                      <w:u w:val="single"/>
                    </w:rPr>
                    <w:t>≤</w:t>
                  </w:r>
                  <w:r>
                    <w:rPr>
                      <w:rFonts w:hint="eastAsia"/>
                      <w:color w:val="000000"/>
                      <w:u w:val="single"/>
                    </w:rPr>
                    <w:t>0.2</w:t>
                  </w:r>
                </w:p>
              </w:tc>
              <w:tc>
                <w:tcPr>
                  <w:tcW w:w="1009" w:type="dxa"/>
                  <w:tcBorders>
                    <w:top w:val="single" w:color="auto" w:sz="4" w:space="0"/>
                    <w:left w:val="single" w:color="auto" w:sz="4" w:space="0"/>
                    <w:bottom w:val="single" w:color="auto" w:sz="4" w:space="0"/>
                    <w:right w:val="single" w:color="auto" w:sz="4" w:space="0"/>
                  </w:tcBorders>
                  <w:vAlign w:val="center"/>
                </w:tcPr>
                <w:p w14:paraId="13A93FFB">
                  <w:pPr>
                    <w:autoSpaceDE w:val="0"/>
                    <w:jc w:val="center"/>
                    <w:rPr>
                      <w:color w:val="000000"/>
                      <w:szCs w:val="21"/>
                      <w:u w:val="single"/>
                    </w:rPr>
                  </w:pPr>
                  <w:r>
                    <w:rPr>
                      <w:rFonts w:hint="eastAsia"/>
                      <w:color w:val="000000"/>
                      <w:u w:val="single"/>
                    </w:rPr>
                    <w:t>0.78</w:t>
                  </w:r>
                </w:p>
              </w:tc>
              <w:tc>
                <w:tcPr>
                  <w:tcW w:w="1009" w:type="dxa"/>
                  <w:tcBorders>
                    <w:top w:val="single" w:color="auto" w:sz="4" w:space="0"/>
                    <w:left w:val="single" w:color="auto" w:sz="4" w:space="0"/>
                    <w:bottom w:val="single" w:color="auto" w:sz="4" w:space="0"/>
                    <w:right w:val="single" w:color="auto" w:sz="4" w:space="0"/>
                  </w:tcBorders>
                  <w:vAlign w:val="center"/>
                </w:tcPr>
                <w:p w14:paraId="57FEE47D">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0D53B886">
                  <w:pPr>
                    <w:autoSpaceDE w:val="0"/>
                    <w:jc w:val="center"/>
                    <w:rPr>
                      <w:color w:val="000000"/>
                      <w:szCs w:val="21"/>
                      <w:u w:val="single"/>
                    </w:rPr>
                  </w:pPr>
                  <w:r>
                    <w:rPr>
                      <w:rFonts w:hint="eastAsia" w:ascii="宋体" w:hAnsi="宋体"/>
                      <w:color w:val="000000"/>
                      <w:u w:val="single"/>
                    </w:rPr>
                    <w:t>达标</w:t>
                  </w:r>
                </w:p>
              </w:tc>
            </w:tr>
            <w:tr w14:paraId="6BCB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67604A3E">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33253A8F">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6B601F7D">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9</w:t>
                  </w:r>
                  <w:r>
                    <w:rPr>
                      <w:rFonts w:hint="eastAsia" w:ascii="宋体" w:hAnsi="宋体"/>
                      <w:color w:val="000000"/>
                      <w:u w:val="single"/>
                    </w:rPr>
                    <w:t>月</w:t>
                  </w:r>
                </w:p>
              </w:tc>
              <w:tc>
                <w:tcPr>
                  <w:tcW w:w="1009" w:type="dxa"/>
                  <w:tcBorders>
                    <w:top w:val="single" w:color="auto" w:sz="4" w:space="0"/>
                    <w:left w:val="single" w:color="auto" w:sz="4" w:space="0"/>
                    <w:bottom w:val="single" w:color="auto" w:sz="4" w:space="0"/>
                    <w:right w:val="single" w:color="auto" w:sz="4" w:space="0"/>
                  </w:tcBorders>
                  <w:vAlign w:val="center"/>
                </w:tcPr>
                <w:p w14:paraId="5EF86EC3">
                  <w:pPr>
                    <w:autoSpaceDE w:val="0"/>
                    <w:jc w:val="center"/>
                    <w:rPr>
                      <w:color w:val="000000"/>
                      <w:szCs w:val="21"/>
                      <w:u w:val="single"/>
                    </w:rPr>
                  </w:pPr>
                  <w:r>
                    <w:rPr>
                      <w:rFonts w:hint="eastAsia"/>
                      <w:color w:val="000000"/>
                      <w:u w:val="single"/>
                    </w:rPr>
                    <w:t>3.7</w:t>
                  </w:r>
                </w:p>
              </w:tc>
              <w:tc>
                <w:tcPr>
                  <w:tcW w:w="1009" w:type="dxa"/>
                  <w:tcBorders>
                    <w:top w:val="single" w:color="auto" w:sz="4" w:space="0"/>
                    <w:left w:val="single" w:color="auto" w:sz="4" w:space="0"/>
                    <w:bottom w:val="single" w:color="auto" w:sz="4" w:space="0"/>
                    <w:right w:val="single" w:color="auto" w:sz="4" w:space="0"/>
                  </w:tcBorders>
                  <w:vAlign w:val="center"/>
                </w:tcPr>
                <w:p w14:paraId="4456DCB0">
                  <w:pPr>
                    <w:autoSpaceDE w:val="0"/>
                    <w:jc w:val="center"/>
                    <w:rPr>
                      <w:color w:val="000000"/>
                      <w:szCs w:val="21"/>
                      <w:u w:val="single"/>
                    </w:rPr>
                  </w:pPr>
                  <w:r>
                    <w:rPr>
                      <w:rFonts w:hint="eastAsia" w:ascii="宋体" w:hAnsi="宋体"/>
                      <w:color w:val="000000"/>
                      <w:u w:val="single"/>
                    </w:rPr>
                    <w:t>≤</w:t>
                  </w:r>
                  <w:r>
                    <w:rPr>
                      <w:rFonts w:hint="eastAsia"/>
                      <w:color w:val="000000"/>
                      <w:u w:val="single"/>
                    </w:rPr>
                    <w:t>6</w:t>
                  </w:r>
                </w:p>
              </w:tc>
              <w:tc>
                <w:tcPr>
                  <w:tcW w:w="1009" w:type="dxa"/>
                  <w:tcBorders>
                    <w:top w:val="single" w:color="auto" w:sz="4" w:space="0"/>
                    <w:left w:val="single" w:color="auto" w:sz="4" w:space="0"/>
                    <w:bottom w:val="single" w:color="auto" w:sz="4" w:space="0"/>
                    <w:right w:val="single" w:color="auto" w:sz="4" w:space="0"/>
                  </w:tcBorders>
                  <w:vAlign w:val="center"/>
                </w:tcPr>
                <w:p w14:paraId="141BE6F7">
                  <w:pPr>
                    <w:autoSpaceDE w:val="0"/>
                    <w:jc w:val="center"/>
                    <w:rPr>
                      <w:color w:val="000000"/>
                      <w:szCs w:val="21"/>
                      <w:u w:val="single"/>
                    </w:rPr>
                  </w:pPr>
                  <w:r>
                    <w:rPr>
                      <w:rFonts w:hint="eastAsia"/>
                      <w:color w:val="000000"/>
                      <w:u w:val="single"/>
                    </w:rPr>
                    <w:t>0.62</w:t>
                  </w:r>
                </w:p>
              </w:tc>
              <w:tc>
                <w:tcPr>
                  <w:tcW w:w="1009" w:type="dxa"/>
                  <w:tcBorders>
                    <w:top w:val="single" w:color="auto" w:sz="4" w:space="0"/>
                    <w:left w:val="single" w:color="auto" w:sz="4" w:space="0"/>
                    <w:bottom w:val="single" w:color="auto" w:sz="4" w:space="0"/>
                    <w:right w:val="single" w:color="auto" w:sz="4" w:space="0"/>
                  </w:tcBorders>
                  <w:vAlign w:val="center"/>
                </w:tcPr>
                <w:p w14:paraId="01C495B8">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391E09F0">
                  <w:pPr>
                    <w:autoSpaceDE w:val="0"/>
                    <w:jc w:val="center"/>
                    <w:rPr>
                      <w:color w:val="000000"/>
                      <w:szCs w:val="21"/>
                      <w:u w:val="single"/>
                    </w:rPr>
                  </w:pPr>
                  <w:r>
                    <w:rPr>
                      <w:rFonts w:hint="eastAsia" w:ascii="宋体" w:hAnsi="宋体"/>
                      <w:color w:val="000000"/>
                      <w:u w:val="single"/>
                    </w:rPr>
                    <w:t>达标</w:t>
                  </w:r>
                </w:p>
              </w:tc>
            </w:tr>
            <w:tr w14:paraId="6CB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04113B16">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20EFB3FC">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6E77C5BB">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4414C2ED">
                  <w:pPr>
                    <w:autoSpaceDE w:val="0"/>
                    <w:jc w:val="center"/>
                    <w:rPr>
                      <w:color w:val="000000"/>
                      <w:szCs w:val="21"/>
                      <w:u w:val="single"/>
                    </w:rPr>
                  </w:pPr>
                  <w:r>
                    <w:rPr>
                      <w:rFonts w:hint="eastAsia"/>
                      <w:color w:val="000000"/>
                      <w:u w:val="single"/>
                    </w:rPr>
                    <w:t>0.11</w:t>
                  </w:r>
                </w:p>
              </w:tc>
              <w:tc>
                <w:tcPr>
                  <w:tcW w:w="1009" w:type="dxa"/>
                  <w:tcBorders>
                    <w:top w:val="single" w:color="auto" w:sz="4" w:space="0"/>
                    <w:left w:val="single" w:color="auto" w:sz="4" w:space="0"/>
                    <w:bottom w:val="single" w:color="auto" w:sz="4" w:space="0"/>
                    <w:right w:val="single" w:color="auto" w:sz="4" w:space="0"/>
                  </w:tcBorders>
                  <w:vAlign w:val="center"/>
                </w:tcPr>
                <w:p w14:paraId="3E91065E">
                  <w:pPr>
                    <w:autoSpaceDE w:val="0"/>
                    <w:jc w:val="center"/>
                    <w:rPr>
                      <w:color w:val="000000"/>
                      <w:szCs w:val="21"/>
                      <w:u w:val="single"/>
                    </w:rPr>
                  </w:pPr>
                  <w:r>
                    <w:rPr>
                      <w:rFonts w:hint="eastAsia" w:ascii="宋体" w:hAnsi="宋体"/>
                      <w:color w:val="000000"/>
                      <w:u w:val="single"/>
                    </w:rPr>
                    <w:t>≤</w:t>
                  </w:r>
                  <w:r>
                    <w:rPr>
                      <w:rFonts w:hint="eastAsia"/>
                      <w:color w:val="000000"/>
                      <w:u w:val="single"/>
                    </w:rPr>
                    <w:t>1</w:t>
                  </w:r>
                </w:p>
              </w:tc>
              <w:tc>
                <w:tcPr>
                  <w:tcW w:w="1009" w:type="dxa"/>
                  <w:tcBorders>
                    <w:top w:val="single" w:color="auto" w:sz="4" w:space="0"/>
                    <w:left w:val="single" w:color="auto" w:sz="4" w:space="0"/>
                    <w:bottom w:val="single" w:color="auto" w:sz="4" w:space="0"/>
                    <w:right w:val="single" w:color="auto" w:sz="4" w:space="0"/>
                  </w:tcBorders>
                  <w:vAlign w:val="center"/>
                </w:tcPr>
                <w:p w14:paraId="603621A9">
                  <w:pPr>
                    <w:autoSpaceDE w:val="0"/>
                    <w:jc w:val="center"/>
                    <w:rPr>
                      <w:color w:val="000000"/>
                      <w:szCs w:val="21"/>
                      <w:u w:val="single"/>
                    </w:rPr>
                  </w:pPr>
                  <w:r>
                    <w:rPr>
                      <w:rFonts w:hint="eastAsia"/>
                      <w:color w:val="000000"/>
                      <w:u w:val="single"/>
                    </w:rPr>
                    <w:t>0.11</w:t>
                  </w:r>
                </w:p>
              </w:tc>
              <w:tc>
                <w:tcPr>
                  <w:tcW w:w="1009" w:type="dxa"/>
                  <w:tcBorders>
                    <w:top w:val="single" w:color="auto" w:sz="4" w:space="0"/>
                    <w:left w:val="single" w:color="auto" w:sz="4" w:space="0"/>
                    <w:bottom w:val="single" w:color="auto" w:sz="4" w:space="0"/>
                    <w:right w:val="single" w:color="auto" w:sz="4" w:space="0"/>
                  </w:tcBorders>
                  <w:vAlign w:val="center"/>
                </w:tcPr>
                <w:p w14:paraId="314B2B4F">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32EDF0D7">
                  <w:pPr>
                    <w:autoSpaceDE w:val="0"/>
                    <w:jc w:val="center"/>
                    <w:rPr>
                      <w:color w:val="000000"/>
                      <w:szCs w:val="21"/>
                      <w:u w:val="single"/>
                    </w:rPr>
                  </w:pPr>
                  <w:r>
                    <w:rPr>
                      <w:rFonts w:hint="eastAsia" w:ascii="宋体" w:hAnsi="宋体"/>
                      <w:color w:val="000000"/>
                      <w:u w:val="single"/>
                    </w:rPr>
                    <w:t>达标</w:t>
                  </w:r>
                </w:p>
              </w:tc>
            </w:tr>
            <w:tr w14:paraId="171F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2775F7C8">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334B4F87">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456C8E71">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2F990F8E">
                  <w:pPr>
                    <w:autoSpaceDE w:val="0"/>
                    <w:jc w:val="center"/>
                    <w:rPr>
                      <w:color w:val="000000"/>
                      <w:szCs w:val="21"/>
                      <w:u w:val="single"/>
                    </w:rPr>
                  </w:pPr>
                  <w:r>
                    <w:rPr>
                      <w:rFonts w:hint="eastAsia"/>
                      <w:color w:val="000000"/>
                      <w:u w:val="single"/>
                    </w:rPr>
                    <w:t>0.098</w:t>
                  </w:r>
                </w:p>
              </w:tc>
              <w:tc>
                <w:tcPr>
                  <w:tcW w:w="1009" w:type="dxa"/>
                  <w:tcBorders>
                    <w:top w:val="single" w:color="auto" w:sz="4" w:space="0"/>
                    <w:left w:val="single" w:color="auto" w:sz="4" w:space="0"/>
                    <w:bottom w:val="single" w:color="auto" w:sz="4" w:space="0"/>
                    <w:right w:val="single" w:color="auto" w:sz="4" w:space="0"/>
                  </w:tcBorders>
                  <w:vAlign w:val="center"/>
                </w:tcPr>
                <w:p w14:paraId="1F0EE4ED">
                  <w:pPr>
                    <w:autoSpaceDE w:val="0"/>
                    <w:jc w:val="center"/>
                    <w:rPr>
                      <w:color w:val="000000"/>
                      <w:szCs w:val="21"/>
                      <w:u w:val="single"/>
                    </w:rPr>
                  </w:pPr>
                  <w:r>
                    <w:rPr>
                      <w:rFonts w:hint="eastAsia" w:ascii="宋体" w:hAnsi="宋体"/>
                      <w:color w:val="000000"/>
                      <w:u w:val="single"/>
                    </w:rPr>
                    <w:t>≤</w:t>
                  </w:r>
                  <w:r>
                    <w:rPr>
                      <w:rFonts w:hint="eastAsia"/>
                      <w:color w:val="000000"/>
                      <w:u w:val="single"/>
                    </w:rPr>
                    <w:t>0.2</w:t>
                  </w:r>
                </w:p>
              </w:tc>
              <w:tc>
                <w:tcPr>
                  <w:tcW w:w="1009" w:type="dxa"/>
                  <w:tcBorders>
                    <w:top w:val="single" w:color="auto" w:sz="4" w:space="0"/>
                    <w:left w:val="single" w:color="auto" w:sz="4" w:space="0"/>
                    <w:bottom w:val="single" w:color="auto" w:sz="4" w:space="0"/>
                    <w:right w:val="single" w:color="auto" w:sz="4" w:space="0"/>
                  </w:tcBorders>
                  <w:vAlign w:val="center"/>
                </w:tcPr>
                <w:p w14:paraId="1C454C2E">
                  <w:pPr>
                    <w:autoSpaceDE w:val="0"/>
                    <w:jc w:val="center"/>
                    <w:rPr>
                      <w:color w:val="000000"/>
                      <w:szCs w:val="21"/>
                      <w:u w:val="single"/>
                    </w:rPr>
                  </w:pPr>
                  <w:r>
                    <w:rPr>
                      <w:rFonts w:hint="eastAsia"/>
                      <w:color w:val="000000"/>
                      <w:u w:val="single"/>
                    </w:rPr>
                    <w:t>0.49</w:t>
                  </w:r>
                </w:p>
              </w:tc>
              <w:tc>
                <w:tcPr>
                  <w:tcW w:w="1009" w:type="dxa"/>
                  <w:tcBorders>
                    <w:top w:val="single" w:color="auto" w:sz="4" w:space="0"/>
                    <w:left w:val="single" w:color="auto" w:sz="4" w:space="0"/>
                    <w:bottom w:val="single" w:color="auto" w:sz="4" w:space="0"/>
                    <w:right w:val="single" w:color="auto" w:sz="4" w:space="0"/>
                  </w:tcBorders>
                  <w:vAlign w:val="center"/>
                </w:tcPr>
                <w:p w14:paraId="5206EFAC">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2AAADC29">
                  <w:pPr>
                    <w:autoSpaceDE w:val="0"/>
                    <w:jc w:val="center"/>
                    <w:rPr>
                      <w:color w:val="000000"/>
                      <w:szCs w:val="21"/>
                      <w:u w:val="single"/>
                    </w:rPr>
                  </w:pPr>
                  <w:r>
                    <w:rPr>
                      <w:rFonts w:hint="eastAsia" w:ascii="宋体" w:hAnsi="宋体"/>
                      <w:color w:val="000000"/>
                      <w:u w:val="single"/>
                    </w:rPr>
                    <w:t>达标</w:t>
                  </w:r>
                </w:p>
              </w:tc>
            </w:tr>
            <w:tr w14:paraId="7377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46904953">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052CCFD3">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56456994">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10</w:t>
                  </w:r>
                  <w:r>
                    <w:rPr>
                      <w:rFonts w:hint="eastAsia" w:ascii="宋体" w:hAnsi="宋体"/>
                      <w:color w:val="000000"/>
                      <w:u w:val="single"/>
                    </w:rPr>
                    <w:t>月</w:t>
                  </w:r>
                </w:p>
              </w:tc>
              <w:tc>
                <w:tcPr>
                  <w:tcW w:w="1009" w:type="dxa"/>
                  <w:tcBorders>
                    <w:top w:val="single" w:color="auto" w:sz="4" w:space="0"/>
                    <w:left w:val="single" w:color="auto" w:sz="4" w:space="0"/>
                    <w:bottom w:val="single" w:color="auto" w:sz="4" w:space="0"/>
                    <w:right w:val="single" w:color="auto" w:sz="4" w:space="0"/>
                  </w:tcBorders>
                  <w:vAlign w:val="center"/>
                </w:tcPr>
                <w:p w14:paraId="4C5B8324">
                  <w:pPr>
                    <w:autoSpaceDE w:val="0"/>
                    <w:jc w:val="center"/>
                    <w:rPr>
                      <w:color w:val="000000"/>
                      <w:szCs w:val="21"/>
                      <w:u w:val="single"/>
                    </w:rPr>
                  </w:pPr>
                  <w:r>
                    <w:rPr>
                      <w:rFonts w:hint="eastAsia"/>
                      <w:color w:val="000000"/>
                      <w:u w:val="single"/>
                    </w:rPr>
                    <w:t>4</w:t>
                  </w:r>
                </w:p>
              </w:tc>
              <w:tc>
                <w:tcPr>
                  <w:tcW w:w="1009" w:type="dxa"/>
                  <w:tcBorders>
                    <w:top w:val="single" w:color="auto" w:sz="4" w:space="0"/>
                    <w:left w:val="single" w:color="auto" w:sz="4" w:space="0"/>
                    <w:bottom w:val="single" w:color="auto" w:sz="4" w:space="0"/>
                    <w:right w:val="single" w:color="auto" w:sz="4" w:space="0"/>
                  </w:tcBorders>
                  <w:vAlign w:val="center"/>
                </w:tcPr>
                <w:p w14:paraId="2D970DF3">
                  <w:pPr>
                    <w:autoSpaceDE w:val="0"/>
                    <w:jc w:val="center"/>
                    <w:rPr>
                      <w:color w:val="000000"/>
                      <w:szCs w:val="21"/>
                      <w:u w:val="single"/>
                    </w:rPr>
                  </w:pPr>
                  <w:r>
                    <w:rPr>
                      <w:rFonts w:hint="eastAsia" w:ascii="宋体" w:hAnsi="宋体"/>
                      <w:color w:val="000000"/>
                      <w:u w:val="single"/>
                    </w:rPr>
                    <w:t>≤</w:t>
                  </w:r>
                  <w:r>
                    <w:rPr>
                      <w:rFonts w:hint="eastAsia"/>
                      <w:color w:val="000000"/>
                      <w:u w:val="single"/>
                    </w:rPr>
                    <w:t>6</w:t>
                  </w:r>
                </w:p>
              </w:tc>
              <w:tc>
                <w:tcPr>
                  <w:tcW w:w="1009" w:type="dxa"/>
                  <w:tcBorders>
                    <w:top w:val="single" w:color="auto" w:sz="4" w:space="0"/>
                    <w:left w:val="single" w:color="auto" w:sz="4" w:space="0"/>
                    <w:bottom w:val="single" w:color="auto" w:sz="4" w:space="0"/>
                    <w:right w:val="single" w:color="auto" w:sz="4" w:space="0"/>
                  </w:tcBorders>
                  <w:vAlign w:val="center"/>
                </w:tcPr>
                <w:p w14:paraId="7786477B">
                  <w:pPr>
                    <w:autoSpaceDE w:val="0"/>
                    <w:jc w:val="center"/>
                    <w:rPr>
                      <w:color w:val="000000"/>
                      <w:szCs w:val="21"/>
                      <w:u w:val="single"/>
                    </w:rPr>
                  </w:pPr>
                  <w:r>
                    <w:rPr>
                      <w:rFonts w:hint="eastAsia"/>
                      <w:color w:val="000000"/>
                      <w:u w:val="single"/>
                    </w:rPr>
                    <w:t>0.67</w:t>
                  </w:r>
                </w:p>
              </w:tc>
              <w:tc>
                <w:tcPr>
                  <w:tcW w:w="1009" w:type="dxa"/>
                  <w:tcBorders>
                    <w:top w:val="single" w:color="auto" w:sz="4" w:space="0"/>
                    <w:left w:val="single" w:color="auto" w:sz="4" w:space="0"/>
                    <w:bottom w:val="single" w:color="auto" w:sz="4" w:space="0"/>
                    <w:right w:val="single" w:color="auto" w:sz="4" w:space="0"/>
                  </w:tcBorders>
                  <w:vAlign w:val="center"/>
                </w:tcPr>
                <w:p w14:paraId="5E8844C2">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55FC77E2">
                  <w:pPr>
                    <w:autoSpaceDE w:val="0"/>
                    <w:jc w:val="center"/>
                    <w:rPr>
                      <w:color w:val="000000"/>
                      <w:szCs w:val="21"/>
                      <w:u w:val="single"/>
                    </w:rPr>
                  </w:pPr>
                  <w:r>
                    <w:rPr>
                      <w:rFonts w:hint="eastAsia" w:ascii="宋体" w:hAnsi="宋体"/>
                      <w:color w:val="000000"/>
                      <w:u w:val="single"/>
                    </w:rPr>
                    <w:t>达标</w:t>
                  </w:r>
                </w:p>
              </w:tc>
            </w:tr>
            <w:tr w14:paraId="4E60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0FD1989E">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2EDACD5E">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6AB33C6C">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1553D9A2">
                  <w:pPr>
                    <w:autoSpaceDE w:val="0"/>
                    <w:jc w:val="center"/>
                    <w:rPr>
                      <w:color w:val="000000"/>
                      <w:szCs w:val="21"/>
                      <w:u w:val="single"/>
                    </w:rPr>
                  </w:pPr>
                  <w:r>
                    <w:rPr>
                      <w:rFonts w:hint="eastAsia"/>
                      <w:color w:val="000000"/>
                      <w:u w:val="single"/>
                    </w:rPr>
                    <w:t>0.15</w:t>
                  </w:r>
                </w:p>
              </w:tc>
              <w:tc>
                <w:tcPr>
                  <w:tcW w:w="1009" w:type="dxa"/>
                  <w:tcBorders>
                    <w:top w:val="single" w:color="auto" w:sz="4" w:space="0"/>
                    <w:left w:val="single" w:color="auto" w:sz="4" w:space="0"/>
                    <w:bottom w:val="single" w:color="auto" w:sz="4" w:space="0"/>
                    <w:right w:val="single" w:color="auto" w:sz="4" w:space="0"/>
                  </w:tcBorders>
                  <w:vAlign w:val="center"/>
                </w:tcPr>
                <w:p w14:paraId="5430985E">
                  <w:pPr>
                    <w:autoSpaceDE w:val="0"/>
                    <w:jc w:val="center"/>
                    <w:rPr>
                      <w:color w:val="000000"/>
                      <w:szCs w:val="21"/>
                      <w:u w:val="single"/>
                    </w:rPr>
                  </w:pPr>
                  <w:r>
                    <w:rPr>
                      <w:rFonts w:hint="eastAsia" w:ascii="宋体" w:hAnsi="宋体"/>
                      <w:color w:val="000000"/>
                      <w:u w:val="single"/>
                    </w:rPr>
                    <w:t>≤</w:t>
                  </w:r>
                  <w:r>
                    <w:rPr>
                      <w:rFonts w:hint="eastAsia"/>
                      <w:color w:val="000000"/>
                      <w:u w:val="single"/>
                    </w:rPr>
                    <w:t>1</w:t>
                  </w:r>
                </w:p>
              </w:tc>
              <w:tc>
                <w:tcPr>
                  <w:tcW w:w="1009" w:type="dxa"/>
                  <w:tcBorders>
                    <w:top w:val="single" w:color="auto" w:sz="4" w:space="0"/>
                    <w:left w:val="single" w:color="auto" w:sz="4" w:space="0"/>
                    <w:bottom w:val="single" w:color="auto" w:sz="4" w:space="0"/>
                    <w:right w:val="single" w:color="auto" w:sz="4" w:space="0"/>
                  </w:tcBorders>
                  <w:vAlign w:val="center"/>
                </w:tcPr>
                <w:p w14:paraId="5EFB791D">
                  <w:pPr>
                    <w:autoSpaceDE w:val="0"/>
                    <w:jc w:val="center"/>
                    <w:rPr>
                      <w:color w:val="000000"/>
                      <w:szCs w:val="21"/>
                      <w:u w:val="single"/>
                    </w:rPr>
                  </w:pPr>
                  <w:r>
                    <w:rPr>
                      <w:rFonts w:hint="eastAsia"/>
                      <w:color w:val="000000"/>
                      <w:u w:val="single"/>
                    </w:rPr>
                    <w:t>0.15</w:t>
                  </w:r>
                </w:p>
              </w:tc>
              <w:tc>
                <w:tcPr>
                  <w:tcW w:w="1009" w:type="dxa"/>
                  <w:tcBorders>
                    <w:top w:val="single" w:color="auto" w:sz="4" w:space="0"/>
                    <w:left w:val="single" w:color="auto" w:sz="4" w:space="0"/>
                    <w:bottom w:val="single" w:color="auto" w:sz="4" w:space="0"/>
                    <w:right w:val="single" w:color="auto" w:sz="4" w:space="0"/>
                  </w:tcBorders>
                  <w:vAlign w:val="center"/>
                </w:tcPr>
                <w:p w14:paraId="70CF3D89">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3384A38B">
                  <w:pPr>
                    <w:autoSpaceDE w:val="0"/>
                    <w:jc w:val="center"/>
                    <w:rPr>
                      <w:color w:val="000000"/>
                      <w:szCs w:val="21"/>
                      <w:u w:val="single"/>
                    </w:rPr>
                  </w:pPr>
                  <w:r>
                    <w:rPr>
                      <w:rFonts w:hint="eastAsia" w:ascii="宋体" w:hAnsi="宋体"/>
                      <w:color w:val="000000"/>
                      <w:u w:val="single"/>
                    </w:rPr>
                    <w:t>达标</w:t>
                  </w:r>
                </w:p>
              </w:tc>
            </w:tr>
            <w:tr w14:paraId="3A45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47337B27">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54A0202A">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116FE509">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00E5C093">
                  <w:pPr>
                    <w:autoSpaceDE w:val="0"/>
                    <w:jc w:val="center"/>
                    <w:rPr>
                      <w:color w:val="000000"/>
                      <w:szCs w:val="21"/>
                      <w:u w:val="single"/>
                    </w:rPr>
                  </w:pPr>
                  <w:r>
                    <w:rPr>
                      <w:rFonts w:hint="eastAsia"/>
                      <w:color w:val="000000"/>
                      <w:u w:val="single"/>
                    </w:rPr>
                    <w:t>0.075</w:t>
                  </w:r>
                </w:p>
              </w:tc>
              <w:tc>
                <w:tcPr>
                  <w:tcW w:w="1009" w:type="dxa"/>
                  <w:tcBorders>
                    <w:top w:val="single" w:color="auto" w:sz="4" w:space="0"/>
                    <w:left w:val="single" w:color="auto" w:sz="4" w:space="0"/>
                    <w:bottom w:val="single" w:color="auto" w:sz="4" w:space="0"/>
                    <w:right w:val="single" w:color="auto" w:sz="4" w:space="0"/>
                  </w:tcBorders>
                  <w:vAlign w:val="center"/>
                </w:tcPr>
                <w:p w14:paraId="6B4A644C">
                  <w:pPr>
                    <w:autoSpaceDE w:val="0"/>
                    <w:jc w:val="center"/>
                    <w:rPr>
                      <w:color w:val="000000"/>
                      <w:szCs w:val="21"/>
                      <w:u w:val="single"/>
                    </w:rPr>
                  </w:pPr>
                  <w:r>
                    <w:rPr>
                      <w:rFonts w:hint="eastAsia" w:ascii="宋体" w:hAnsi="宋体"/>
                      <w:color w:val="000000"/>
                      <w:u w:val="single"/>
                    </w:rPr>
                    <w:t>≤</w:t>
                  </w:r>
                  <w:r>
                    <w:rPr>
                      <w:rFonts w:hint="eastAsia"/>
                      <w:color w:val="000000"/>
                      <w:u w:val="single"/>
                    </w:rPr>
                    <w:t>0.2</w:t>
                  </w:r>
                </w:p>
              </w:tc>
              <w:tc>
                <w:tcPr>
                  <w:tcW w:w="1009" w:type="dxa"/>
                  <w:tcBorders>
                    <w:top w:val="single" w:color="auto" w:sz="4" w:space="0"/>
                    <w:left w:val="single" w:color="auto" w:sz="4" w:space="0"/>
                    <w:bottom w:val="single" w:color="auto" w:sz="4" w:space="0"/>
                    <w:right w:val="single" w:color="auto" w:sz="4" w:space="0"/>
                  </w:tcBorders>
                  <w:vAlign w:val="center"/>
                </w:tcPr>
                <w:p w14:paraId="78154F37">
                  <w:pPr>
                    <w:autoSpaceDE w:val="0"/>
                    <w:jc w:val="center"/>
                    <w:rPr>
                      <w:color w:val="000000"/>
                      <w:szCs w:val="21"/>
                      <w:u w:val="single"/>
                    </w:rPr>
                  </w:pPr>
                  <w:r>
                    <w:rPr>
                      <w:rFonts w:hint="eastAsia"/>
                      <w:color w:val="000000"/>
                      <w:u w:val="single"/>
                    </w:rPr>
                    <w:t>0.375</w:t>
                  </w:r>
                </w:p>
              </w:tc>
              <w:tc>
                <w:tcPr>
                  <w:tcW w:w="1009" w:type="dxa"/>
                  <w:tcBorders>
                    <w:top w:val="single" w:color="auto" w:sz="4" w:space="0"/>
                    <w:left w:val="single" w:color="auto" w:sz="4" w:space="0"/>
                    <w:bottom w:val="single" w:color="auto" w:sz="4" w:space="0"/>
                    <w:right w:val="single" w:color="auto" w:sz="4" w:space="0"/>
                  </w:tcBorders>
                  <w:vAlign w:val="center"/>
                </w:tcPr>
                <w:p w14:paraId="72AA3B76">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6F642F1E">
                  <w:pPr>
                    <w:autoSpaceDE w:val="0"/>
                    <w:jc w:val="center"/>
                    <w:rPr>
                      <w:color w:val="000000"/>
                      <w:szCs w:val="21"/>
                      <w:u w:val="single"/>
                    </w:rPr>
                  </w:pPr>
                  <w:r>
                    <w:rPr>
                      <w:rFonts w:hint="eastAsia" w:ascii="宋体" w:hAnsi="宋体"/>
                      <w:color w:val="000000"/>
                      <w:u w:val="single"/>
                    </w:rPr>
                    <w:t>达标</w:t>
                  </w:r>
                </w:p>
              </w:tc>
            </w:tr>
            <w:tr w14:paraId="37F8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385ADA33">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274AFDFA">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5C67F80C">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11</w:t>
                  </w:r>
                  <w:r>
                    <w:rPr>
                      <w:rFonts w:hint="eastAsia" w:ascii="宋体" w:hAnsi="宋体"/>
                      <w:color w:val="000000"/>
                      <w:u w:val="single"/>
                    </w:rPr>
                    <w:t>月</w:t>
                  </w:r>
                </w:p>
              </w:tc>
              <w:tc>
                <w:tcPr>
                  <w:tcW w:w="1009" w:type="dxa"/>
                  <w:tcBorders>
                    <w:top w:val="single" w:color="auto" w:sz="4" w:space="0"/>
                    <w:left w:val="single" w:color="auto" w:sz="4" w:space="0"/>
                    <w:bottom w:val="single" w:color="auto" w:sz="4" w:space="0"/>
                    <w:right w:val="single" w:color="auto" w:sz="4" w:space="0"/>
                  </w:tcBorders>
                  <w:vAlign w:val="center"/>
                </w:tcPr>
                <w:p w14:paraId="74EF60AF">
                  <w:pPr>
                    <w:autoSpaceDE w:val="0"/>
                    <w:jc w:val="center"/>
                    <w:rPr>
                      <w:color w:val="000000"/>
                      <w:szCs w:val="21"/>
                      <w:u w:val="single"/>
                    </w:rPr>
                  </w:pPr>
                  <w:r>
                    <w:rPr>
                      <w:rFonts w:hint="eastAsia"/>
                      <w:color w:val="000000"/>
                      <w:u w:val="single"/>
                    </w:rPr>
                    <w:t>2.5</w:t>
                  </w:r>
                </w:p>
              </w:tc>
              <w:tc>
                <w:tcPr>
                  <w:tcW w:w="1009" w:type="dxa"/>
                  <w:tcBorders>
                    <w:top w:val="single" w:color="auto" w:sz="4" w:space="0"/>
                    <w:left w:val="single" w:color="auto" w:sz="4" w:space="0"/>
                    <w:bottom w:val="single" w:color="auto" w:sz="4" w:space="0"/>
                    <w:right w:val="single" w:color="auto" w:sz="4" w:space="0"/>
                  </w:tcBorders>
                  <w:vAlign w:val="center"/>
                </w:tcPr>
                <w:p w14:paraId="48E5C0A9">
                  <w:pPr>
                    <w:autoSpaceDE w:val="0"/>
                    <w:jc w:val="center"/>
                    <w:rPr>
                      <w:color w:val="000000"/>
                      <w:szCs w:val="21"/>
                      <w:u w:val="single"/>
                    </w:rPr>
                  </w:pPr>
                  <w:r>
                    <w:rPr>
                      <w:rFonts w:hint="eastAsia" w:ascii="宋体" w:hAnsi="宋体"/>
                      <w:color w:val="000000"/>
                      <w:u w:val="single"/>
                    </w:rPr>
                    <w:t>≤</w:t>
                  </w:r>
                  <w:r>
                    <w:rPr>
                      <w:rFonts w:hint="eastAsia"/>
                      <w:color w:val="000000"/>
                      <w:u w:val="single"/>
                    </w:rPr>
                    <w:t>6</w:t>
                  </w:r>
                </w:p>
              </w:tc>
              <w:tc>
                <w:tcPr>
                  <w:tcW w:w="1009" w:type="dxa"/>
                  <w:tcBorders>
                    <w:top w:val="single" w:color="auto" w:sz="4" w:space="0"/>
                    <w:left w:val="single" w:color="auto" w:sz="4" w:space="0"/>
                    <w:bottom w:val="single" w:color="auto" w:sz="4" w:space="0"/>
                    <w:right w:val="single" w:color="auto" w:sz="4" w:space="0"/>
                  </w:tcBorders>
                  <w:vAlign w:val="center"/>
                </w:tcPr>
                <w:p w14:paraId="7637D119">
                  <w:pPr>
                    <w:autoSpaceDE w:val="0"/>
                    <w:jc w:val="center"/>
                    <w:rPr>
                      <w:color w:val="000000"/>
                      <w:szCs w:val="21"/>
                      <w:u w:val="single"/>
                    </w:rPr>
                  </w:pPr>
                  <w:r>
                    <w:rPr>
                      <w:rFonts w:hint="eastAsia"/>
                      <w:color w:val="000000"/>
                      <w:u w:val="single"/>
                    </w:rPr>
                    <w:t>0.417</w:t>
                  </w:r>
                </w:p>
              </w:tc>
              <w:tc>
                <w:tcPr>
                  <w:tcW w:w="1009" w:type="dxa"/>
                  <w:tcBorders>
                    <w:top w:val="single" w:color="auto" w:sz="4" w:space="0"/>
                    <w:left w:val="single" w:color="auto" w:sz="4" w:space="0"/>
                    <w:bottom w:val="single" w:color="auto" w:sz="4" w:space="0"/>
                    <w:right w:val="single" w:color="auto" w:sz="4" w:space="0"/>
                  </w:tcBorders>
                  <w:vAlign w:val="center"/>
                </w:tcPr>
                <w:p w14:paraId="5DD31C2C">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0F5C9F3E">
                  <w:pPr>
                    <w:autoSpaceDE w:val="0"/>
                    <w:jc w:val="center"/>
                    <w:rPr>
                      <w:color w:val="000000"/>
                      <w:szCs w:val="21"/>
                      <w:u w:val="single"/>
                    </w:rPr>
                  </w:pPr>
                  <w:r>
                    <w:rPr>
                      <w:rFonts w:hint="eastAsia" w:ascii="宋体" w:hAnsi="宋体"/>
                      <w:color w:val="000000"/>
                      <w:u w:val="single"/>
                    </w:rPr>
                    <w:t>达标</w:t>
                  </w:r>
                </w:p>
              </w:tc>
            </w:tr>
            <w:tr w14:paraId="1AB0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00A9D35A">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155D34FF">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74FF51E4">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5FFB68A1">
                  <w:pPr>
                    <w:autoSpaceDE w:val="0"/>
                    <w:jc w:val="center"/>
                    <w:rPr>
                      <w:color w:val="000000"/>
                      <w:szCs w:val="21"/>
                      <w:u w:val="single"/>
                    </w:rPr>
                  </w:pPr>
                  <w:r>
                    <w:rPr>
                      <w:rFonts w:hint="eastAsia"/>
                      <w:color w:val="000000"/>
                      <w:u w:val="single"/>
                    </w:rPr>
                    <w:t>0.12</w:t>
                  </w:r>
                </w:p>
              </w:tc>
              <w:tc>
                <w:tcPr>
                  <w:tcW w:w="1009" w:type="dxa"/>
                  <w:tcBorders>
                    <w:top w:val="single" w:color="auto" w:sz="4" w:space="0"/>
                    <w:left w:val="single" w:color="auto" w:sz="4" w:space="0"/>
                    <w:bottom w:val="single" w:color="auto" w:sz="4" w:space="0"/>
                    <w:right w:val="single" w:color="auto" w:sz="4" w:space="0"/>
                  </w:tcBorders>
                  <w:vAlign w:val="center"/>
                </w:tcPr>
                <w:p w14:paraId="5B48ABEA">
                  <w:pPr>
                    <w:autoSpaceDE w:val="0"/>
                    <w:jc w:val="center"/>
                    <w:rPr>
                      <w:color w:val="000000"/>
                      <w:szCs w:val="21"/>
                      <w:u w:val="single"/>
                    </w:rPr>
                  </w:pPr>
                  <w:r>
                    <w:rPr>
                      <w:rFonts w:hint="eastAsia" w:ascii="宋体" w:hAnsi="宋体"/>
                      <w:color w:val="000000"/>
                      <w:u w:val="single"/>
                    </w:rPr>
                    <w:t>≤</w:t>
                  </w:r>
                  <w:r>
                    <w:rPr>
                      <w:rFonts w:hint="eastAsia"/>
                      <w:color w:val="000000"/>
                      <w:u w:val="single"/>
                    </w:rPr>
                    <w:t>1</w:t>
                  </w:r>
                </w:p>
              </w:tc>
              <w:tc>
                <w:tcPr>
                  <w:tcW w:w="1009" w:type="dxa"/>
                  <w:tcBorders>
                    <w:top w:val="single" w:color="auto" w:sz="4" w:space="0"/>
                    <w:left w:val="single" w:color="auto" w:sz="4" w:space="0"/>
                    <w:bottom w:val="single" w:color="auto" w:sz="4" w:space="0"/>
                    <w:right w:val="single" w:color="auto" w:sz="4" w:space="0"/>
                  </w:tcBorders>
                  <w:vAlign w:val="center"/>
                </w:tcPr>
                <w:p w14:paraId="5A7497E9">
                  <w:pPr>
                    <w:autoSpaceDE w:val="0"/>
                    <w:jc w:val="center"/>
                    <w:rPr>
                      <w:color w:val="000000"/>
                      <w:szCs w:val="21"/>
                      <w:u w:val="single"/>
                    </w:rPr>
                  </w:pPr>
                  <w:r>
                    <w:rPr>
                      <w:rFonts w:hint="eastAsia"/>
                      <w:color w:val="000000"/>
                      <w:u w:val="single"/>
                    </w:rPr>
                    <w:t>0.12</w:t>
                  </w:r>
                </w:p>
              </w:tc>
              <w:tc>
                <w:tcPr>
                  <w:tcW w:w="1009" w:type="dxa"/>
                  <w:tcBorders>
                    <w:top w:val="single" w:color="auto" w:sz="4" w:space="0"/>
                    <w:left w:val="single" w:color="auto" w:sz="4" w:space="0"/>
                    <w:bottom w:val="single" w:color="auto" w:sz="4" w:space="0"/>
                    <w:right w:val="single" w:color="auto" w:sz="4" w:space="0"/>
                  </w:tcBorders>
                  <w:vAlign w:val="center"/>
                </w:tcPr>
                <w:p w14:paraId="7FDE8433">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3517766A">
                  <w:pPr>
                    <w:autoSpaceDE w:val="0"/>
                    <w:jc w:val="center"/>
                    <w:rPr>
                      <w:color w:val="000000"/>
                      <w:szCs w:val="21"/>
                      <w:u w:val="single"/>
                    </w:rPr>
                  </w:pPr>
                  <w:r>
                    <w:rPr>
                      <w:rFonts w:hint="eastAsia" w:ascii="宋体" w:hAnsi="宋体"/>
                      <w:color w:val="000000"/>
                      <w:u w:val="single"/>
                    </w:rPr>
                    <w:t>达标</w:t>
                  </w:r>
                </w:p>
              </w:tc>
            </w:tr>
            <w:tr w14:paraId="55EC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342562BB">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2B97B738">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5BDE56B5">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33536E07">
                  <w:pPr>
                    <w:autoSpaceDE w:val="0"/>
                    <w:jc w:val="center"/>
                    <w:rPr>
                      <w:color w:val="000000"/>
                      <w:szCs w:val="21"/>
                      <w:u w:val="single"/>
                    </w:rPr>
                  </w:pPr>
                  <w:r>
                    <w:rPr>
                      <w:rFonts w:hint="eastAsia"/>
                      <w:color w:val="000000"/>
                      <w:u w:val="single"/>
                    </w:rPr>
                    <w:t>0.057</w:t>
                  </w:r>
                </w:p>
              </w:tc>
              <w:tc>
                <w:tcPr>
                  <w:tcW w:w="1009" w:type="dxa"/>
                  <w:tcBorders>
                    <w:top w:val="single" w:color="auto" w:sz="4" w:space="0"/>
                    <w:left w:val="single" w:color="auto" w:sz="4" w:space="0"/>
                    <w:bottom w:val="single" w:color="auto" w:sz="4" w:space="0"/>
                    <w:right w:val="single" w:color="auto" w:sz="4" w:space="0"/>
                  </w:tcBorders>
                  <w:vAlign w:val="center"/>
                </w:tcPr>
                <w:p w14:paraId="632CC676">
                  <w:pPr>
                    <w:autoSpaceDE w:val="0"/>
                    <w:jc w:val="center"/>
                    <w:rPr>
                      <w:color w:val="000000"/>
                      <w:szCs w:val="21"/>
                      <w:u w:val="single"/>
                    </w:rPr>
                  </w:pPr>
                  <w:r>
                    <w:rPr>
                      <w:rFonts w:hint="eastAsia" w:ascii="宋体" w:hAnsi="宋体"/>
                      <w:color w:val="000000"/>
                      <w:u w:val="single"/>
                    </w:rPr>
                    <w:t>≤</w:t>
                  </w:r>
                  <w:r>
                    <w:rPr>
                      <w:rFonts w:hint="eastAsia"/>
                      <w:color w:val="000000"/>
                      <w:u w:val="single"/>
                    </w:rPr>
                    <w:t>0.2</w:t>
                  </w:r>
                </w:p>
              </w:tc>
              <w:tc>
                <w:tcPr>
                  <w:tcW w:w="1009" w:type="dxa"/>
                  <w:tcBorders>
                    <w:top w:val="single" w:color="auto" w:sz="4" w:space="0"/>
                    <w:left w:val="single" w:color="auto" w:sz="4" w:space="0"/>
                    <w:bottom w:val="single" w:color="auto" w:sz="4" w:space="0"/>
                    <w:right w:val="single" w:color="auto" w:sz="4" w:space="0"/>
                  </w:tcBorders>
                  <w:vAlign w:val="center"/>
                </w:tcPr>
                <w:p w14:paraId="6D129C51">
                  <w:pPr>
                    <w:autoSpaceDE w:val="0"/>
                    <w:jc w:val="center"/>
                    <w:rPr>
                      <w:color w:val="000000"/>
                      <w:szCs w:val="21"/>
                      <w:u w:val="single"/>
                    </w:rPr>
                  </w:pPr>
                  <w:r>
                    <w:rPr>
                      <w:rFonts w:hint="eastAsia"/>
                      <w:color w:val="000000"/>
                      <w:u w:val="single"/>
                    </w:rPr>
                    <w:t>0.285</w:t>
                  </w:r>
                </w:p>
              </w:tc>
              <w:tc>
                <w:tcPr>
                  <w:tcW w:w="1009" w:type="dxa"/>
                  <w:tcBorders>
                    <w:top w:val="single" w:color="auto" w:sz="4" w:space="0"/>
                    <w:left w:val="single" w:color="auto" w:sz="4" w:space="0"/>
                    <w:bottom w:val="single" w:color="auto" w:sz="4" w:space="0"/>
                    <w:right w:val="single" w:color="auto" w:sz="4" w:space="0"/>
                  </w:tcBorders>
                  <w:vAlign w:val="center"/>
                </w:tcPr>
                <w:p w14:paraId="0C360C19">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5FC27B17">
                  <w:pPr>
                    <w:autoSpaceDE w:val="0"/>
                    <w:jc w:val="center"/>
                    <w:rPr>
                      <w:color w:val="000000"/>
                      <w:szCs w:val="21"/>
                      <w:u w:val="single"/>
                    </w:rPr>
                  </w:pPr>
                  <w:r>
                    <w:rPr>
                      <w:rFonts w:hint="eastAsia" w:ascii="宋体" w:hAnsi="宋体"/>
                      <w:color w:val="000000"/>
                      <w:u w:val="single"/>
                    </w:rPr>
                    <w:t>达标</w:t>
                  </w:r>
                </w:p>
              </w:tc>
            </w:tr>
            <w:tr w14:paraId="1783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541A9133">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3FC6CC21">
                  <w:pPr>
                    <w:autoSpaceDE w:val="0"/>
                    <w:jc w:val="center"/>
                    <w:rPr>
                      <w:color w:val="000000"/>
                      <w:szCs w:val="21"/>
                      <w:u w:val="single"/>
                    </w:rPr>
                  </w:pPr>
                  <w:r>
                    <w:rPr>
                      <w:rFonts w:hint="eastAsia" w:ascii="宋体" w:hAnsi="宋体"/>
                      <w:color w:val="000000"/>
                      <w:u w:val="single"/>
                    </w:rPr>
                    <w:t>高锰酸盐指数</w:t>
                  </w:r>
                </w:p>
              </w:tc>
              <w:tc>
                <w:tcPr>
                  <w:tcW w:w="1008" w:type="dxa"/>
                  <w:vMerge w:val="restart"/>
                  <w:tcBorders>
                    <w:top w:val="nil"/>
                    <w:left w:val="single" w:color="auto" w:sz="4" w:space="0"/>
                    <w:bottom w:val="single" w:color="auto" w:sz="4" w:space="0"/>
                    <w:right w:val="single" w:color="auto" w:sz="4" w:space="0"/>
                  </w:tcBorders>
                  <w:vAlign w:val="center"/>
                </w:tcPr>
                <w:p w14:paraId="6C1B1BB9">
                  <w:pPr>
                    <w:autoSpaceDE w:val="0"/>
                    <w:jc w:val="center"/>
                    <w:rPr>
                      <w:color w:val="000000"/>
                      <w:szCs w:val="21"/>
                      <w:u w:val="single"/>
                    </w:rPr>
                  </w:pPr>
                  <w:r>
                    <w:rPr>
                      <w:rFonts w:hint="eastAsia"/>
                      <w:color w:val="000000"/>
                      <w:u w:val="single"/>
                    </w:rPr>
                    <w:t>2024</w:t>
                  </w:r>
                  <w:r>
                    <w:rPr>
                      <w:rFonts w:hint="eastAsia" w:ascii="宋体" w:hAnsi="宋体"/>
                      <w:color w:val="000000"/>
                      <w:u w:val="single"/>
                    </w:rPr>
                    <w:t>年</w:t>
                  </w:r>
                  <w:r>
                    <w:rPr>
                      <w:rFonts w:hint="eastAsia"/>
                      <w:color w:val="000000"/>
                      <w:u w:val="single"/>
                    </w:rPr>
                    <w:t>12</w:t>
                  </w:r>
                  <w:r>
                    <w:rPr>
                      <w:rFonts w:hint="eastAsia" w:ascii="宋体" w:hAnsi="宋体"/>
                      <w:color w:val="000000"/>
                      <w:u w:val="single"/>
                    </w:rPr>
                    <w:t>月</w:t>
                  </w:r>
                </w:p>
              </w:tc>
              <w:tc>
                <w:tcPr>
                  <w:tcW w:w="1009" w:type="dxa"/>
                  <w:tcBorders>
                    <w:top w:val="single" w:color="auto" w:sz="4" w:space="0"/>
                    <w:left w:val="single" w:color="auto" w:sz="4" w:space="0"/>
                    <w:bottom w:val="single" w:color="auto" w:sz="4" w:space="0"/>
                    <w:right w:val="single" w:color="auto" w:sz="4" w:space="0"/>
                  </w:tcBorders>
                  <w:vAlign w:val="center"/>
                </w:tcPr>
                <w:p w14:paraId="26A8A323">
                  <w:pPr>
                    <w:autoSpaceDE w:val="0"/>
                    <w:jc w:val="center"/>
                    <w:rPr>
                      <w:color w:val="000000"/>
                      <w:szCs w:val="21"/>
                      <w:u w:val="single"/>
                    </w:rPr>
                  </w:pPr>
                  <w:r>
                    <w:rPr>
                      <w:rFonts w:hint="eastAsia"/>
                      <w:color w:val="000000"/>
                      <w:u w:val="single"/>
                    </w:rPr>
                    <w:t>2.7</w:t>
                  </w:r>
                </w:p>
              </w:tc>
              <w:tc>
                <w:tcPr>
                  <w:tcW w:w="1009" w:type="dxa"/>
                  <w:tcBorders>
                    <w:top w:val="single" w:color="auto" w:sz="4" w:space="0"/>
                    <w:left w:val="single" w:color="auto" w:sz="4" w:space="0"/>
                    <w:bottom w:val="single" w:color="auto" w:sz="4" w:space="0"/>
                    <w:right w:val="single" w:color="auto" w:sz="4" w:space="0"/>
                  </w:tcBorders>
                  <w:vAlign w:val="center"/>
                </w:tcPr>
                <w:p w14:paraId="6D41C06D">
                  <w:pPr>
                    <w:autoSpaceDE w:val="0"/>
                    <w:jc w:val="center"/>
                    <w:rPr>
                      <w:color w:val="000000"/>
                      <w:szCs w:val="21"/>
                      <w:u w:val="single"/>
                    </w:rPr>
                  </w:pPr>
                  <w:r>
                    <w:rPr>
                      <w:rFonts w:hint="eastAsia" w:ascii="宋体" w:hAnsi="宋体"/>
                      <w:color w:val="000000"/>
                      <w:u w:val="single"/>
                    </w:rPr>
                    <w:t>≤</w:t>
                  </w:r>
                  <w:r>
                    <w:rPr>
                      <w:rFonts w:hint="eastAsia"/>
                      <w:color w:val="000000"/>
                      <w:u w:val="single"/>
                    </w:rPr>
                    <w:t>6</w:t>
                  </w:r>
                </w:p>
              </w:tc>
              <w:tc>
                <w:tcPr>
                  <w:tcW w:w="1009" w:type="dxa"/>
                  <w:tcBorders>
                    <w:top w:val="single" w:color="auto" w:sz="4" w:space="0"/>
                    <w:left w:val="single" w:color="auto" w:sz="4" w:space="0"/>
                    <w:bottom w:val="single" w:color="auto" w:sz="4" w:space="0"/>
                    <w:right w:val="single" w:color="auto" w:sz="4" w:space="0"/>
                  </w:tcBorders>
                  <w:vAlign w:val="center"/>
                </w:tcPr>
                <w:p w14:paraId="5440BEA3">
                  <w:pPr>
                    <w:autoSpaceDE w:val="0"/>
                    <w:jc w:val="center"/>
                    <w:rPr>
                      <w:color w:val="000000"/>
                      <w:szCs w:val="21"/>
                      <w:u w:val="single"/>
                    </w:rPr>
                  </w:pPr>
                  <w:r>
                    <w:rPr>
                      <w:rFonts w:hint="eastAsia"/>
                      <w:color w:val="000000"/>
                      <w:u w:val="single"/>
                    </w:rPr>
                    <w:t>0.45</w:t>
                  </w:r>
                </w:p>
              </w:tc>
              <w:tc>
                <w:tcPr>
                  <w:tcW w:w="1009" w:type="dxa"/>
                  <w:tcBorders>
                    <w:top w:val="single" w:color="auto" w:sz="4" w:space="0"/>
                    <w:left w:val="single" w:color="auto" w:sz="4" w:space="0"/>
                    <w:bottom w:val="single" w:color="auto" w:sz="4" w:space="0"/>
                    <w:right w:val="single" w:color="auto" w:sz="4" w:space="0"/>
                  </w:tcBorders>
                  <w:vAlign w:val="center"/>
                </w:tcPr>
                <w:p w14:paraId="1E731F57">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0F270C8F">
                  <w:pPr>
                    <w:autoSpaceDE w:val="0"/>
                    <w:jc w:val="center"/>
                    <w:rPr>
                      <w:color w:val="000000"/>
                      <w:szCs w:val="21"/>
                      <w:u w:val="single"/>
                    </w:rPr>
                  </w:pPr>
                  <w:r>
                    <w:rPr>
                      <w:rFonts w:hint="eastAsia" w:ascii="宋体" w:hAnsi="宋体"/>
                      <w:color w:val="000000"/>
                      <w:u w:val="single"/>
                    </w:rPr>
                    <w:t>达标</w:t>
                  </w:r>
                </w:p>
              </w:tc>
            </w:tr>
            <w:tr w14:paraId="4B64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7E224166">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1A073ED4">
                  <w:pPr>
                    <w:autoSpaceDE w:val="0"/>
                    <w:jc w:val="center"/>
                    <w:rPr>
                      <w:color w:val="000000"/>
                      <w:szCs w:val="21"/>
                      <w:u w:val="single"/>
                    </w:rPr>
                  </w:pPr>
                  <w:r>
                    <w:rPr>
                      <w:rFonts w:hint="eastAsia"/>
                      <w:color w:val="000000"/>
                      <w:u w:val="single"/>
                    </w:rPr>
                    <w:t>NH</w:t>
                  </w:r>
                  <w:r>
                    <w:rPr>
                      <w:rFonts w:hint="eastAsia"/>
                      <w:color w:val="000000"/>
                      <w:u w:val="single"/>
                      <w:vertAlign w:val="subscript"/>
                    </w:rPr>
                    <w:t>3</w:t>
                  </w:r>
                  <w:r>
                    <w:rPr>
                      <w:rFonts w:hint="eastAsia"/>
                      <w:color w:val="000000"/>
                      <w:u w:val="single"/>
                    </w:rPr>
                    <w:t>-N</w:t>
                  </w:r>
                </w:p>
              </w:tc>
              <w:tc>
                <w:tcPr>
                  <w:tcW w:w="1008" w:type="dxa"/>
                  <w:vMerge w:val="continue"/>
                  <w:tcBorders>
                    <w:top w:val="nil"/>
                    <w:left w:val="single" w:color="auto" w:sz="4" w:space="0"/>
                    <w:bottom w:val="single" w:color="auto" w:sz="4" w:space="0"/>
                    <w:right w:val="single" w:color="auto" w:sz="4" w:space="0"/>
                  </w:tcBorders>
                  <w:vAlign w:val="center"/>
                </w:tcPr>
                <w:p w14:paraId="0D3597CD">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1A3EECED">
                  <w:pPr>
                    <w:autoSpaceDE w:val="0"/>
                    <w:jc w:val="center"/>
                    <w:rPr>
                      <w:color w:val="000000"/>
                      <w:szCs w:val="21"/>
                      <w:u w:val="single"/>
                    </w:rPr>
                  </w:pPr>
                  <w:r>
                    <w:rPr>
                      <w:rFonts w:hint="eastAsia"/>
                      <w:color w:val="000000"/>
                      <w:u w:val="single"/>
                    </w:rPr>
                    <w:t>0.26</w:t>
                  </w:r>
                </w:p>
              </w:tc>
              <w:tc>
                <w:tcPr>
                  <w:tcW w:w="1009" w:type="dxa"/>
                  <w:tcBorders>
                    <w:top w:val="single" w:color="auto" w:sz="4" w:space="0"/>
                    <w:left w:val="single" w:color="auto" w:sz="4" w:space="0"/>
                    <w:bottom w:val="single" w:color="auto" w:sz="4" w:space="0"/>
                    <w:right w:val="single" w:color="auto" w:sz="4" w:space="0"/>
                  </w:tcBorders>
                  <w:vAlign w:val="center"/>
                </w:tcPr>
                <w:p w14:paraId="23DEB19D">
                  <w:pPr>
                    <w:autoSpaceDE w:val="0"/>
                    <w:jc w:val="center"/>
                    <w:rPr>
                      <w:color w:val="000000"/>
                      <w:szCs w:val="21"/>
                      <w:u w:val="single"/>
                    </w:rPr>
                  </w:pPr>
                  <w:r>
                    <w:rPr>
                      <w:rFonts w:hint="eastAsia" w:ascii="宋体" w:hAnsi="宋体"/>
                      <w:color w:val="000000"/>
                      <w:u w:val="single"/>
                    </w:rPr>
                    <w:t>≤</w:t>
                  </w:r>
                  <w:r>
                    <w:rPr>
                      <w:rFonts w:hint="eastAsia"/>
                      <w:color w:val="000000"/>
                      <w:u w:val="single"/>
                    </w:rPr>
                    <w:t>1</w:t>
                  </w:r>
                </w:p>
              </w:tc>
              <w:tc>
                <w:tcPr>
                  <w:tcW w:w="1009" w:type="dxa"/>
                  <w:tcBorders>
                    <w:top w:val="single" w:color="auto" w:sz="4" w:space="0"/>
                    <w:left w:val="single" w:color="auto" w:sz="4" w:space="0"/>
                    <w:bottom w:val="single" w:color="auto" w:sz="4" w:space="0"/>
                    <w:right w:val="single" w:color="auto" w:sz="4" w:space="0"/>
                  </w:tcBorders>
                  <w:vAlign w:val="center"/>
                </w:tcPr>
                <w:p w14:paraId="2C02B99C">
                  <w:pPr>
                    <w:autoSpaceDE w:val="0"/>
                    <w:jc w:val="center"/>
                    <w:rPr>
                      <w:color w:val="000000"/>
                      <w:szCs w:val="21"/>
                      <w:u w:val="single"/>
                    </w:rPr>
                  </w:pPr>
                  <w:r>
                    <w:rPr>
                      <w:rFonts w:hint="eastAsia"/>
                      <w:color w:val="000000"/>
                      <w:u w:val="single"/>
                    </w:rPr>
                    <w:t>0.26</w:t>
                  </w:r>
                </w:p>
              </w:tc>
              <w:tc>
                <w:tcPr>
                  <w:tcW w:w="1009" w:type="dxa"/>
                  <w:tcBorders>
                    <w:top w:val="single" w:color="auto" w:sz="4" w:space="0"/>
                    <w:left w:val="single" w:color="auto" w:sz="4" w:space="0"/>
                    <w:bottom w:val="single" w:color="auto" w:sz="4" w:space="0"/>
                    <w:right w:val="single" w:color="auto" w:sz="4" w:space="0"/>
                  </w:tcBorders>
                  <w:vAlign w:val="center"/>
                </w:tcPr>
                <w:p w14:paraId="7AAC35B1">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1095E82E">
                  <w:pPr>
                    <w:autoSpaceDE w:val="0"/>
                    <w:jc w:val="center"/>
                    <w:rPr>
                      <w:color w:val="000000"/>
                      <w:szCs w:val="21"/>
                      <w:u w:val="single"/>
                    </w:rPr>
                  </w:pPr>
                  <w:r>
                    <w:rPr>
                      <w:rFonts w:hint="eastAsia" w:ascii="宋体" w:hAnsi="宋体"/>
                      <w:color w:val="000000"/>
                      <w:u w:val="single"/>
                    </w:rPr>
                    <w:t>达标</w:t>
                  </w:r>
                </w:p>
              </w:tc>
            </w:tr>
            <w:tr w14:paraId="3302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tcBorders>
                    <w:top w:val="nil"/>
                    <w:left w:val="single" w:color="auto" w:sz="4" w:space="0"/>
                    <w:bottom w:val="single" w:color="auto" w:sz="4" w:space="0"/>
                    <w:right w:val="single" w:color="auto" w:sz="4" w:space="0"/>
                  </w:tcBorders>
                  <w:vAlign w:val="center"/>
                </w:tcPr>
                <w:p w14:paraId="3F28381A">
                  <w:pPr>
                    <w:widowControl/>
                    <w:jc w:val="left"/>
                    <w:rPr>
                      <w:color w:val="000000"/>
                      <w:szCs w:val="21"/>
                      <w:u w:val="single"/>
                    </w:rPr>
                  </w:pPr>
                </w:p>
              </w:tc>
              <w:tc>
                <w:tcPr>
                  <w:tcW w:w="1543" w:type="dxa"/>
                  <w:tcBorders>
                    <w:top w:val="single" w:color="auto" w:sz="4" w:space="0"/>
                    <w:left w:val="single" w:color="auto" w:sz="4" w:space="0"/>
                    <w:bottom w:val="single" w:color="auto" w:sz="4" w:space="0"/>
                    <w:right w:val="single" w:color="auto" w:sz="4" w:space="0"/>
                  </w:tcBorders>
                  <w:vAlign w:val="center"/>
                </w:tcPr>
                <w:p w14:paraId="3D81DE98">
                  <w:pPr>
                    <w:autoSpaceDE w:val="0"/>
                    <w:jc w:val="center"/>
                    <w:rPr>
                      <w:color w:val="000000"/>
                      <w:szCs w:val="21"/>
                      <w:u w:val="single"/>
                    </w:rPr>
                  </w:pPr>
                  <w:r>
                    <w:rPr>
                      <w:rFonts w:hint="eastAsia" w:ascii="宋体" w:hAnsi="宋体"/>
                      <w:color w:val="000000"/>
                      <w:u w:val="single"/>
                    </w:rPr>
                    <w:t>总磷</w:t>
                  </w:r>
                </w:p>
              </w:tc>
              <w:tc>
                <w:tcPr>
                  <w:tcW w:w="1008" w:type="dxa"/>
                  <w:vMerge w:val="continue"/>
                  <w:tcBorders>
                    <w:top w:val="nil"/>
                    <w:left w:val="single" w:color="auto" w:sz="4" w:space="0"/>
                    <w:bottom w:val="single" w:color="auto" w:sz="4" w:space="0"/>
                    <w:right w:val="single" w:color="auto" w:sz="4" w:space="0"/>
                  </w:tcBorders>
                  <w:vAlign w:val="center"/>
                </w:tcPr>
                <w:p w14:paraId="4A61FD72">
                  <w:pPr>
                    <w:widowControl/>
                    <w:jc w:val="left"/>
                    <w:rPr>
                      <w:color w:val="000000"/>
                      <w:szCs w:val="21"/>
                      <w:u w:val="single"/>
                    </w:rPr>
                  </w:pPr>
                </w:p>
              </w:tc>
              <w:tc>
                <w:tcPr>
                  <w:tcW w:w="1009" w:type="dxa"/>
                  <w:tcBorders>
                    <w:top w:val="single" w:color="auto" w:sz="4" w:space="0"/>
                    <w:left w:val="single" w:color="auto" w:sz="4" w:space="0"/>
                    <w:bottom w:val="single" w:color="auto" w:sz="4" w:space="0"/>
                    <w:right w:val="single" w:color="auto" w:sz="4" w:space="0"/>
                  </w:tcBorders>
                  <w:vAlign w:val="center"/>
                </w:tcPr>
                <w:p w14:paraId="6FC708FE">
                  <w:pPr>
                    <w:autoSpaceDE w:val="0"/>
                    <w:jc w:val="center"/>
                    <w:rPr>
                      <w:color w:val="000000"/>
                      <w:szCs w:val="21"/>
                      <w:u w:val="single"/>
                    </w:rPr>
                  </w:pPr>
                  <w:r>
                    <w:rPr>
                      <w:rFonts w:hint="eastAsia"/>
                      <w:color w:val="000000"/>
                      <w:u w:val="single"/>
                    </w:rPr>
                    <w:t>0.07</w:t>
                  </w:r>
                </w:p>
              </w:tc>
              <w:tc>
                <w:tcPr>
                  <w:tcW w:w="1009" w:type="dxa"/>
                  <w:tcBorders>
                    <w:top w:val="single" w:color="auto" w:sz="4" w:space="0"/>
                    <w:left w:val="single" w:color="auto" w:sz="4" w:space="0"/>
                    <w:bottom w:val="single" w:color="auto" w:sz="4" w:space="0"/>
                    <w:right w:val="single" w:color="auto" w:sz="4" w:space="0"/>
                  </w:tcBorders>
                  <w:vAlign w:val="center"/>
                </w:tcPr>
                <w:p w14:paraId="67D05DED">
                  <w:pPr>
                    <w:autoSpaceDE w:val="0"/>
                    <w:jc w:val="center"/>
                    <w:rPr>
                      <w:color w:val="000000"/>
                      <w:szCs w:val="21"/>
                      <w:u w:val="single"/>
                    </w:rPr>
                  </w:pPr>
                  <w:r>
                    <w:rPr>
                      <w:rFonts w:hint="eastAsia" w:ascii="宋体" w:hAnsi="宋体"/>
                      <w:color w:val="000000"/>
                      <w:u w:val="single"/>
                    </w:rPr>
                    <w:t>≤</w:t>
                  </w:r>
                  <w:r>
                    <w:rPr>
                      <w:rFonts w:hint="eastAsia"/>
                      <w:color w:val="000000"/>
                      <w:u w:val="single"/>
                    </w:rPr>
                    <w:t>0.2</w:t>
                  </w:r>
                </w:p>
              </w:tc>
              <w:tc>
                <w:tcPr>
                  <w:tcW w:w="1009" w:type="dxa"/>
                  <w:tcBorders>
                    <w:top w:val="single" w:color="auto" w:sz="4" w:space="0"/>
                    <w:left w:val="single" w:color="auto" w:sz="4" w:space="0"/>
                    <w:bottom w:val="single" w:color="auto" w:sz="4" w:space="0"/>
                    <w:right w:val="single" w:color="auto" w:sz="4" w:space="0"/>
                  </w:tcBorders>
                  <w:vAlign w:val="center"/>
                </w:tcPr>
                <w:p w14:paraId="5B8BD48E">
                  <w:pPr>
                    <w:autoSpaceDE w:val="0"/>
                    <w:jc w:val="center"/>
                    <w:rPr>
                      <w:color w:val="000000"/>
                      <w:szCs w:val="21"/>
                      <w:u w:val="single"/>
                    </w:rPr>
                  </w:pPr>
                  <w:r>
                    <w:rPr>
                      <w:rFonts w:hint="eastAsia"/>
                      <w:color w:val="000000"/>
                      <w:u w:val="single"/>
                    </w:rPr>
                    <w:t>0.35</w:t>
                  </w:r>
                </w:p>
              </w:tc>
              <w:tc>
                <w:tcPr>
                  <w:tcW w:w="1009" w:type="dxa"/>
                  <w:tcBorders>
                    <w:top w:val="single" w:color="auto" w:sz="4" w:space="0"/>
                    <w:left w:val="single" w:color="auto" w:sz="4" w:space="0"/>
                    <w:bottom w:val="single" w:color="auto" w:sz="4" w:space="0"/>
                    <w:right w:val="single" w:color="auto" w:sz="4" w:space="0"/>
                  </w:tcBorders>
                  <w:vAlign w:val="center"/>
                </w:tcPr>
                <w:p w14:paraId="35A8F298">
                  <w:pPr>
                    <w:autoSpaceDE w:val="0"/>
                    <w:jc w:val="center"/>
                    <w:rPr>
                      <w:color w:val="000000"/>
                      <w:szCs w:val="21"/>
                      <w:u w:val="single"/>
                    </w:rPr>
                  </w:pPr>
                  <w:r>
                    <w:rPr>
                      <w:rFonts w:hint="eastAsia"/>
                      <w:color w:val="000000"/>
                      <w:u w:val="single"/>
                    </w:rPr>
                    <w:t>0</w:t>
                  </w:r>
                </w:p>
              </w:tc>
              <w:tc>
                <w:tcPr>
                  <w:tcW w:w="1009" w:type="dxa"/>
                  <w:tcBorders>
                    <w:top w:val="single" w:color="auto" w:sz="4" w:space="0"/>
                    <w:left w:val="single" w:color="auto" w:sz="4" w:space="0"/>
                    <w:bottom w:val="single" w:color="auto" w:sz="4" w:space="0"/>
                    <w:right w:val="single" w:color="auto" w:sz="4" w:space="0"/>
                  </w:tcBorders>
                  <w:vAlign w:val="center"/>
                </w:tcPr>
                <w:p w14:paraId="0385765D">
                  <w:pPr>
                    <w:autoSpaceDE w:val="0"/>
                    <w:jc w:val="center"/>
                    <w:rPr>
                      <w:color w:val="000000"/>
                      <w:szCs w:val="21"/>
                      <w:u w:val="single"/>
                    </w:rPr>
                  </w:pPr>
                  <w:r>
                    <w:rPr>
                      <w:rFonts w:hint="eastAsia" w:ascii="宋体" w:hAnsi="宋体"/>
                      <w:color w:val="000000"/>
                      <w:u w:val="single"/>
                    </w:rPr>
                    <w:t>达标</w:t>
                  </w:r>
                </w:p>
              </w:tc>
            </w:tr>
          </w:tbl>
          <w:p w14:paraId="3E818814">
            <w:pPr>
              <w:spacing w:line="360" w:lineRule="auto"/>
              <w:ind w:firstLine="480" w:firstLineChars="200"/>
              <w:rPr>
                <w:color w:val="000000"/>
                <w:sz w:val="24"/>
                <w:u w:val="single"/>
              </w:rPr>
            </w:pPr>
            <w:r>
              <w:rPr>
                <w:rFonts w:hint="eastAsia" w:ascii="宋体" w:hAnsi="宋体"/>
                <w:color w:val="000000"/>
                <w:sz w:val="24"/>
                <w:u w:val="single"/>
              </w:rPr>
              <w:t>由上表可知，</w:t>
            </w:r>
            <w:r>
              <w:rPr>
                <w:rFonts w:hint="eastAsia"/>
                <w:color w:val="000000"/>
                <w:sz w:val="24"/>
                <w:u w:val="single"/>
              </w:rPr>
              <w:t>2024</w:t>
            </w:r>
            <w:r>
              <w:rPr>
                <w:rFonts w:hint="eastAsia" w:ascii="宋体" w:hAnsi="宋体"/>
                <w:color w:val="000000"/>
                <w:sz w:val="24"/>
                <w:u w:val="single"/>
              </w:rPr>
              <w:t>年马颊河南乐县水文站断面</w:t>
            </w:r>
            <w:r>
              <w:rPr>
                <w:rFonts w:hint="eastAsia"/>
                <w:color w:val="000000"/>
                <w:sz w:val="24"/>
                <w:u w:val="single"/>
              </w:rPr>
              <w:t>2</w:t>
            </w:r>
            <w:r>
              <w:rPr>
                <w:rFonts w:hint="eastAsia" w:ascii="宋体" w:hAnsi="宋体"/>
                <w:color w:val="000000"/>
                <w:sz w:val="24"/>
                <w:u w:val="single"/>
              </w:rPr>
              <w:t>月、</w:t>
            </w:r>
            <w:r>
              <w:rPr>
                <w:rFonts w:hint="eastAsia"/>
                <w:color w:val="000000"/>
                <w:sz w:val="24"/>
                <w:u w:val="single"/>
              </w:rPr>
              <w:t>7</w:t>
            </w:r>
            <w:r>
              <w:rPr>
                <w:rFonts w:hint="eastAsia" w:ascii="宋体" w:hAnsi="宋体"/>
                <w:color w:val="000000"/>
                <w:sz w:val="24"/>
                <w:u w:val="single"/>
              </w:rPr>
              <w:t>月、</w:t>
            </w:r>
            <w:r>
              <w:rPr>
                <w:rFonts w:hint="eastAsia"/>
                <w:color w:val="000000"/>
                <w:sz w:val="24"/>
                <w:u w:val="single"/>
              </w:rPr>
              <w:t>8</w:t>
            </w:r>
            <w:r>
              <w:rPr>
                <w:rFonts w:hint="eastAsia" w:ascii="宋体" w:hAnsi="宋体"/>
                <w:color w:val="000000"/>
                <w:sz w:val="24"/>
                <w:u w:val="single"/>
              </w:rPr>
              <w:t>月高锰酸盐指数超标，其他月份监测因子均满足《地表水环境质量标准》（</w:t>
            </w:r>
            <w:r>
              <w:rPr>
                <w:rFonts w:hint="eastAsia"/>
                <w:color w:val="000000"/>
                <w:sz w:val="24"/>
                <w:u w:val="single"/>
              </w:rPr>
              <w:t>GB3838-2002</w:t>
            </w:r>
            <w:r>
              <w:rPr>
                <w:rFonts w:hint="eastAsia" w:ascii="宋体" w:hAnsi="宋体"/>
                <w:color w:val="000000"/>
                <w:sz w:val="24"/>
                <w:u w:val="single"/>
              </w:rPr>
              <w:t>）Ⅲ类标准。</w:t>
            </w:r>
          </w:p>
          <w:p w14:paraId="6388EB24">
            <w:pPr>
              <w:pStyle w:val="19"/>
              <w:numPr>
                <w:ilvl w:val="0"/>
                <w:numId w:val="6"/>
              </w:numPr>
              <w:spacing w:before="0" w:after="0" w:line="360" w:lineRule="auto"/>
              <w:ind w:right="0"/>
              <w:jc w:val="center"/>
              <w:rPr>
                <w:b/>
                <w:sz w:val="21"/>
                <w:szCs w:val="21"/>
                <w:u w:val="single"/>
              </w:rPr>
            </w:pPr>
            <w:r>
              <w:rPr>
                <w:rFonts w:ascii="宋体" w:hAnsi="宋体"/>
                <w:b/>
                <w:sz w:val="21"/>
                <w:szCs w:val="21"/>
                <w:u w:val="single"/>
              </w:rPr>
              <w:t>地表水监测断面一览表</w:t>
            </w:r>
          </w:p>
          <w:tbl>
            <w:tblPr>
              <w:tblStyle w:val="3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120"/>
              <w:gridCol w:w="2042"/>
              <w:gridCol w:w="4181"/>
            </w:tblGrid>
            <w:tr w14:paraId="64E3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top w:val="single" w:color="auto" w:sz="4" w:space="0"/>
                    <w:left w:val="single" w:color="auto" w:sz="4" w:space="0"/>
                    <w:bottom w:val="single" w:color="auto" w:sz="4" w:space="0"/>
                    <w:right w:val="single" w:color="auto" w:sz="4" w:space="0"/>
                  </w:tcBorders>
                </w:tcPr>
                <w:p w14:paraId="29DCB77C">
                  <w:pPr>
                    <w:autoSpaceDE w:val="0"/>
                    <w:jc w:val="center"/>
                    <w:rPr>
                      <w:color w:val="000000"/>
                      <w:szCs w:val="21"/>
                      <w:u w:val="single"/>
                    </w:rPr>
                  </w:pPr>
                  <w:r>
                    <w:rPr>
                      <w:rFonts w:hint="eastAsia" w:ascii="宋体" w:hAnsi="宋体"/>
                      <w:color w:val="000000"/>
                      <w:u w:val="single"/>
                    </w:rPr>
                    <w:t>序号</w:t>
                  </w:r>
                </w:p>
              </w:tc>
              <w:tc>
                <w:tcPr>
                  <w:tcW w:w="1120" w:type="dxa"/>
                  <w:tcBorders>
                    <w:top w:val="single" w:color="auto" w:sz="4" w:space="0"/>
                    <w:left w:val="single" w:color="auto" w:sz="4" w:space="0"/>
                    <w:bottom w:val="single" w:color="auto" w:sz="4" w:space="0"/>
                    <w:right w:val="single" w:color="auto" w:sz="4" w:space="0"/>
                  </w:tcBorders>
                  <w:vAlign w:val="center"/>
                </w:tcPr>
                <w:p w14:paraId="63224587">
                  <w:pPr>
                    <w:autoSpaceDE w:val="0"/>
                    <w:jc w:val="center"/>
                    <w:rPr>
                      <w:color w:val="000000"/>
                      <w:szCs w:val="21"/>
                      <w:u w:val="single"/>
                    </w:rPr>
                  </w:pPr>
                  <w:r>
                    <w:rPr>
                      <w:rFonts w:hint="eastAsia" w:ascii="宋体" w:hAnsi="宋体"/>
                      <w:color w:val="000000"/>
                      <w:u w:val="single"/>
                    </w:rPr>
                    <w:t>水体名称</w:t>
                  </w:r>
                </w:p>
              </w:tc>
              <w:tc>
                <w:tcPr>
                  <w:tcW w:w="2042" w:type="dxa"/>
                  <w:tcBorders>
                    <w:top w:val="single" w:color="auto" w:sz="4" w:space="0"/>
                    <w:left w:val="single" w:color="auto" w:sz="4" w:space="0"/>
                    <w:bottom w:val="single" w:color="auto" w:sz="4" w:space="0"/>
                    <w:right w:val="single" w:color="auto" w:sz="4" w:space="0"/>
                  </w:tcBorders>
                </w:tcPr>
                <w:p w14:paraId="0539973F">
                  <w:pPr>
                    <w:autoSpaceDE w:val="0"/>
                    <w:jc w:val="center"/>
                    <w:rPr>
                      <w:color w:val="000000"/>
                      <w:szCs w:val="21"/>
                      <w:u w:val="single"/>
                    </w:rPr>
                  </w:pPr>
                  <w:r>
                    <w:rPr>
                      <w:rFonts w:hint="eastAsia" w:ascii="宋体" w:hAnsi="宋体"/>
                      <w:color w:val="000000"/>
                      <w:u w:val="single"/>
                    </w:rPr>
                    <w:t>断面位置</w:t>
                  </w:r>
                </w:p>
              </w:tc>
              <w:tc>
                <w:tcPr>
                  <w:tcW w:w="4181" w:type="dxa"/>
                  <w:tcBorders>
                    <w:top w:val="single" w:color="auto" w:sz="4" w:space="0"/>
                    <w:left w:val="single" w:color="auto" w:sz="4" w:space="0"/>
                    <w:bottom w:val="single" w:color="auto" w:sz="4" w:space="0"/>
                    <w:right w:val="single" w:color="auto" w:sz="4" w:space="0"/>
                  </w:tcBorders>
                </w:tcPr>
                <w:p w14:paraId="6054306C">
                  <w:pPr>
                    <w:autoSpaceDE w:val="0"/>
                    <w:jc w:val="center"/>
                    <w:rPr>
                      <w:color w:val="000000"/>
                      <w:szCs w:val="21"/>
                      <w:u w:val="single"/>
                    </w:rPr>
                  </w:pPr>
                  <w:r>
                    <w:rPr>
                      <w:rFonts w:hint="eastAsia" w:ascii="宋体" w:hAnsi="宋体"/>
                      <w:color w:val="000000"/>
                      <w:u w:val="single"/>
                    </w:rPr>
                    <w:t>监测因子</w:t>
                  </w:r>
                </w:p>
              </w:tc>
            </w:tr>
            <w:tr w14:paraId="5634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top w:val="single" w:color="auto" w:sz="4" w:space="0"/>
                    <w:left w:val="single" w:color="auto" w:sz="4" w:space="0"/>
                    <w:bottom w:val="single" w:color="auto" w:sz="4" w:space="0"/>
                    <w:right w:val="single" w:color="auto" w:sz="4" w:space="0"/>
                  </w:tcBorders>
                </w:tcPr>
                <w:p w14:paraId="3831DCE6">
                  <w:pPr>
                    <w:autoSpaceDE w:val="0"/>
                    <w:jc w:val="center"/>
                    <w:rPr>
                      <w:color w:val="000000"/>
                      <w:szCs w:val="21"/>
                      <w:u w:val="single"/>
                    </w:rPr>
                  </w:pPr>
                  <w:r>
                    <w:rPr>
                      <w:rFonts w:hint="eastAsia"/>
                      <w:color w:val="000000"/>
                      <w:u w:val="single"/>
                    </w:rPr>
                    <w:t>W1</w:t>
                  </w:r>
                </w:p>
              </w:tc>
              <w:tc>
                <w:tcPr>
                  <w:tcW w:w="1120" w:type="dxa"/>
                  <w:vMerge w:val="restart"/>
                  <w:tcBorders>
                    <w:top w:val="nil"/>
                    <w:left w:val="single" w:color="auto" w:sz="4" w:space="0"/>
                    <w:bottom w:val="single" w:color="auto" w:sz="4" w:space="0"/>
                    <w:right w:val="single" w:color="auto" w:sz="4" w:space="0"/>
                  </w:tcBorders>
                  <w:vAlign w:val="center"/>
                </w:tcPr>
                <w:p w14:paraId="0712A54C">
                  <w:pPr>
                    <w:autoSpaceDE w:val="0"/>
                    <w:jc w:val="center"/>
                    <w:rPr>
                      <w:color w:val="000000"/>
                      <w:szCs w:val="21"/>
                      <w:u w:val="single"/>
                    </w:rPr>
                  </w:pPr>
                  <w:r>
                    <w:rPr>
                      <w:rFonts w:hint="eastAsia" w:ascii="宋体" w:hAnsi="宋体"/>
                      <w:color w:val="000000"/>
                      <w:u w:val="single"/>
                    </w:rPr>
                    <w:t>潴泷河</w:t>
                  </w:r>
                </w:p>
              </w:tc>
              <w:tc>
                <w:tcPr>
                  <w:tcW w:w="2042" w:type="dxa"/>
                  <w:tcBorders>
                    <w:top w:val="single" w:color="auto" w:sz="4" w:space="0"/>
                    <w:left w:val="single" w:color="auto" w:sz="4" w:space="0"/>
                    <w:bottom w:val="single" w:color="auto" w:sz="4" w:space="0"/>
                    <w:right w:val="single" w:color="auto" w:sz="4" w:space="0"/>
                  </w:tcBorders>
                </w:tcPr>
                <w:p w14:paraId="74DD6E07">
                  <w:pPr>
                    <w:autoSpaceDE w:val="0"/>
                    <w:jc w:val="center"/>
                    <w:rPr>
                      <w:color w:val="000000"/>
                      <w:szCs w:val="21"/>
                      <w:u w:val="single"/>
                    </w:rPr>
                  </w:pPr>
                  <w:r>
                    <w:rPr>
                      <w:rFonts w:hint="eastAsia" w:ascii="宋体" w:hAnsi="宋体"/>
                      <w:color w:val="000000"/>
                      <w:u w:val="single"/>
                    </w:rPr>
                    <w:t>排污口上游</w:t>
                  </w:r>
                  <w:r>
                    <w:rPr>
                      <w:rFonts w:hint="eastAsia"/>
                      <w:color w:val="000000"/>
                      <w:u w:val="single"/>
                    </w:rPr>
                    <w:t>500m</w:t>
                  </w:r>
                </w:p>
              </w:tc>
              <w:tc>
                <w:tcPr>
                  <w:tcW w:w="4181" w:type="dxa"/>
                  <w:vMerge w:val="restart"/>
                  <w:tcBorders>
                    <w:top w:val="nil"/>
                    <w:left w:val="single" w:color="auto" w:sz="4" w:space="0"/>
                    <w:bottom w:val="single" w:color="auto" w:sz="4" w:space="0"/>
                    <w:right w:val="single" w:color="auto" w:sz="4" w:space="0"/>
                  </w:tcBorders>
                </w:tcPr>
                <w:p w14:paraId="24E3C182">
                  <w:pPr>
                    <w:autoSpaceDE w:val="0"/>
                    <w:jc w:val="center"/>
                    <w:rPr>
                      <w:color w:val="000000"/>
                      <w:szCs w:val="21"/>
                      <w:u w:val="single"/>
                    </w:rPr>
                  </w:pPr>
                  <w:r>
                    <w:rPr>
                      <w:color w:val="000000"/>
                      <w:u w:val="single"/>
                    </w:rPr>
                    <w:t>pH</w:t>
                  </w:r>
                  <w:r>
                    <w:rPr>
                      <w:rFonts w:ascii="宋体" w:hAnsi="宋体"/>
                      <w:color w:val="000000"/>
                      <w:u w:val="single"/>
                    </w:rPr>
                    <w:t>、</w:t>
                  </w:r>
                  <w:r>
                    <w:rPr>
                      <w:color w:val="000000"/>
                      <w:u w:val="single"/>
                    </w:rPr>
                    <w:t>COD</w:t>
                  </w:r>
                  <w:r>
                    <w:rPr>
                      <w:rFonts w:ascii="宋体" w:hAnsi="宋体"/>
                      <w:color w:val="000000"/>
                      <w:u w:val="single"/>
                    </w:rPr>
                    <w:t>、</w:t>
                  </w:r>
                  <w:r>
                    <w:rPr>
                      <w:color w:val="000000"/>
                      <w:u w:val="single"/>
                    </w:rPr>
                    <w:t>BOD</w:t>
                  </w:r>
                  <w:r>
                    <w:rPr>
                      <w:color w:val="000000"/>
                      <w:u w:val="single"/>
                      <w:vertAlign w:val="subscript"/>
                    </w:rPr>
                    <w:t>5</w:t>
                  </w:r>
                  <w:r>
                    <w:rPr>
                      <w:rFonts w:ascii="宋体" w:hAnsi="宋体"/>
                      <w:color w:val="000000"/>
                      <w:u w:val="single"/>
                    </w:rPr>
                    <w:t>、</w:t>
                  </w:r>
                  <w:r>
                    <w:rPr>
                      <w:color w:val="000000"/>
                      <w:u w:val="single"/>
                    </w:rPr>
                    <w:t>SS</w:t>
                  </w:r>
                  <w:r>
                    <w:rPr>
                      <w:rFonts w:ascii="宋体" w:hAnsi="宋体"/>
                      <w:color w:val="000000"/>
                      <w:u w:val="single"/>
                    </w:rPr>
                    <w:t>、</w:t>
                  </w:r>
                  <w:r>
                    <w:rPr>
                      <w:color w:val="000000"/>
                      <w:u w:val="single"/>
                    </w:rPr>
                    <w:t>NH</w:t>
                  </w:r>
                  <w:r>
                    <w:rPr>
                      <w:color w:val="000000"/>
                      <w:u w:val="single"/>
                      <w:vertAlign w:val="subscript"/>
                    </w:rPr>
                    <w:t>3</w:t>
                  </w:r>
                  <w:r>
                    <w:rPr>
                      <w:color w:val="000000"/>
                      <w:u w:val="single"/>
                    </w:rPr>
                    <w:t>-N</w:t>
                  </w:r>
                  <w:r>
                    <w:rPr>
                      <w:rFonts w:ascii="宋体" w:hAnsi="宋体"/>
                      <w:color w:val="000000"/>
                      <w:u w:val="single"/>
                    </w:rPr>
                    <w:t>、</w:t>
                  </w:r>
                  <w:r>
                    <w:rPr>
                      <w:color w:val="000000"/>
                      <w:u w:val="single"/>
                    </w:rPr>
                    <w:t>TP</w:t>
                  </w:r>
                  <w:r>
                    <w:rPr>
                      <w:rFonts w:ascii="宋体" w:hAnsi="宋体"/>
                      <w:color w:val="000000"/>
                      <w:u w:val="single"/>
                    </w:rPr>
                    <w:t>、</w:t>
                  </w:r>
                  <w:r>
                    <w:rPr>
                      <w:color w:val="000000"/>
                      <w:u w:val="single"/>
                    </w:rPr>
                    <w:t>TN</w:t>
                  </w:r>
                  <w:r>
                    <w:rPr>
                      <w:rFonts w:ascii="宋体" w:hAnsi="宋体"/>
                      <w:color w:val="000000"/>
                      <w:u w:val="single"/>
                    </w:rPr>
                    <w:t>、挥发酚、氟化物、硫化物、氰化物、六价铬、阴离子表面活性剂、石油类</w:t>
                  </w:r>
                </w:p>
              </w:tc>
            </w:tr>
            <w:tr w14:paraId="29DC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top w:val="single" w:color="auto" w:sz="4" w:space="0"/>
                    <w:left w:val="single" w:color="auto" w:sz="4" w:space="0"/>
                    <w:bottom w:val="single" w:color="auto" w:sz="4" w:space="0"/>
                    <w:right w:val="single" w:color="auto" w:sz="4" w:space="0"/>
                  </w:tcBorders>
                </w:tcPr>
                <w:p w14:paraId="63750F19">
                  <w:pPr>
                    <w:autoSpaceDE w:val="0"/>
                    <w:jc w:val="center"/>
                    <w:rPr>
                      <w:color w:val="000000"/>
                      <w:szCs w:val="21"/>
                      <w:u w:val="single"/>
                    </w:rPr>
                  </w:pPr>
                  <w:r>
                    <w:rPr>
                      <w:rFonts w:hint="eastAsia"/>
                      <w:color w:val="000000"/>
                      <w:u w:val="single"/>
                    </w:rPr>
                    <w:t>W2</w:t>
                  </w:r>
                </w:p>
              </w:tc>
              <w:tc>
                <w:tcPr>
                  <w:tcW w:w="1120" w:type="dxa"/>
                  <w:vMerge w:val="continue"/>
                  <w:tcBorders>
                    <w:top w:val="nil"/>
                    <w:left w:val="single" w:color="auto" w:sz="4" w:space="0"/>
                    <w:bottom w:val="single" w:color="auto" w:sz="4" w:space="0"/>
                    <w:right w:val="single" w:color="auto" w:sz="4" w:space="0"/>
                  </w:tcBorders>
                  <w:vAlign w:val="center"/>
                </w:tcPr>
                <w:p w14:paraId="458D7E38">
                  <w:pPr>
                    <w:widowControl/>
                    <w:jc w:val="left"/>
                    <w:rPr>
                      <w:color w:val="000000"/>
                      <w:szCs w:val="21"/>
                      <w:u w:val="single"/>
                    </w:rPr>
                  </w:pPr>
                </w:p>
              </w:tc>
              <w:tc>
                <w:tcPr>
                  <w:tcW w:w="2042" w:type="dxa"/>
                  <w:tcBorders>
                    <w:top w:val="single" w:color="auto" w:sz="4" w:space="0"/>
                    <w:left w:val="single" w:color="auto" w:sz="4" w:space="0"/>
                    <w:bottom w:val="single" w:color="auto" w:sz="4" w:space="0"/>
                    <w:right w:val="single" w:color="auto" w:sz="4" w:space="0"/>
                  </w:tcBorders>
                </w:tcPr>
                <w:p w14:paraId="76F9C4AB">
                  <w:pPr>
                    <w:autoSpaceDE w:val="0"/>
                    <w:jc w:val="center"/>
                    <w:rPr>
                      <w:color w:val="000000"/>
                      <w:szCs w:val="21"/>
                      <w:u w:val="single"/>
                    </w:rPr>
                  </w:pPr>
                  <w:r>
                    <w:rPr>
                      <w:rFonts w:hint="eastAsia" w:ascii="宋体" w:hAnsi="宋体"/>
                      <w:color w:val="000000"/>
                      <w:u w:val="single"/>
                    </w:rPr>
                    <w:t>排污口</w:t>
                  </w:r>
                </w:p>
              </w:tc>
              <w:tc>
                <w:tcPr>
                  <w:tcW w:w="4181" w:type="dxa"/>
                  <w:vMerge w:val="continue"/>
                  <w:tcBorders>
                    <w:top w:val="nil"/>
                    <w:left w:val="single" w:color="auto" w:sz="4" w:space="0"/>
                    <w:bottom w:val="single" w:color="auto" w:sz="4" w:space="0"/>
                    <w:right w:val="single" w:color="auto" w:sz="4" w:space="0"/>
                  </w:tcBorders>
                  <w:vAlign w:val="center"/>
                </w:tcPr>
                <w:p w14:paraId="46EF9CCC">
                  <w:pPr>
                    <w:widowControl/>
                    <w:jc w:val="left"/>
                    <w:rPr>
                      <w:color w:val="000000"/>
                      <w:szCs w:val="21"/>
                      <w:u w:val="single"/>
                    </w:rPr>
                  </w:pPr>
                </w:p>
              </w:tc>
            </w:tr>
            <w:tr w14:paraId="5846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top w:val="single" w:color="auto" w:sz="4" w:space="0"/>
                    <w:left w:val="single" w:color="auto" w:sz="4" w:space="0"/>
                    <w:bottom w:val="single" w:color="auto" w:sz="4" w:space="0"/>
                    <w:right w:val="single" w:color="auto" w:sz="4" w:space="0"/>
                  </w:tcBorders>
                </w:tcPr>
                <w:p w14:paraId="3D7BF0B8">
                  <w:pPr>
                    <w:autoSpaceDE w:val="0"/>
                    <w:jc w:val="center"/>
                    <w:rPr>
                      <w:color w:val="000000"/>
                      <w:szCs w:val="21"/>
                      <w:u w:val="single"/>
                    </w:rPr>
                  </w:pPr>
                  <w:r>
                    <w:rPr>
                      <w:rFonts w:hint="eastAsia"/>
                      <w:color w:val="000000"/>
                      <w:u w:val="single"/>
                    </w:rPr>
                    <w:t>W3</w:t>
                  </w:r>
                </w:p>
              </w:tc>
              <w:tc>
                <w:tcPr>
                  <w:tcW w:w="1120" w:type="dxa"/>
                  <w:vMerge w:val="continue"/>
                  <w:tcBorders>
                    <w:top w:val="nil"/>
                    <w:left w:val="single" w:color="auto" w:sz="4" w:space="0"/>
                    <w:bottom w:val="single" w:color="auto" w:sz="4" w:space="0"/>
                    <w:right w:val="single" w:color="auto" w:sz="4" w:space="0"/>
                  </w:tcBorders>
                  <w:vAlign w:val="center"/>
                </w:tcPr>
                <w:p w14:paraId="0481E076">
                  <w:pPr>
                    <w:widowControl/>
                    <w:jc w:val="left"/>
                    <w:rPr>
                      <w:color w:val="000000"/>
                      <w:szCs w:val="21"/>
                      <w:u w:val="single"/>
                    </w:rPr>
                  </w:pPr>
                </w:p>
              </w:tc>
              <w:tc>
                <w:tcPr>
                  <w:tcW w:w="2042" w:type="dxa"/>
                  <w:tcBorders>
                    <w:top w:val="single" w:color="auto" w:sz="4" w:space="0"/>
                    <w:left w:val="single" w:color="auto" w:sz="4" w:space="0"/>
                    <w:bottom w:val="single" w:color="auto" w:sz="4" w:space="0"/>
                    <w:right w:val="single" w:color="auto" w:sz="4" w:space="0"/>
                  </w:tcBorders>
                </w:tcPr>
                <w:p w14:paraId="655FB803">
                  <w:pPr>
                    <w:autoSpaceDE w:val="0"/>
                    <w:jc w:val="center"/>
                    <w:rPr>
                      <w:color w:val="000000"/>
                      <w:szCs w:val="21"/>
                      <w:u w:val="single"/>
                    </w:rPr>
                  </w:pPr>
                  <w:r>
                    <w:rPr>
                      <w:rFonts w:hint="eastAsia" w:ascii="宋体" w:hAnsi="宋体"/>
                      <w:color w:val="000000"/>
                      <w:u w:val="single"/>
                    </w:rPr>
                    <w:t>排污口下游</w:t>
                  </w:r>
                  <w:r>
                    <w:rPr>
                      <w:rFonts w:hint="eastAsia"/>
                      <w:color w:val="000000"/>
                      <w:u w:val="single"/>
                    </w:rPr>
                    <w:t>1500m</w:t>
                  </w:r>
                </w:p>
              </w:tc>
              <w:tc>
                <w:tcPr>
                  <w:tcW w:w="4181" w:type="dxa"/>
                  <w:vMerge w:val="continue"/>
                  <w:tcBorders>
                    <w:top w:val="nil"/>
                    <w:left w:val="single" w:color="auto" w:sz="4" w:space="0"/>
                    <w:bottom w:val="single" w:color="auto" w:sz="4" w:space="0"/>
                    <w:right w:val="single" w:color="auto" w:sz="4" w:space="0"/>
                  </w:tcBorders>
                  <w:vAlign w:val="center"/>
                </w:tcPr>
                <w:p w14:paraId="193B4396">
                  <w:pPr>
                    <w:widowControl/>
                    <w:jc w:val="left"/>
                    <w:rPr>
                      <w:color w:val="000000"/>
                      <w:szCs w:val="21"/>
                      <w:u w:val="single"/>
                    </w:rPr>
                  </w:pPr>
                </w:p>
              </w:tc>
            </w:tr>
          </w:tbl>
          <w:p w14:paraId="7E978DFF">
            <w:pPr>
              <w:pStyle w:val="19"/>
              <w:numPr>
                <w:ilvl w:val="0"/>
                <w:numId w:val="6"/>
              </w:numPr>
              <w:spacing w:before="0" w:after="0" w:line="360" w:lineRule="auto"/>
              <w:ind w:right="0"/>
              <w:jc w:val="center"/>
              <w:rPr>
                <w:b/>
                <w:sz w:val="21"/>
                <w:szCs w:val="21"/>
                <w:u w:val="single"/>
              </w:rPr>
            </w:pPr>
            <w:r>
              <w:rPr>
                <w:rFonts w:ascii="宋体" w:hAnsi="宋体"/>
                <w:b/>
                <w:sz w:val="21"/>
                <w:szCs w:val="21"/>
                <w:u w:val="single"/>
              </w:rPr>
              <w:t>地表水环境现状监测结果一览表</w:t>
            </w:r>
          </w:p>
          <w:tbl>
            <w:tblPr>
              <w:tblStyle w:val="39"/>
              <w:tblW w:w="807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516"/>
              <w:gridCol w:w="1142"/>
              <w:gridCol w:w="600"/>
              <w:gridCol w:w="773"/>
              <w:gridCol w:w="866"/>
              <w:gridCol w:w="784"/>
              <w:gridCol w:w="732"/>
            </w:tblGrid>
            <w:tr w14:paraId="512D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op w:val="single" w:color="auto" w:sz="4" w:space="0"/>
                    <w:left w:val="single" w:color="auto" w:sz="4" w:space="0"/>
                    <w:bottom w:val="single" w:color="auto" w:sz="4" w:space="0"/>
                    <w:right w:val="single" w:color="auto" w:sz="4" w:space="0"/>
                  </w:tcBorders>
                  <w:vAlign w:val="center"/>
                </w:tcPr>
                <w:p w14:paraId="665E29FF">
                  <w:pPr>
                    <w:autoSpaceDE w:val="0"/>
                    <w:jc w:val="center"/>
                    <w:rPr>
                      <w:color w:val="000000"/>
                      <w:szCs w:val="21"/>
                      <w:u w:val="single"/>
                    </w:rPr>
                  </w:pPr>
                  <w:r>
                    <w:rPr>
                      <w:rFonts w:hint="eastAsia" w:ascii="宋体" w:hAnsi="宋体"/>
                      <w:color w:val="000000"/>
                      <w:u w:val="single"/>
                    </w:rPr>
                    <w:t>断面名称</w:t>
                  </w:r>
                </w:p>
              </w:tc>
              <w:tc>
                <w:tcPr>
                  <w:tcW w:w="2516" w:type="dxa"/>
                  <w:tcBorders>
                    <w:top w:val="single" w:color="auto" w:sz="4" w:space="0"/>
                    <w:left w:val="single" w:color="auto" w:sz="4" w:space="0"/>
                    <w:bottom w:val="single" w:color="auto" w:sz="4" w:space="0"/>
                    <w:right w:val="single" w:color="auto" w:sz="4" w:space="0"/>
                  </w:tcBorders>
                  <w:vAlign w:val="center"/>
                </w:tcPr>
                <w:p w14:paraId="446FF766">
                  <w:pPr>
                    <w:autoSpaceDE w:val="0"/>
                    <w:jc w:val="center"/>
                    <w:rPr>
                      <w:color w:val="000000"/>
                      <w:szCs w:val="21"/>
                      <w:u w:val="single"/>
                    </w:rPr>
                  </w:pPr>
                  <w:r>
                    <w:rPr>
                      <w:rFonts w:hint="eastAsia" w:ascii="宋体" w:hAnsi="宋体"/>
                      <w:color w:val="000000"/>
                      <w:u w:val="single"/>
                    </w:rPr>
                    <w:t>检测项目</w:t>
                  </w:r>
                </w:p>
              </w:tc>
              <w:tc>
                <w:tcPr>
                  <w:tcW w:w="1142" w:type="dxa"/>
                  <w:tcBorders>
                    <w:top w:val="single" w:color="auto" w:sz="4" w:space="0"/>
                    <w:left w:val="single" w:color="auto" w:sz="4" w:space="0"/>
                    <w:bottom w:val="single" w:color="auto" w:sz="4" w:space="0"/>
                    <w:right w:val="single" w:color="auto" w:sz="4" w:space="0"/>
                  </w:tcBorders>
                  <w:vAlign w:val="center"/>
                </w:tcPr>
                <w:p w14:paraId="0AC7A7BD">
                  <w:pPr>
                    <w:autoSpaceDE w:val="0"/>
                    <w:jc w:val="center"/>
                    <w:rPr>
                      <w:color w:val="000000"/>
                      <w:szCs w:val="21"/>
                      <w:u w:val="single"/>
                    </w:rPr>
                  </w:pPr>
                  <w:r>
                    <w:rPr>
                      <w:rFonts w:hint="eastAsia" w:ascii="宋体" w:hAnsi="宋体"/>
                      <w:color w:val="000000"/>
                      <w:u w:val="single"/>
                    </w:rPr>
                    <w:t>监测值范围</w:t>
                  </w:r>
                </w:p>
              </w:tc>
              <w:tc>
                <w:tcPr>
                  <w:tcW w:w="600" w:type="dxa"/>
                  <w:tcBorders>
                    <w:top w:val="single" w:color="auto" w:sz="4" w:space="0"/>
                    <w:left w:val="single" w:color="auto" w:sz="4" w:space="0"/>
                    <w:bottom w:val="single" w:color="auto" w:sz="4" w:space="0"/>
                    <w:right w:val="single" w:color="auto" w:sz="4" w:space="0"/>
                  </w:tcBorders>
                  <w:vAlign w:val="center"/>
                </w:tcPr>
                <w:p w14:paraId="65F0252A">
                  <w:pPr>
                    <w:autoSpaceDE w:val="0"/>
                    <w:jc w:val="center"/>
                    <w:rPr>
                      <w:color w:val="000000"/>
                      <w:szCs w:val="21"/>
                      <w:u w:val="single"/>
                    </w:rPr>
                  </w:pPr>
                  <w:r>
                    <w:rPr>
                      <w:rFonts w:hint="eastAsia" w:ascii="宋体" w:hAnsi="宋体"/>
                      <w:color w:val="000000"/>
                      <w:u w:val="single"/>
                    </w:rPr>
                    <w:t>均值</w:t>
                  </w:r>
                </w:p>
              </w:tc>
              <w:tc>
                <w:tcPr>
                  <w:tcW w:w="773" w:type="dxa"/>
                  <w:tcBorders>
                    <w:top w:val="single" w:color="auto" w:sz="4" w:space="0"/>
                    <w:left w:val="single" w:color="auto" w:sz="4" w:space="0"/>
                    <w:bottom w:val="single" w:color="auto" w:sz="4" w:space="0"/>
                    <w:right w:val="single" w:color="auto" w:sz="4" w:space="0"/>
                  </w:tcBorders>
                  <w:vAlign w:val="center"/>
                </w:tcPr>
                <w:p w14:paraId="41B20A29">
                  <w:pPr>
                    <w:autoSpaceDE w:val="0"/>
                    <w:jc w:val="center"/>
                    <w:rPr>
                      <w:color w:val="000000"/>
                      <w:szCs w:val="21"/>
                      <w:u w:val="single"/>
                    </w:rPr>
                  </w:pPr>
                  <w:r>
                    <w:rPr>
                      <w:rFonts w:hint="eastAsia" w:ascii="宋体" w:hAnsi="宋体"/>
                      <w:color w:val="000000"/>
                      <w:u w:val="single"/>
                    </w:rPr>
                    <w:t>均值标准指数</w:t>
                  </w:r>
                </w:p>
              </w:tc>
              <w:tc>
                <w:tcPr>
                  <w:tcW w:w="866" w:type="dxa"/>
                  <w:tcBorders>
                    <w:top w:val="single" w:color="auto" w:sz="4" w:space="0"/>
                    <w:left w:val="single" w:color="auto" w:sz="4" w:space="0"/>
                    <w:bottom w:val="single" w:color="auto" w:sz="4" w:space="0"/>
                    <w:right w:val="single" w:color="auto" w:sz="4" w:space="0"/>
                  </w:tcBorders>
                  <w:vAlign w:val="center"/>
                </w:tcPr>
                <w:p w14:paraId="71C8EDA9">
                  <w:pPr>
                    <w:autoSpaceDE w:val="0"/>
                    <w:jc w:val="center"/>
                    <w:rPr>
                      <w:color w:val="000000"/>
                      <w:szCs w:val="21"/>
                      <w:u w:val="single"/>
                    </w:rPr>
                  </w:pPr>
                  <w:r>
                    <w:rPr>
                      <w:rFonts w:hint="eastAsia" w:ascii="宋体" w:hAnsi="宋体"/>
                      <w:color w:val="000000"/>
                      <w:u w:val="single"/>
                    </w:rPr>
                    <w:t>最大标准指数</w:t>
                  </w:r>
                </w:p>
              </w:tc>
              <w:tc>
                <w:tcPr>
                  <w:tcW w:w="784" w:type="dxa"/>
                  <w:tcBorders>
                    <w:top w:val="single" w:color="auto" w:sz="4" w:space="0"/>
                    <w:left w:val="single" w:color="auto" w:sz="4" w:space="0"/>
                    <w:bottom w:val="single" w:color="auto" w:sz="4" w:space="0"/>
                    <w:right w:val="single" w:color="auto" w:sz="4" w:space="0"/>
                  </w:tcBorders>
                  <w:vAlign w:val="center"/>
                </w:tcPr>
                <w:p w14:paraId="03DB01D5">
                  <w:pPr>
                    <w:autoSpaceDE w:val="0"/>
                    <w:jc w:val="center"/>
                    <w:rPr>
                      <w:color w:val="000000"/>
                      <w:szCs w:val="21"/>
                      <w:u w:val="single"/>
                    </w:rPr>
                  </w:pPr>
                  <w:r>
                    <w:rPr>
                      <w:rFonts w:hint="eastAsia" w:ascii="宋体" w:hAnsi="宋体"/>
                      <w:color w:val="000000"/>
                      <w:u w:val="single"/>
                    </w:rPr>
                    <w:t>评价标准</w:t>
                  </w:r>
                </w:p>
              </w:tc>
              <w:tc>
                <w:tcPr>
                  <w:tcW w:w="732" w:type="dxa"/>
                  <w:tcBorders>
                    <w:top w:val="single" w:color="auto" w:sz="4" w:space="0"/>
                    <w:left w:val="single" w:color="auto" w:sz="4" w:space="0"/>
                    <w:bottom w:val="single" w:color="auto" w:sz="4" w:space="0"/>
                    <w:right w:val="single" w:color="auto" w:sz="4" w:space="0"/>
                  </w:tcBorders>
                  <w:vAlign w:val="center"/>
                </w:tcPr>
                <w:p w14:paraId="28B742CB">
                  <w:pPr>
                    <w:autoSpaceDE w:val="0"/>
                    <w:jc w:val="center"/>
                    <w:rPr>
                      <w:color w:val="000000"/>
                      <w:szCs w:val="21"/>
                      <w:u w:val="single"/>
                    </w:rPr>
                  </w:pPr>
                  <w:r>
                    <w:rPr>
                      <w:rFonts w:hint="eastAsia" w:ascii="宋体" w:hAnsi="宋体"/>
                      <w:color w:val="000000"/>
                      <w:u w:val="single"/>
                    </w:rPr>
                    <w:t>达标情况</w:t>
                  </w:r>
                </w:p>
              </w:tc>
            </w:tr>
            <w:tr w14:paraId="070A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tcBorders>
                    <w:top w:val="nil"/>
                    <w:left w:val="single" w:color="auto" w:sz="4" w:space="0"/>
                    <w:bottom w:val="single" w:color="auto" w:sz="4" w:space="0"/>
                    <w:right w:val="single" w:color="auto" w:sz="4" w:space="0"/>
                  </w:tcBorders>
                  <w:vAlign w:val="center"/>
                </w:tcPr>
                <w:p w14:paraId="3892DE13">
                  <w:pPr>
                    <w:autoSpaceDE w:val="0"/>
                    <w:jc w:val="center"/>
                    <w:rPr>
                      <w:color w:val="000000"/>
                      <w:szCs w:val="21"/>
                      <w:u w:val="single"/>
                    </w:rPr>
                  </w:pPr>
                  <w:r>
                    <w:rPr>
                      <w:rFonts w:hint="eastAsia"/>
                      <w:color w:val="000000"/>
                      <w:u w:val="single"/>
                    </w:rPr>
                    <w:t>W1</w:t>
                  </w:r>
                  <w:r>
                    <w:rPr>
                      <w:rFonts w:hint="eastAsia" w:ascii="宋体" w:hAnsi="宋体"/>
                      <w:color w:val="000000"/>
                      <w:u w:val="single"/>
                    </w:rPr>
                    <w:t>潴泷河排污口上游</w:t>
                  </w:r>
                  <w:r>
                    <w:rPr>
                      <w:rFonts w:hint="eastAsia"/>
                      <w:color w:val="000000"/>
                      <w:u w:val="single"/>
                    </w:rPr>
                    <w:t>500m</w:t>
                  </w:r>
                </w:p>
              </w:tc>
              <w:tc>
                <w:tcPr>
                  <w:tcW w:w="2516" w:type="dxa"/>
                  <w:tcBorders>
                    <w:top w:val="single" w:color="auto" w:sz="4" w:space="0"/>
                    <w:left w:val="single" w:color="auto" w:sz="4" w:space="0"/>
                    <w:bottom w:val="single" w:color="auto" w:sz="4" w:space="0"/>
                    <w:right w:val="single" w:color="auto" w:sz="4" w:space="0"/>
                  </w:tcBorders>
                  <w:vAlign w:val="center"/>
                </w:tcPr>
                <w:p w14:paraId="4C414520">
                  <w:pPr>
                    <w:autoSpaceDE w:val="0"/>
                    <w:jc w:val="center"/>
                    <w:rPr>
                      <w:color w:val="000000"/>
                      <w:szCs w:val="21"/>
                      <w:u w:val="single"/>
                    </w:rPr>
                  </w:pPr>
                  <w:r>
                    <w:rPr>
                      <w:rFonts w:hint="eastAsia"/>
                      <w:color w:val="000000"/>
                      <w:u w:val="single"/>
                    </w:rPr>
                    <w:t>pH</w:t>
                  </w:r>
                  <w:r>
                    <w:rPr>
                      <w:rFonts w:hint="eastAsia" w:ascii="宋体" w:hAnsi="宋体"/>
                      <w:color w:val="000000"/>
                      <w:u w:val="single"/>
                    </w:rPr>
                    <w:t>（无量纲）</w:t>
                  </w:r>
                </w:p>
              </w:tc>
              <w:tc>
                <w:tcPr>
                  <w:tcW w:w="1142" w:type="dxa"/>
                  <w:tcBorders>
                    <w:top w:val="single" w:color="auto" w:sz="4" w:space="0"/>
                    <w:left w:val="single" w:color="auto" w:sz="4" w:space="0"/>
                    <w:bottom w:val="single" w:color="auto" w:sz="4" w:space="0"/>
                    <w:right w:val="single" w:color="auto" w:sz="4" w:space="0"/>
                  </w:tcBorders>
                  <w:vAlign w:val="center"/>
                </w:tcPr>
                <w:p w14:paraId="503CAF09">
                  <w:pPr>
                    <w:autoSpaceDE w:val="0"/>
                    <w:jc w:val="center"/>
                    <w:rPr>
                      <w:color w:val="000000"/>
                      <w:szCs w:val="21"/>
                      <w:u w:val="single"/>
                    </w:rPr>
                  </w:pPr>
                  <w:r>
                    <w:rPr>
                      <w:rFonts w:hint="eastAsia"/>
                      <w:color w:val="000000"/>
                      <w:u w:val="single"/>
                    </w:rPr>
                    <w:t>8</w:t>
                  </w:r>
                </w:p>
              </w:tc>
              <w:tc>
                <w:tcPr>
                  <w:tcW w:w="600" w:type="dxa"/>
                  <w:tcBorders>
                    <w:top w:val="single" w:color="auto" w:sz="4" w:space="0"/>
                    <w:left w:val="single" w:color="auto" w:sz="4" w:space="0"/>
                    <w:bottom w:val="single" w:color="auto" w:sz="4" w:space="0"/>
                    <w:right w:val="single" w:color="auto" w:sz="4" w:space="0"/>
                  </w:tcBorders>
                  <w:vAlign w:val="center"/>
                </w:tcPr>
                <w:p w14:paraId="18FEB0C6">
                  <w:pPr>
                    <w:autoSpaceDE w:val="0"/>
                    <w:jc w:val="center"/>
                    <w:rPr>
                      <w:color w:val="000000"/>
                      <w:szCs w:val="21"/>
                      <w:u w:val="single"/>
                    </w:rPr>
                  </w:pPr>
                  <w:r>
                    <w:rPr>
                      <w:rFonts w:hint="eastAsia"/>
                      <w:color w:val="000000"/>
                      <w:u w:val="single"/>
                    </w:rPr>
                    <w:t>8.0</w:t>
                  </w:r>
                </w:p>
              </w:tc>
              <w:tc>
                <w:tcPr>
                  <w:tcW w:w="773" w:type="dxa"/>
                  <w:tcBorders>
                    <w:top w:val="single" w:color="auto" w:sz="4" w:space="0"/>
                    <w:left w:val="single" w:color="auto" w:sz="4" w:space="0"/>
                    <w:bottom w:val="single" w:color="auto" w:sz="4" w:space="0"/>
                    <w:right w:val="single" w:color="auto" w:sz="4" w:space="0"/>
                  </w:tcBorders>
                  <w:vAlign w:val="center"/>
                </w:tcPr>
                <w:p w14:paraId="626DE797">
                  <w:pPr>
                    <w:autoSpaceDE w:val="0"/>
                    <w:jc w:val="center"/>
                    <w:rPr>
                      <w:color w:val="000000"/>
                      <w:szCs w:val="21"/>
                      <w:u w:val="single"/>
                    </w:rPr>
                  </w:pPr>
                  <w:r>
                    <w:rPr>
                      <w:rFonts w:hint="eastAsia"/>
                      <w:color w:val="000000"/>
                      <w:u w:val="single"/>
                    </w:rPr>
                    <w:t>0.5</w:t>
                  </w:r>
                </w:p>
              </w:tc>
              <w:tc>
                <w:tcPr>
                  <w:tcW w:w="866" w:type="dxa"/>
                  <w:tcBorders>
                    <w:top w:val="single" w:color="auto" w:sz="4" w:space="0"/>
                    <w:left w:val="single" w:color="auto" w:sz="4" w:space="0"/>
                    <w:bottom w:val="single" w:color="auto" w:sz="4" w:space="0"/>
                    <w:right w:val="single" w:color="auto" w:sz="4" w:space="0"/>
                  </w:tcBorders>
                  <w:vAlign w:val="center"/>
                </w:tcPr>
                <w:p w14:paraId="5F60A95C">
                  <w:pPr>
                    <w:autoSpaceDE w:val="0"/>
                    <w:jc w:val="center"/>
                    <w:rPr>
                      <w:color w:val="000000"/>
                      <w:szCs w:val="21"/>
                      <w:u w:val="single"/>
                    </w:rPr>
                  </w:pPr>
                  <w:r>
                    <w:rPr>
                      <w:rFonts w:hint="eastAsia"/>
                      <w:color w:val="000000"/>
                      <w:u w:val="single"/>
                    </w:rPr>
                    <w:t>0.5</w:t>
                  </w:r>
                </w:p>
              </w:tc>
              <w:tc>
                <w:tcPr>
                  <w:tcW w:w="784" w:type="dxa"/>
                  <w:tcBorders>
                    <w:top w:val="single" w:color="auto" w:sz="4" w:space="0"/>
                    <w:left w:val="single" w:color="auto" w:sz="4" w:space="0"/>
                    <w:bottom w:val="single" w:color="auto" w:sz="4" w:space="0"/>
                    <w:right w:val="single" w:color="auto" w:sz="4" w:space="0"/>
                  </w:tcBorders>
                  <w:vAlign w:val="center"/>
                </w:tcPr>
                <w:p w14:paraId="76043728">
                  <w:pPr>
                    <w:autoSpaceDE w:val="0"/>
                    <w:jc w:val="center"/>
                    <w:rPr>
                      <w:color w:val="000000"/>
                      <w:szCs w:val="21"/>
                      <w:u w:val="single"/>
                    </w:rPr>
                  </w:pPr>
                  <w:r>
                    <w:rPr>
                      <w:rFonts w:hint="eastAsia"/>
                      <w:color w:val="000000"/>
                      <w:u w:val="single"/>
                    </w:rPr>
                    <w:t>6-9</w:t>
                  </w:r>
                </w:p>
              </w:tc>
              <w:tc>
                <w:tcPr>
                  <w:tcW w:w="732" w:type="dxa"/>
                  <w:tcBorders>
                    <w:top w:val="single" w:color="auto" w:sz="4" w:space="0"/>
                    <w:left w:val="single" w:color="auto" w:sz="4" w:space="0"/>
                    <w:bottom w:val="single" w:color="auto" w:sz="4" w:space="0"/>
                    <w:right w:val="single" w:color="auto" w:sz="4" w:space="0"/>
                  </w:tcBorders>
                  <w:vAlign w:val="center"/>
                </w:tcPr>
                <w:p w14:paraId="0D546BD2">
                  <w:pPr>
                    <w:autoSpaceDE w:val="0"/>
                    <w:jc w:val="center"/>
                    <w:rPr>
                      <w:color w:val="000000"/>
                      <w:szCs w:val="21"/>
                      <w:u w:val="single"/>
                    </w:rPr>
                  </w:pPr>
                  <w:r>
                    <w:rPr>
                      <w:rFonts w:hint="eastAsia" w:ascii="宋体" w:hAnsi="宋体"/>
                      <w:color w:val="000000"/>
                      <w:u w:val="single"/>
                    </w:rPr>
                    <w:t>达标</w:t>
                  </w:r>
                </w:p>
              </w:tc>
            </w:tr>
            <w:tr w14:paraId="2896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41711D32">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1964FF1F">
                  <w:pPr>
                    <w:autoSpaceDE w:val="0"/>
                    <w:jc w:val="center"/>
                    <w:rPr>
                      <w:color w:val="000000"/>
                      <w:szCs w:val="21"/>
                      <w:u w:val="single"/>
                    </w:rPr>
                  </w:pPr>
                  <w:r>
                    <w:rPr>
                      <w:rFonts w:hint="eastAsia" w:ascii="宋体" w:hAnsi="宋体"/>
                      <w:color w:val="000000"/>
                      <w:u w:val="single"/>
                    </w:rPr>
                    <w:t>化学需氧量（</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54A244ED">
                  <w:pPr>
                    <w:autoSpaceDE w:val="0"/>
                    <w:jc w:val="center"/>
                    <w:rPr>
                      <w:color w:val="000000"/>
                      <w:szCs w:val="21"/>
                      <w:u w:val="single"/>
                    </w:rPr>
                  </w:pPr>
                  <w:r>
                    <w:rPr>
                      <w:rFonts w:hint="eastAsia"/>
                      <w:color w:val="000000"/>
                      <w:u w:val="single"/>
                    </w:rPr>
                    <w:t>17~26</w:t>
                  </w:r>
                </w:p>
              </w:tc>
              <w:tc>
                <w:tcPr>
                  <w:tcW w:w="600" w:type="dxa"/>
                  <w:tcBorders>
                    <w:top w:val="single" w:color="auto" w:sz="4" w:space="0"/>
                    <w:left w:val="single" w:color="auto" w:sz="4" w:space="0"/>
                    <w:bottom w:val="single" w:color="auto" w:sz="4" w:space="0"/>
                    <w:right w:val="single" w:color="auto" w:sz="4" w:space="0"/>
                  </w:tcBorders>
                  <w:vAlign w:val="center"/>
                </w:tcPr>
                <w:p w14:paraId="7A827BCA">
                  <w:pPr>
                    <w:autoSpaceDE w:val="0"/>
                    <w:jc w:val="center"/>
                    <w:rPr>
                      <w:color w:val="000000"/>
                      <w:szCs w:val="21"/>
                      <w:u w:val="single"/>
                    </w:rPr>
                  </w:pPr>
                  <w:r>
                    <w:rPr>
                      <w:rFonts w:hint="eastAsia"/>
                      <w:color w:val="000000"/>
                      <w:u w:val="single"/>
                    </w:rPr>
                    <w:t>20.7</w:t>
                  </w:r>
                </w:p>
              </w:tc>
              <w:tc>
                <w:tcPr>
                  <w:tcW w:w="773" w:type="dxa"/>
                  <w:tcBorders>
                    <w:top w:val="single" w:color="auto" w:sz="4" w:space="0"/>
                    <w:left w:val="single" w:color="auto" w:sz="4" w:space="0"/>
                    <w:bottom w:val="single" w:color="auto" w:sz="4" w:space="0"/>
                    <w:right w:val="single" w:color="auto" w:sz="4" w:space="0"/>
                  </w:tcBorders>
                  <w:vAlign w:val="center"/>
                </w:tcPr>
                <w:p w14:paraId="4A2C0643">
                  <w:pPr>
                    <w:autoSpaceDE w:val="0"/>
                    <w:jc w:val="center"/>
                    <w:rPr>
                      <w:color w:val="000000"/>
                      <w:szCs w:val="21"/>
                      <w:u w:val="single"/>
                    </w:rPr>
                  </w:pPr>
                  <w:r>
                    <w:rPr>
                      <w:rFonts w:hint="eastAsia"/>
                      <w:color w:val="000000"/>
                      <w:u w:val="single"/>
                    </w:rPr>
                    <w:t>0.69</w:t>
                  </w:r>
                </w:p>
              </w:tc>
              <w:tc>
                <w:tcPr>
                  <w:tcW w:w="866" w:type="dxa"/>
                  <w:tcBorders>
                    <w:top w:val="single" w:color="auto" w:sz="4" w:space="0"/>
                    <w:left w:val="single" w:color="auto" w:sz="4" w:space="0"/>
                    <w:bottom w:val="single" w:color="auto" w:sz="4" w:space="0"/>
                    <w:right w:val="single" w:color="auto" w:sz="4" w:space="0"/>
                  </w:tcBorders>
                  <w:vAlign w:val="center"/>
                </w:tcPr>
                <w:p w14:paraId="4CEC08C6">
                  <w:pPr>
                    <w:autoSpaceDE w:val="0"/>
                    <w:jc w:val="center"/>
                    <w:rPr>
                      <w:color w:val="000000"/>
                      <w:szCs w:val="21"/>
                      <w:u w:val="single"/>
                    </w:rPr>
                  </w:pPr>
                  <w:r>
                    <w:rPr>
                      <w:rFonts w:hint="eastAsia"/>
                      <w:color w:val="000000"/>
                      <w:u w:val="single"/>
                    </w:rPr>
                    <w:t>0.86</w:t>
                  </w:r>
                </w:p>
              </w:tc>
              <w:tc>
                <w:tcPr>
                  <w:tcW w:w="784" w:type="dxa"/>
                  <w:tcBorders>
                    <w:top w:val="single" w:color="auto" w:sz="4" w:space="0"/>
                    <w:left w:val="single" w:color="auto" w:sz="4" w:space="0"/>
                    <w:bottom w:val="single" w:color="auto" w:sz="4" w:space="0"/>
                    <w:right w:val="single" w:color="auto" w:sz="4" w:space="0"/>
                  </w:tcBorders>
                  <w:vAlign w:val="center"/>
                </w:tcPr>
                <w:p w14:paraId="39D34CF0">
                  <w:pPr>
                    <w:autoSpaceDE w:val="0"/>
                    <w:jc w:val="center"/>
                    <w:rPr>
                      <w:color w:val="000000"/>
                      <w:szCs w:val="21"/>
                      <w:u w:val="single"/>
                    </w:rPr>
                  </w:pPr>
                  <w:r>
                    <w:rPr>
                      <w:rFonts w:hint="eastAsia"/>
                      <w:color w:val="000000"/>
                      <w:u w:val="single"/>
                    </w:rPr>
                    <w:t>30</w:t>
                  </w:r>
                </w:p>
              </w:tc>
              <w:tc>
                <w:tcPr>
                  <w:tcW w:w="732" w:type="dxa"/>
                  <w:tcBorders>
                    <w:top w:val="single" w:color="auto" w:sz="4" w:space="0"/>
                    <w:left w:val="single" w:color="auto" w:sz="4" w:space="0"/>
                    <w:bottom w:val="single" w:color="auto" w:sz="4" w:space="0"/>
                    <w:right w:val="single" w:color="auto" w:sz="4" w:space="0"/>
                  </w:tcBorders>
                  <w:vAlign w:val="center"/>
                </w:tcPr>
                <w:p w14:paraId="247C6F7B">
                  <w:pPr>
                    <w:autoSpaceDE w:val="0"/>
                    <w:jc w:val="center"/>
                    <w:rPr>
                      <w:color w:val="000000"/>
                      <w:szCs w:val="21"/>
                      <w:u w:val="single"/>
                    </w:rPr>
                  </w:pPr>
                  <w:r>
                    <w:rPr>
                      <w:rFonts w:hint="eastAsia" w:ascii="宋体" w:hAnsi="宋体"/>
                      <w:color w:val="000000"/>
                      <w:u w:val="single"/>
                    </w:rPr>
                    <w:t>达标</w:t>
                  </w:r>
                </w:p>
              </w:tc>
            </w:tr>
            <w:tr w14:paraId="4308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147C3E8E">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256A62F9">
                  <w:pPr>
                    <w:autoSpaceDE w:val="0"/>
                    <w:jc w:val="center"/>
                    <w:rPr>
                      <w:color w:val="000000"/>
                      <w:szCs w:val="21"/>
                      <w:u w:val="single"/>
                    </w:rPr>
                  </w:pPr>
                  <w:r>
                    <w:rPr>
                      <w:rFonts w:hint="eastAsia" w:ascii="宋体" w:hAnsi="宋体"/>
                      <w:color w:val="000000"/>
                      <w:u w:val="single"/>
                    </w:rPr>
                    <w:t>五日生化需氧量（</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4C096BEF">
                  <w:pPr>
                    <w:autoSpaceDE w:val="0"/>
                    <w:jc w:val="center"/>
                    <w:rPr>
                      <w:color w:val="000000"/>
                      <w:szCs w:val="21"/>
                      <w:u w:val="single"/>
                    </w:rPr>
                  </w:pPr>
                  <w:r>
                    <w:rPr>
                      <w:rFonts w:hint="eastAsia"/>
                      <w:color w:val="000000"/>
                      <w:u w:val="single"/>
                    </w:rPr>
                    <w:t>5.9~9.4</w:t>
                  </w:r>
                </w:p>
              </w:tc>
              <w:tc>
                <w:tcPr>
                  <w:tcW w:w="600" w:type="dxa"/>
                  <w:tcBorders>
                    <w:top w:val="single" w:color="auto" w:sz="4" w:space="0"/>
                    <w:left w:val="single" w:color="auto" w:sz="4" w:space="0"/>
                    <w:bottom w:val="single" w:color="auto" w:sz="4" w:space="0"/>
                    <w:right w:val="single" w:color="auto" w:sz="4" w:space="0"/>
                  </w:tcBorders>
                  <w:vAlign w:val="center"/>
                </w:tcPr>
                <w:p w14:paraId="604E143E">
                  <w:pPr>
                    <w:autoSpaceDE w:val="0"/>
                    <w:jc w:val="center"/>
                    <w:rPr>
                      <w:color w:val="000000"/>
                      <w:szCs w:val="21"/>
                      <w:u w:val="single"/>
                    </w:rPr>
                  </w:pPr>
                  <w:r>
                    <w:rPr>
                      <w:rFonts w:hint="eastAsia"/>
                      <w:color w:val="000000"/>
                      <w:u w:val="single"/>
                    </w:rPr>
                    <w:t>7.6</w:t>
                  </w:r>
                </w:p>
              </w:tc>
              <w:tc>
                <w:tcPr>
                  <w:tcW w:w="773" w:type="dxa"/>
                  <w:tcBorders>
                    <w:top w:val="single" w:color="auto" w:sz="4" w:space="0"/>
                    <w:left w:val="single" w:color="auto" w:sz="4" w:space="0"/>
                    <w:bottom w:val="single" w:color="auto" w:sz="4" w:space="0"/>
                    <w:right w:val="single" w:color="auto" w:sz="4" w:space="0"/>
                  </w:tcBorders>
                  <w:vAlign w:val="center"/>
                </w:tcPr>
                <w:p w14:paraId="2558B922">
                  <w:pPr>
                    <w:autoSpaceDE w:val="0"/>
                    <w:jc w:val="center"/>
                    <w:rPr>
                      <w:color w:val="000000"/>
                      <w:szCs w:val="21"/>
                      <w:u w:val="single"/>
                    </w:rPr>
                  </w:pPr>
                  <w:r>
                    <w:rPr>
                      <w:rFonts w:hint="eastAsia"/>
                      <w:color w:val="000000"/>
                      <w:u w:val="single"/>
                    </w:rPr>
                    <w:t>1.27</w:t>
                  </w:r>
                </w:p>
              </w:tc>
              <w:tc>
                <w:tcPr>
                  <w:tcW w:w="866" w:type="dxa"/>
                  <w:tcBorders>
                    <w:top w:val="single" w:color="auto" w:sz="4" w:space="0"/>
                    <w:left w:val="single" w:color="auto" w:sz="4" w:space="0"/>
                    <w:bottom w:val="single" w:color="auto" w:sz="4" w:space="0"/>
                    <w:right w:val="single" w:color="auto" w:sz="4" w:space="0"/>
                  </w:tcBorders>
                  <w:vAlign w:val="center"/>
                </w:tcPr>
                <w:p w14:paraId="36FB05A7">
                  <w:pPr>
                    <w:autoSpaceDE w:val="0"/>
                    <w:jc w:val="center"/>
                    <w:rPr>
                      <w:color w:val="000000"/>
                      <w:szCs w:val="21"/>
                      <w:u w:val="single"/>
                    </w:rPr>
                  </w:pPr>
                  <w:r>
                    <w:rPr>
                      <w:rFonts w:hint="eastAsia"/>
                      <w:color w:val="000000"/>
                      <w:u w:val="single"/>
                    </w:rPr>
                    <w:t>1.57</w:t>
                  </w:r>
                </w:p>
              </w:tc>
              <w:tc>
                <w:tcPr>
                  <w:tcW w:w="784" w:type="dxa"/>
                  <w:tcBorders>
                    <w:top w:val="single" w:color="auto" w:sz="4" w:space="0"/>
                    <w:left w:val="single" w:color="auto" w:sz="4" w:space="0"/>
                    <w:bottom w:val="single" w:color="auto" w:sz="4" w:space="0"/>
                    <w:right w:val="single" w:color="auto" w:sz="4" w:space="0"/>
                  </w:tcBorders>
                  <w:vAlign w:val="center"/>
                </w:tcPr>
                <w:p w14:paraId="62144411">
                  <w:pPr>
                    <w:autoSpaceDE w:val="0"/>
                    <w:jc w:val="center"/>
                    <w:rPr>
                      <w:color w:val="000000"/>
                      <w:szCs w:val="21"/>
                      <w:u w:val="single"/>
                    </w:rPr>
                  </w:pPr>
                  <w:r>
                    <w:rPr>
                      <w:rFonts w:hint="eastAsia"/>
                      <w:color w:val="000000"/>
                      <w:u w:val="single"/>
                    </w:rPr>
                    <w:t>6</w:t>
                  </w:r>
                </w:p>
              </w:tc>
              <w:tc>
                <w:tcPr>
                  <w:tcW w:w="732" w:type="dxa"/>
                  <w:tcBorders>
                    <w:top w:val="single" w:color="auto" w:sz="4" w:space="0"/>
                    <w:left w:val="single" w:color="auto" w:sz="4" w:space="0"/>
                    <w:bottom w:val="single" w:color="auto" w:sz="4" w:space="0"/>
                    <w:right w:val="single" w:color="auto" w:sz="4" w:space="0"/>
                  </w:tcBorders>
                  <w:vAlign w:val="center"/>
                </w:tcPr>
                <w:p w14:paraId="1BF4AC9A">
                  <w:pPr>
                    <w:autoSpaceDE w:val="0"/>
                    <w:jc w:val="center"/>
                    <w:rPr>
                      <w:color w:val="000000"/>
                      <w:szCs w:val="21"/>
                      <w:u w:val="single"/>
                    </w:rPr>
                  </w:pPr>
                  <w:r>
                    <w:rPr>
                      <w:rFonts w:hint="eastAsia" w:ascii="宋体" w:hAnsi="宋体"/>
                      <w:color w:val="000000"/>
                      <w:u w:val="single"/>
                    </w:rPr>
                    <w:t>超标</w:t>
                  </w:r>
                </w:p>
              </w:tc>
            </w:tr>
            <w:tr w14:paraId="35DD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65189E3B">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6E81CE5C">
                  <w:pPr>
                    <w:autoSpaceDE w:val="0"/>
                    <w:jc w:val="center"/>
                    <w:rPr>
                      <w:color w:val="000000"/>
                      <w:szCs w:val="21"/>
                      <w:u w:val="single"/>
                    </w:rPr>
                  </w:pPr>
                  <w:r>
                    <w:rPr>
                      <w:rFonts w:hint="eastAsia" w:ascii="宋体" w:hAnsi="宋体"/>
                      <w:color w:val="000000"/>
                      <w:u w:val="single"/>
                    </w:rPr>
                    <w:t>悬浮物（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40949787">
                  <w:pPr>
                    <w:autoSpaceDE w:val="0"/>
                    <w:jc w:val="center"/>
                    <w:rPr>
                      <w:color w:val="000000"/>
                      <w:szCs w:val="21"/>
                      <w:u w:val="single"/>
                    </w:rPr>
                  </w:pPr>
                  <w:r>
                    <w:rPr>
                      <w:rFonts w:hint="eastAsia"/>
                      <w:color w:val="000000"/>
                      <w:u w:val="single"/>
                    </w:rPr>
                    <w:t>78~101</w:t>
                  </w:r>
                </w:p>
              </w:tc>
              <w:tc>
                <w:tcPr>
                  <w:tcW w:w="600" w:type="dxa"/>
                  <w:tcBorders>
                    <w:top w:val="single" w:color="auto" w:sz="4" w:space="0"/>
                    <w:left w:val="single" w:color="auto" w:sz="4" w:space="0"/>
                    <w:bottom w:val="single" w:color="auto" w:sz="4" w:space="0"/>
                    <w:right w:val="single" w:color="auto" w:sz="4" w:space="0"/>
                  </w:tcBorders>
                  <w:vAlign w:val="center"/>
                </w:tcPr>
                <w:p w14:paraId="46053AEC">
                  <w:pPr>
                    <w:autoSpaceDE w:val="0"/>
                    <w:jc w:val="center"/>
                    <w:rPr>
                      <w:color w:val="000000"/>
                      <w:szCs w:val="21"/>
                      <w:u w:val="single"/>
                    </w:rPr>
                  </w:pPr>
                  <w:r>
                    <w:rPr>
                      <w:rFonts w:hint="eastAsia"/>
                      <w:color w:val="000000"/>
                      <w:u w:val="single"/>
                    </w:rPr>
                    <w:t>87.0</w:t>
                  </w:r>
                </w:p>
              </w:tc>
              <w:tc>
                <w:tcPr>
                  <w:tcW w:w="773" w:type="dxa"/>
                  <w:tcBorders>
                    <w:top w:val="single" w:color="auto" w:sz="4" w:space="0"/>
                    <w:left w:val="single" w:color="auto" w:sz="4" w:space="0"/>
                    <w:bottom w:val="single" w:color="auto" w:sz="4" w:space="0"/>
                    <w:right w:val="single" w:color="auto" w:sz="4" w:space="0"/>
                  </w:tcBorders>
                  <w:vAlign w:val="center"/>
                </w:tcPr>
                <w:p w14:paraId="3D5E1499">
                  <w:pPr>
                    <w:autoSpaceDE w:val="0"/>
                    <w:jc w:val="center"/>
                    <w:rPr>
                      <w:color w:val="000000"/>
                      <w:szCs w:val="21"/>
                      <w:u w:val="single"/>
                    </w:rPr>
                  </w:pPr>
                  <w:r>
                    <w:rPr>
                      <w:rFonts w:hint="eastAsia"/>
                      <w:color w:val="000000"/>
                      <w:u w:val="single"/>
                    </w:rPr>
                    <w:t>1.45</w:t>
                  </w:r>
                </w:p>
              </w:tc>
              <w:tc>
                <w:tcPr>
                  <w:tcW w:w="866" w:type="dxa"/>
                  <w:tcBorders>
                    <w:top w:val="single" w:color="auto" w:sz="4" w:space="0"/>
                    <w:left w:val="single" w:color="auto" w:sz="4" w:space="0"/>
                    <w:bottom w:val="single" w:color="auto" w:sz="4" w:space="0"/>
                    <w:right w:val="single" w:color="auto" w:sz="4" w:space="0"/>
                  </w:tcBorders>
                  <w:vAlign w:val="center"/>
                </w:tcPr>
                <w:p w14:paraId="65AC9F76">
                  <w:pPr>
                    <w:autoSpaceDE w:val="0"/>
                    <w:jc w:val="center"/>
                    <w:rPr>
                      <w:color w:val="000000"/>
                      <w:szCs w:val="21"/>
                      <w:u w:val="single"/>
                    </w:rPr>
                  </w:pPr>
                  <w:r>
                    <w:rPr>
                      <w:rFonts w:hint="eastAsia"/>
                      <w:color w:val="000000"/>
                      <w:u w:val="single"/>
                    </w:rPr>
                    <w:t>1.68</w:t>
                  </w:r>
                </w:p>
              </w:tc>
              <w:tc>
                <w:tcPr>
                  <w:tcW w:w="784" w:type="dxa"/>
                  <w:tcBorders>
                    <w:top w:val="single" w:color="auto" w:sz="4" w:space="0"/>
                    <w:left w:val="single" w:color="auto" w:sz="4" w:space="0"/>
                    <w:bottom w:val="single" w:color="auto" w:sz="4" w:space="0"/>
                    <w:right w:val="single" w:color="auto" w:sz="4" w:space="0"/>
                  </w:tcBorders>
                  <w:vAlign w:val="center"/>
                </w:tcPr>
                <w:p w14:paraId="43697E7E">
                  <w:pPr>
                    <w:autoSpaceDE w:val="0"/>
                    <w:jc w:val="center"/>
                    <w:rPr>
                      <w:color w:val="000000"/>
                      <w:szCs w:val="21"/>
                      <w:u w:val="single"/>
                    </w:rPr>
                  </w:pPr>
                  <w:r>
                    <w:rPr>
                      <w:rFonts w:hint="eastAsia"/>
                      <w:color w:val="000000"/>
                      <w:u w:val="single"/>
                    </w:rPr>
                    <w:t>60</w:t>
                  </w:r>
                </w:p>
              </w:tc>
              <w:tc>
                <w:tcPr>
                  <w:tcW w:w="732" w:type="dxa"/>
                  <w:tcBorders>
                    <w:top w:val="single" w:color="auto" w:sz="4" w:space="0"/>
                    <w:left w:val="single" w:color="auto" w:sz="4" w:space="0"/>
                    <w:bottom w:val="single" w:color="auto" w:sz="4" w:space="0"/>
                    <w:right w:val="single" w:color="auto" w:sz="4" w:space="0"/>
                  </w:tcBorders>
                  <w:vAlign w:val="center"/>
                </w:tcPr>
                <w:p w14:paraId="2AA71129">
                  <w:pPr>
                    <w:autoSpaceDE w:val="0"/>
                    <w:jc w:val="center"/>
                    <w:rPr>
                      <w:color w:val="000000"/>
                      <w:szCs w:val="21"/>
                      <w:u w:val="single"/>
                    </w:rPr>
                  </w:pPr>
                  <w:r>
                    <w:rPr>
                      <w:rFonts w:hint="eastAsia" w:ascii="宋体" w:hAnsi="宋体"/>
                      <w:color w:val="000000"/>
                      <w:u w:val="single"/>
                    </w:rPr>
                    <w:t>超标</w:t>
                  </w:r>
                </w:p>
              </w:tc>
            </w:tr>
            <w:tr w14:paraId="2D33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59CB3580">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1CB301AF">
                  <w:pPr>
                    <w:autoSpaceDE w:val="0"/>
                    <w:jc w:val="center"/>
                    <w:rPr>
                      <w:color w:val="000000"/>
                      <w:szCs w:val="21"/>
                      <w:u w:val="single"/>
                    </w:rPr>
                  </w:pPr>
                  <w:r>
                    <w:rPr>
                      <w:rFonts w:hint="eastAsia" w:ascii="宋体" w:hAnsi="宋体"/>
                      <w:color w:val="000000"/>
                      <w:u w:val="single"/>
                    </w:rPr>
                    <w:t>氨氮（</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2B9A3640">
                  <w:pPr>
                    <w:autoSpaceDE w:val="0"/>
                    <w:jc w:val="center"/>
                    <w:rPr>
                      <w:color w:val="000000"/>
                      <w:szCs w:val="21"/>
                      <w:u w:val="single"/>
                    </w:rPr>
                  </w:pPr>
                  <w:r>
                    <w:rPr>
                      <w:rFonts w:hint="eastAsia"/>
                      <w:color w:val="000000"/>
                      <w:u w:val="single"/>
                    </w:rPr>
                    <w:t>0.75~1.39</w:t>
                  </w:r>
                </w:p>
              </w:tc>
              <w:tc>
                <w:tcPr>
                  <w:tcW w:w="600" w:type="dxa"/>
                  <w:tcBorders>
                    <w:top w:val="single" w:color="auto" w:sz="4" w:space="0"/>
                    <w:left w:val="single" w:color="auto" w:sz="4" w:space="0"/>
                    <w:bottom w:val="single" w:color="auto" w:sz="4" w:space="0"/>
                    <w:right w:val="single" w:color="auto" w:sz="4" w:space="0"/>
                  </w:tcBorders>
                  <w:vAlign w:val="center"/>
                </w:tcPr>
                <w:p w14:paraId="34B9451E">
                  <w:pPr>
                    <w:autoSpaceDE w:val="0"/>
                    <w:jc w:val="center"/>
                    <w:rPr>
                      <w:color w:val="000000"/>
                      <w:szCs w:val="21"/>
                      <w:u w:val="single"/>
                    </w:rPr>
                  </w:pPr>
                  <w:r>
                    <w:rPr>
                      <w:rFonts w:hint="eastAsia"/>
                      <w:color w:val="000000"/>
                      <w:u w:val="single"/>
                    </w:rPr>
                    <w:t>1.0</w:t>
                  </w:r>
                </w:p>
              </w:tc>
              <w:tc>
                <w:tcPr>
                  <w:tcW w:w="773" w:type="dxa"/>
                  <w:tcBorders>
                    <w:top w:val="single" w:color="auto" w:sz="4" w:space="0"/>
                    <w:left w:val="single" w:color="auto" w:sz="4" w:space="0"/>
                    <w:bottom w:val="single" w:color="auto" w:sz="4" w:space="0"/>
                    <w:right w:val="single" w:color="auto" w:sz="4" w:space="0"/>
                  </w:tcBorders>
                  <w:vAlign w:val="center"/>
                </w:tcPr>
                <w:p w14:paraId="1257EAB7">
                  <w:pPr>
                    <w:autoSpaceDE w:val="0"/>
                    <w:jc w:val="center"/>
                    <w:rPr>
                      <w:color w:val="000000"/>
                      <w:szCs w:val="21"/>
                      <w:u w:val="single"/>
                    </w:rPr>
                  </w:pPr>
                  <w:r>
                    <w:rPr>
                      <w:rFonts w:hint="eastAsia"/>
                      <w:color w:val="000000"/>
                      <w:u w:val="single"/>
                    </w:rPr>
                    <w:t>0.67</w:t>
                  </w:r>
                </w:p>
              </w:tc>
              <w:tc>
                <w:tcPr>
                  <w:tcW w:w="866" w:type="dxa"/>
                  <w:tcBorders>
                    <w:top w:val="single" w:color="auto" w:sz="4" w:space="0"/>
                    <w:left w:val="single" w:color="auto" w:sz="4" w:space="0"/>
                    <w:bottom w:val="single" w:color="auto" w:sz="4" w:space="0"/>
                    <w:right w:val="single" w:color="auto" w:sz="4" w:space="0"/>
                  </w:tcBorders>
                  <w:vAlign w:val="center"/>
                </w:tcPr>
                <w:p w14:paraId="48302D49">
                  <w:pPr>
                    <w:autoSpaceDE w:val="0"/>
                    <w:jc w:val="center"/>
                    <w:rPr>
                      <w:color w:val="000000"/>
                      <w:szCs w:val="21"/>
                      <w:u w:val="single"/>
                    </w:rPr>
                  </w:pPr>
                  <w:r>
                    <w:rPr>
                      <w:rFonts w:hint="eastAsia"/>
                      <w:color w:val="000000"/>
                      <w:u w:val="single"/>
                    </w:rPr>
                    <w:t>0.93</w:t>
                  </w:r>
                </w:p>
              </w:tc>
              <w:tc>
                <w:tcPr>
                  <w:tcW w:w="784" w:type="dxa"/>
                  <w:tcBorders>
                    <w:top w:val="single" w:color="auto" w:sz="4" w:space="0"/>
                    <w:left w:val="single" w:color="auto" w:sz="4" w:space="0"/>
                    <w:bottom w:val="single" w:color="auto" w:sz="4" w:space="0"/>
                    <w:right w:val="single" w:color="auto" w:sz="4" w:space="0"/>
                  </w:tcBorders>
                  <w:vAlign w:val="center"/>
                </w:tcPr>
                <w:p w14:paraId="0C92D6E3">
                  <w:pPr>
                    <w:autoSpaceDE w:val="0"/>
                    <w:jc w:val="center"/>
                    <w:rPr>
                      <w:color w:val="000000"/>
                      <w:szCs w:val="21"/>
                      <w:u w:val="single"/>
                    </w:rPr>
                  </w:pPr>
                  <w:r>
                    <w:rPr>
                      <w:rFonts w:hint="eastAsia"/>
                      <w:color w:val="000000"/>
                      <w:u w:val="single"/>
                    </w:rPr>
                    <w:t>1.5</w:t>
                  </w:r>
                </w:p>
              </w:tc>
              <w:tc>
                <w:tcPr>
                  <w:tcW w:w="732" w:type="dxa"/>
                  <w:tcBorders>
                    <w:top w:val="single" w:color="auto" w:sz="4" w:space="0"/>
                    <w:left w:val="single" w:color="auto" w:sz="4" w:space="0"/>
                    <w:bottom w:val="single" w:color="auto" w:sz="4" w:space="0"/>
                    <w:right w:val="single" w:color="auto" w:sz="4" w:space="0"/>
                  </w:tcBorders>
                  <w:vAlign w:val="center"/>
                </w:tcPr>
                <w:p w14:paraId="7F8E8BB1">
                  <w:pPr>
                    <w:autoSpaceDE w:val="0"/>
                    <w:jc w:val="center"/>
                    <w:rPr>
                      <w:color w:val="000000"/>
                      <w:szCs w:val="21"/>
                      <w:u w:val="single"/>
                    </w:rPr>
                  </w:pPr>
                  <w:r>
                    <w:rPr>
                      <w:rFonts w:hint="eastAsia" w:ascii="宋体" w:hAnsi="宋体"/>
                      <w:color w:val="000000"/>
                      <w:u w:val="single"/>
                    </w:rPr>
                    <w:t>达标</w:t>
                  </w:r>
                </w:p>
              </w:tc>
            </w:tr>
            <w:tr w14:paraId="165D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2C69CB49">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5FD07207">
                  <w:pPr>
                    <w:autoSpaceDE w:val="0"/>
                    <w:jc w:val="center"/>
                    <w:rPr>
                      <w:color w:val="000000"/>
                      <w:szCs w:val="21"/>
                      <w:u w:val="single"/>
                    </w:rPr>
                  </w:pPr>
                  <w:r>
                    <w:rPr>
                      <w:rFonts w:hint="eastAsia" w:ascii="宋体" w:hAnsi="宋体"/>
                      <w:color w:val="000000"/>
                      <w:u w:val="single"/>
                    </w:rPr>
                    <w:t>总磷（</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0AACD2D5">
                  <w:pPr>
                    <w:autoSpaceDE w:val="0"/>
                    <w:jc w:val="center"/>
                    <w:rPr>
                      <w:color w:val="000000"/>
                      <w:szCs w:val="21"/>
                      <w:u w:val="single"/>
                    </w:rPr>
                  </w:pPr>
                  <w:r>
                    <w:rPr>
                      <w:rFonts w:hint="eastAsia"/>
                      <w:color w:val="000000"/>
                      <w:u w:val="single"/>
                    </w:rPr>
                    <w:t>0.26~0.36</w:t>
                  </w:r>
                </w:p>
              </w:tc>
              <w:tc>
                <w:tcPr>
                  <w:tcW w:w="600" w:type="dxa"/>
                  <w:tcBorders>
                    <w:top w:val="single" w:color="auto" w:sz="4" w:space="0"/>
                    <w:left w:val="single" w:color="auto" w:sz="4" w:space="0"/>
                    <w:bottom w:val="single" w:color="auto" w:sz="4" w:space="0"/>
                    <w:right w:val="single" w:color="auto" w:sz="4" w:space="0"/>
                  </w:tcBorders>
                  <w:vAlign w:val="center"/>
                </w:tcPr>
                <w:p w14:paraId="412413A0">
                  <w:pPr>
                    <w:autoSpaceDE w:val="0"/>
                    <w:jc w:val="center"/>
                    <w:rPr>
                      <w:color w:val="000000"/>
                      <w:szCs w:val="21"/>
                      <w:u w:val="single"/>
                    </w:rPr>
                  </w:pPr>
                  <w:r>
                    <w:rPr>
                      <w:rFonts w:hint="eastAsia"/>
                      <w:color w:val="000000"/>
                      <w:u w:val="single"/>
                    </w:rPr>
                    <w:t>0.3</w:t>
                  </w:r>
                </w:p>
              </w:tc>
              <w:tc>
                <w:tcPr>
                  <w:tcW w:w="773" w:type="dxa"/>
                  <w:tcBorders>
                    <w:top w:val="single" w:color="auto" w:sz="4" w:space="0"/>
                    <w:left w:val="single" w:color="auto" w:sz="4" w:space="0"/>
                    <w:bottom w:val="single" w:color="auto" w:sz="4" w:space="0"/>
                    <w:right w:val="single" w:color="auto" w:sz="4" w:space="0"/>
                  </w:tcBorders>
                  <w:vAlign w:val="center"/>
                </w:tcPr>
                <w:p w14:paraId="7F132202">
                  <w:pPr>
                    <w:autoSpaceDE w:val="0"/>
                    <w:jc w:val="center"/>
                    <w:rPr>
                      <w:color w:val="000000"/>
                      <w:szCs w:val="21"/>
                      <w:u w:val="single"/>
                    </w:rPr>
                  </w:pPr>
                  <w:r>
                    <w:rPr>
                      <w:rFonts w:hint="eastAsia"/>
                      <w:color w:val="000000"/>
                      <w:u w:val="single"/>
                    </w:rPr>
                    <w:t>1</w:t>
                  </w:r>
                </w:p>
              </w:tc>
              <w:tc>
                <w:tcPr>
                  <w:tcW w:w="866" w:type="dxa"/>
                  <w:tcBorders>
                    <w:top w:val="single" w:color="auto" w:sz="4" w:space="0"/>
                    <w:left w:val="single" w:color="auto" w:sz="4" w:space="0"/>
                    <w:bottom w:val="single" w:color="auto" w:sz="4" w:space="0"/>
                    <w:right w:val="single" w:color="auto" w:sz="4" w:space="0"/>
                  </w:tcBorders>
                  <w:vAlign w:val="center"/>
                </w:tcPr>
                <w:p w14:paraId="141298B2">
                  <w:pPr>
                    <w:autoSpaceDE w:val="0"/>
                    <w:jc w:val="center"/>
                    <w:rPr>
                      <w:color w:val="000000"/>
                      <w:szCs w:val="21"/>
                      <w:u w:val="single"/>
                    </w:rPr>
                  </w:pPr>
                  <w:r>
                    <w:rPr>
                      <w:rFonts w:hint="eastAsia"/>
                      <w:color w:val="000000"/>
                      <w:u w:val="single"/>
                    </w:rPr>
                    <w:t>1.2</w:t>
                  </w:r>
                </w:p>
              </w:tc>
              <w:tc>
                <w:tcPr>
                  <w:tcW w:w="784" w:type="dxa"/>
                  <w:tcBorders>
                    <w:top w:val="single" w:color="auto" w:sz="4" w:space="0"/>
                    <w:left w:val="single" w:color="auto" w:sz="4" w:space="0"/>
                    <w:bottom w:val="single" w:color="auto" w:sz="4" w:space="0"/>
                    <w:right w:val="single" w:color="auto" w:sz="4" w:space="0"/>
                  </w:tcBorders>
                  <w:vAlign w:val="center"/>
                </w:tcPr>
                <w:p w14:paraId="4C1AA615">
                  <w:pPr>
                    <w:autoSpaceDE w:val="0"/>
                    <w:jc w:val="center"/>
                    <w:rPr>
                      <w:color w:val="000000"/>
                      <w:szCs w:val="21"/>
                      <w:u w:val="single"/>
                    </w:rPr>
                  </w:pPr>
                  <w:r>
                    <w:rPr>
                      <w:rFonts w:hint="eastAsia"/>
                      <w:color w:val="000000"/>
                      <w:u w:val="single"/>
                    </w:rPr>
                    <w:t>0.3</w:t>
                  </w:r>
                </w:p>
              </w:tc>
              <w:tc>
                <w:tcPr>
                  <w:tcW w:w="732" w:type="dxa"/>
                  <w:tcBorders>
                    <w:top w:val="single" w:color="auto" w:sz="4" w:space="0"/>
                    <w:left w:val="single" w:color="auto" w:sz="4" w:space="0"/>
                    <w:bottom w:val="single" w:color="auto" w:sz="4" w:space="0"/>
                    <w:right w:val="single" w:color="auto" w:sz="4" w:space="0"/>
                  </w:tcBorders>
                  <w:vAlign w:val="center"/>
                </w:tcPr>
                <w:p w14:paraId="10AC6DB4">
                  <w:pPr>
                    <w:autoSpaceDE w:val="0"/>
                    <w:jc w:val="center"/>
                    <w:rPr>
                      <w:color w:val="000000"/>
                      <w:szCs w:val="21"/>
                      <w:u w:val="single"/>
                    </w:rPr>
                  </w:pPr>
                  <w:r>
                    <w:rPr>
                      <w:rFonts w:hint="eastAsia" w:ascii="宋体" w:hAnsi="宋体"/>
                      <w:color w:val="000000"/>
                      <w:u w:val="single"/>
                    </w:rPr>
                    <w:t>超标</w:t>
                  </w:r>
                </w:p>
              </w:tc>
            </w:tr>
            <w:tr w14:paraId="1B60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745A37A8">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11890B50">
                  <w:pPr>
                    <w:autoSpaceDE w:val="0"/>
                    <w:jc w:val="center"/>
                    <w:rPr>
                      <w:color w:val="000000"/>
                      <w:szCs w:val="21"/>
                      <w:u w:val="single"/>
                    </w:rPr>
                  </w:pPr>
                  <w:r>
                    <w:rPr>
                      <w:rFonts w:hint="eastAsia" w:ascii="宋体" w:hAnsi="宋体"/>
                      <w:color w:val="000000"/>
                      <w:u w:val="single"/>
                    </w:rPr>
                    <w:t>总氮（</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78205079">
                  <w:pPr>
                    <w:autoSpaceDE w:val="0"/>
                    <w:jc w:val="center"/>
                    <w:rPr>
                      <w:color w:val="000000"/>
                      <w:szCs w:val="21"/>
                      <w:u w:val="single"/>
                    </w:rPr>
                  </w:pPr>
                  <w:r>
                    <w:rPr>
                      <w:rFonts w:hint="eastAsia"/>
                      <w:color w:val="000000"/>
                      <w:u w:val="single"/>
                    </w:rPr>
                    <w:t>4.56~4.83</w:t>
                  </w:r>
                </w:p>
              </w:tc>
              <w:tc>
                <w:tcPr>
                  <w:tcW w:w="600" w:type="dxa"/>
                  <w:tcBorders>
                    <w:top w:val="single" w:color="auto" w:sz="4" w:space="0"/>
                    <w:left w:val="single" w:color="auto" w:sz="4" w:space="0"/>
                    <w:bottom w:val="single" w:color="auto" w:sz="4" w:space="0"/>
                    <w:right w:val="single" w:color="auto" w:sz="4" w:space="0"/>
                  </w:tcBorders>
                  <w:vAlign w:val="center"/>
                </w:tcPr>
                <w:p w14:paraId="7E1B901F">
                  <w:pPr>
                    <w:autoSpaceDE w:val="0"/>
                    <w:jc w:val="center"/>
                    <w:rPr>
                      <w:color w:val="000000"/>
                      <w:szCs w:val="21"/>
                      <w:u w:val="single"/>
                    </w:rPr>
                  </w:pPr>
                  <w:r>
                    <w:rPr>
                      <w:rFonts w:hint="eastAsia"/>
                      <w:color w:val="000000"/>
                      <w:u w:val="single"/>
                    </w:rPr>
                    <w:t>4.7</w:t>
                  </w:r>
                </w:p>
              </w:tc>
              <w:tc>
                <w:tcPr>
                  <w:tcW w:w="773" w:type="dxa"/>
                  <w:tcBorders>
                    <w:top w:val="single" w:color="auto" w:sz="4" w:space="0"/>
                    <w:left w:val="single" w:color="auto" w:sz="4" w:space="0"/>
                    <w:bottom w:val="single" w:color="auto" w:sz="4" w:space="0"/>
                    <w:right w:val="single" w:color="auto" w:sz="4" w:space="0"/>
                  </w:tcBorders>
                  <w:vAlign w:val="center"/>
                </w:tcPr>
                <w:p w14:paraId="31CD0F44">
                  <w:pPr>
                    <w:autoSpaceDE w:val="0"/>
                    <w:jc w:val="center"/>
                    <w:rPr>
                      <w:color w:val="000000"/>
                      <w:szCs w:val="21"/>
                      <w:u w:val="single"/>
                    </w:rPr>
                  </w:pPr>
                  <w:r>
                    <w:rPr>
                      <w:rFonts w:hint="eastAsia"/>
                      <w:color w:val="000000"/>
                      <w:u w:val="single"/>
                    </w:rPr>
                    <w:t>3.1</w:t>
                  </w:r>
                </w:p>
              </w:tc>
              <w:tc>
                <w:tcPr>
                  <w:tcW w:w="866" w:type="dxa"/>
                  <w:tcBorders>
                    <w:top w:val="single" w:color="auto" w:sz="4" w:space="0"/>
                    <w:left w:val="single" w:color="auto" w:sz="4" w:space="0"/>
                    <w:bottom w:val="single" w:color="auto" w:sz="4" w:space="0"/>
                    <w:right w:val="single" w:color="auto" w:sz="4" w:space="0"/>
                  </w:tcBorders>
                  <w:vAlign w:val="center"/>
                </w:tcPr>
                <w:p w14:paraId="2F5465E4">
                  <w:pPr>
                    <w:autoSpaceDE w:val="0"/>
                    <w:jc w:val="center"/>
                    <w:rPr>
                      <w:color w:val="000000"/>
                      <w:szCs w:val="21"/>
                      <w:u w:val="single"/>
                    </w:rPr>
                  </w:pPr>
                  <w:r>
                    <w:rPr>
                      <w:rFonts w:hint="eastAsia"/>
                      <w:color w:val="000000"/>
                      <w:u w:val="single"/>
                    </w:rPr>
                    <w:t>3.22</w:t>
                  </w:r>
                </w:p>
              </w:tc>
              <w:tc>
                <w:tcPr>
                  <w:tcW w:w="784" w:type="dxa"/>
                  <w:tcBorders>
                    <w:top w:val="single" w:color="auto" w:sz="4" w:space="0"/>
                    <w:left w:val="single" w:color="auto" w:sz="4" w:space="0"/>
                    <w:bottom w:val="single" w:color="auto" w:sz="4" w:space="0"/>
                    <w:right w:val="single" w:color="auto" w:sz="4" w:space="0"/>
                  </w:tcBorders>
                  <w:vAlign w:val="center"/>
                </w:tcPr>
                <w:p w14:paraId="170E341F">
                  <w:pPr>
                    <w:autoSpaceDE w:val="0"/>
                    <w:jc w:val="center"/>
                    <w:rPr>
                      <w:color w:val="000000"/>
                      <w:szCs w:val="21"/>
                      <w:u w:val="single"/>
                    </w:rPr>
                  </w:pPr>
                  <w:r>
                    <w:rPr>
                      <w:rFonts w:hint="eastAsia"/>
                      <w:color w:val="000000"/>
                      <w:u w:val="single"/>
                    </w:rPr>
                    <w:t>1.5</w:t>
                  </w:r>
                </w:p>
              </w:tc>
              <w:tc>
                <w:tcPr>
                  <w:tcW w:w="732" w:type="dxa"/>
                  <w:tcBorders>
                    <w:top w:val="single" w:color="auto" w:sz="4" w:space="0"/>
                    <w:left w:val="single" w:color="auto" w:sz="4" w:space="0"/>
                    <w:bottom w:val="single" w:color="auto" w:sz="4" w:space="0"/>
                    <w:right w:val="single" w:color="auto" w:sz="4" w:space="0"/>
                  </w:tcBorders>
                  <w:vAlign w:val="center"/>
                </w:tcPr>
                <w:p w14:paraId="24ED548B">
                  <w:pPr>
                    <w:autoSpaceDE w:val="0"/>
                    <w:jc w:val="center"/>
                    <w:rPr>
                      <w:color w:val="000000"/>
                      <w:szCs w:val="21"/>
                      <w:u w:val="single"/>
                    </w:rPr>
                  </w:pPr>
                  <w:r>
                    <w:rPr>
                      <w:rFonts w:hint="eastAsia" w:ascii="宋体" w:hAnsi="宋体"/>
                      <w:color w:val="000000"/>
                      <w:u w:val="single"/>
                    </w:rPr>
                    <w:t>超标</w:t>
                  </w:r>
                </w:p>
              </w:tc>
            </w:tr>
            <w:tr w14:paraId="6224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0A4F73AE">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6BA08CBD">
                  <w:pPr>
                    <w:autoSpaceDE w:val="0"/>
                    <w:jc w:val="center"/>
                    <w:rPr>
                      <w:color w:val="000000"/>
                      <w:szCs w:val="21"/>
                      <w:u w:val="single"/>
                    </w:rPr>
                  </w:pPr>
                  <w:r>
                    <w:rPr>
                      <w:rFonts w:hint="eastAsia" w:ascii="宋体" w:hAnsi="宋体"/>
                      <w:color w:val="000000"/>
                      <w:u w:val="single"/>
                    </w:rPr>
                    <w:t>挥发酚（</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317788F9">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169E8C81">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5B641DEC">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529D629A">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59E9F815">
                  <w:pPr>
                    <w:autoSpaceDE w:val="0"/>
                    <w:jc w:val="center"/>
                    <w:rPr>
                      <w:color w:val="000000"/>
                      <w:szCs w:val="21"/>
                      <w:u w:val="single"/>
                    </w:rPr>
                  </w:pPr>
                  <w:r>
                    <w:rPr>
                      <w:rFonts w:hint="eastAsia"/>
                      <w:color w:val="000000"/>
                      <w:u w:val="single"/>
                    </w:rPr>
                    <w:t>0.01</w:t>
                  </w:r>
                </w:p>
              </w:tc>
              <w:tc>
                <w:tcPr>
                  <w:tcW w:w="732" w:type="dxa"/>
                  <w:tcBorders>
                    <w:top w:val="single" w:color="auto" w:sz="4" w:space="0"/>
                    <w:left w:val="single" w:color="auto" w:sz="4" w:space="0"/>
                    <w:bottom w:val="single" w:color="auto" w:sz="4" w:space="0"/>
                    <w:right w:val="single" w:color="auto" w:sz="4" w:space="0"/>
                  </w:tcBorders>
                  <w:vAlign w:val="center"/>
                </w:tcPr>
                <w:p w14:paraId="2C8F4E34">
                  <w:pPr>
                    <w:autoSpaceDE w:val="0"/>
                    <w:jc w:val="center"/>
                    <w:rPr>
                      <w:color w:val="000000"/>
                      <w:szCs w:val="21"/>
                      <w:u w:val="single"/>
                    </w:rPr>
                  </w:pPr>
                  <w:r>
                    <w:rPr>
                      <w:rFonts w:hint="eastAsia" w:ascii="宋体" w:hAnsi="宋体"/>
                      <w:color w:val="000000"/>
                      <w:u w:val="single"/>
                    </w:rPr>
                    <w:t>达标</w:t>
                  </w:r>
                </w:p>
              </w:tc>
            </w:tr>
            <w:tr w14:paraId="45ED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71766817">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4ABA0C08">
                  <w:pPr>
                    <w:autoSpaceDE w:val="0"/>
                    <w:jc w:val="center"/>
                    <w:rPr>
                      <w:color w:val="000000"/>
                      <w:szCs w:val="21"/>
                      <w:u w:val="single"/>
                    </w:rPr>
                  </w:pPr>
                  <w:r>
                    <w:rPr>
                      <w:rFonts w:hint="eastAsia" w:ascii="宋体" w:hAnsi="宋体"/>
                      <w:color w:val="000000"/>
                      <w:u w:val="single"/>
                    </w:rPr>
                    <w:t>氟化物（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416D95D4">
                  <w:pPr>
                    <w:autoSpaceDE w:val="0"/>
                    <w:jc w:val="center"/>
                    <w:rPr>
                      <w:color w:val="000000"/>
                      <w:szCs w:val="21"/>
                      <w:u w:val="single"/>
                    </w:rPr>
                  </w:pPr>
                  <w:r>
                    <w:rPr>
                      <w:rFonts w:hint="eastAsia"/>
                      <w:color w:val="000000"/>
                      <w:u w:val="single"/>
                    </w:rPr>
                    <w:t>1~1.02</w:t>
                  </w:r>
                </w:p>
              </w:tc>
              <w:tc>
                <w:tcPr>
                  <w:tcW w:w="600" w:type="dxa"/>
                  <w:tcBorders>
                    <w:top w:val="single" w:color="auto" w:sz="4" w:space="0"/>
                    <w:left w:val="single" w:color="auto" w:sz="4" w:space="0"/>
                    <w:bottom w:val="single" w:color="auto" w:sz="4" w:space="0"/>
                    <w:right w:val="single" w:color="auto" w:sz="4" w:space="0"/>
                  </w:tcBorders>
                  <w:vAlign w:val="center"/>
                </w:tcPr>
                <w:p w14:paraId="25B9E7E1">
                  <w:pPr>
                    <w:autoSpaceDE w:val="0"/>
                    <w:jc w:val="center"/>
                    <w:rPr>
                      <w:color w:val="000000"/>
                      <w:szCs w:val="21"/>
                      <w:u w:val="single"/>
                    </w:rPr>
                  </w:pPr>
                  <w:r>
                    <w:rPr>
                      <w:rFonts w:hint="eastAsia"/>
                      <w:color w:val="000000"/>
                      <w:u w:val="single"/>
                    </w:rPr>
                    <w:t>1.0</w:t>
                  </w:r>
                </w:p>
              </w:tc>
              <w:tc>
                <w:tcPr>
                  <w:tcW w:w="773" w:type="dxa"/>
                  <w:tcBorders>
                    <w:top w:val="single" w:color="auto" w:sz="4" w:space="0"/>
                    <w:left w:val="single" w:color="auto" w:sz="4" w:space="0"/>
                    <w:bottom w:val="single" w:color="auto" w:sz="4" w:space="0"/>
                    <w:right w:val="single" w:color="auto" w:sz="4" w:space="0"/>
                  </w:tcBorders>
                  <w:vAlign w:val="center"/>
                </w:tcPr>
                <w:p w14:paraId="6A636EB8">
                  <w:pPr>
                    <w:autoSpaceDE w:val="0"/>
                    <w:jc w:val="center"/>
                    <w:rPr>
                      <w:color w:val="000000"/>
                      <w:szCs w:val="21"/>
                      <w:u w:val="single"/>
                    </w:rPr>
                  </w:pPr>
                  <w:r>
                    <w:rPr>
                      <w:rFonts w:hint="eastAsia"/>
                      <w:color w:val="000000"/>
                      <w:u w:val="single"/>
                    </w:rPr>
                    <w:t>0.67</w:t>
                  </w:r>
                </w:p>
              </w:tc>
              <w:tc>
                <w:tcPr>
                  <w:tcW w:w="866" w:type="dxa"/>
                  <w:tcBorders>
                    <w:top w:val="single" w:color="auto" w:sz="4" w:space="0"/>
                    <w:left w:val="single" w:color="auto" w:sz="4" w:space="0"/>
                    <w:bottom w:val="single" w:color="auto" w:sz="4" w:space="0"/>
                    <w:right w:val="single" w:color="auto" w:sz="4" w:space="0"/>
                  </w:tcBorders>
                  <w:vAlign w:val="center"/>
                </w:tcPr>
                <w:p w14:paraId="234038CF">
                  <w:pPr>
                    <w:autoSpaceDE w:val="0"/>
                    <w:jc w:val="center"/>
                    <w:rPr>
                      <w:color w:val="000000"/>
                      <w:szCs w:val="21"/>
                      <w:u w:val="single"/>
                    </w:rPr>
                  </w:pPr>
                  <w:r>
                    <w:rPr>
                      <w:rFonts w:hint="eastAsia"/>
                      <w:color w:val="000000"/>
                      <w:u w:val="single"/>
                    </w:rPr>
                    <w:t>0.68</w:t>
                  </w:r>
                </w:p>
              </w:tc>
              <w:tc>
                <w:tcPr>
                  <w:tcW w:w="784" w:type="dxa"/>
                  <w:tcBorders>
                    <w:top w:val="single" w:color="auto" w:sz="4" w:space="0"/>
                    <w:left w:val="single" w:color="auto" w:sz="4" w:space="0"/>
                    <w:bottom w:val="single" w:color="auto" w:sz="4" w:space="0"/>
                    <w:right w:val="single" w:color="auto" w:sz="4" w:space="0"/>
                  </w:tcBorders>
                  <w:vAlign w:val="center"/>
                </w:tcPr>
                <w:p w14:paraId="6B311942">
                  <w:pPr>
                    <w:autoSpaceDE w:val="0"/>
                    <w:jc w:val="center"/>
                    <w:rPr>
                      <w:color w:val="000000"/>
                      <w:szCs w:val="21"/>
                      <w:u w:val="single"/>
                    </w:rPr>
                  </w:pPr>
                  <w:r>
                    <w:rPr>
                      <w:rFonts w:hint="eastAsia"/>
                      <w:color w:val="000000"/>
                      <w:u w:val="single"/>
                    </w:rPr>
                    <w:t>1.5</w:t>
                  </w:r>
                </w:p>
              </w:tc>
              <w:tc>
                <w:tcPr>
                  <w:tcW w:w="732" w:type="dxa"/>
                  <w:tcBorders>
                    <w:top w:val="single" w:color="auto" w:sz="4" w:space="0"/>
                    <w:left w:val="single" w:color="auto" w:sz="4" w:space="0"/>
                    <w:bottom w:val="single" w:color="auto" w:sz="4" w:space="0"/>
                    <w:right w:val="single" w:color="auto" w:sz="4" w:space="0"/>
                  </w:tcBorders>
                  <w:vAlign w:val="center"/>
                </w:tcPr>
                <w:p w14:paraId="71897F40">
                  <w:pPr>
                    <w:autoSpaceDE w:val="0"/>
                    <w:jc w:val="center"/>
                    <w:rPr>
                      <w:color w:val="000000"/>
                      <w:szCs w:val="21"/>
                      <w:u w:val="single"/>
                    </w:rPr>
                  </w:pPr>
                  <w:r>
                    <w:rPr>
                      <w:rFonts w:hint="eastAsia" w:ascii="宋体" w:hAnsi="宋体"/>
                      <w:color w:val="000000"/>
                      <w:u w:val="single"/>
                    </w:rPr>
                    <w:t>达标</w:t>
                  </w:r>
                </w:p>
              </w:tc>
            </w:tr>
            <w:tr w14:paraId="7E9F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61155ED6">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7C9015DF">
                  <w:pPr>
                    <w:autoSpaceDE w:val="0"/>
                    <w:jc w:val="center"/>
                    <w:rPr>
                      <w:color w:val="000000"/>
                      <w:szCs w:val="21"/>
                      <w:u w:val="single"/>
                    </w:rPr>
                  </w:pPr>
                  <w:r>
                    <w:rPr>
                      <w:rFonts w:hint="eastAsia" w:ascii="宋体" w:hAnsi="宋体"/>
                      <w:color w:val="000000"/>
                      <w:u w:val="single"/>
                    </w:rPr>
                    <w:t>氰化物（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5171F6BB">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7B1454B0">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7CB05054">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6E2F4608">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42CE0171">
                  <w:pPr>
                    <w:autoSpaceDE w:val="0"/>
                    <w:jc w:val="center"/>
                    <w:rPr>
                      <w:color w:val="000000"/>
                      <w:szCs w:val="21"/>
                      <w:u w:val="single"/>
                    </w:rPr>
                  </w:pPr>
                  <w:r>
                    <w:rPr>
                      <w:rFonts w:hint="eastAsia"/>
                      <w:color w:val="000000"/>
                      <w:u w:val="single"/>
                    </w:rPr>
                    <w:t>0.2</w:t>
                  </w:r>
                </w:p>
              </w:tc>
              <w:tc>
                <w:tcPr>
                  <w:tcW w:w="732" w:type="dxa"/>
                  <w:tcBorders>
                    <w:top w:val="single" w:color="auto" w:sz="4" w:space="0"/>
                    <w:left w:val="single" w:color="auto" w:sz="4" w:space="0"/>
                    <w:bottom w:val="single" w:color="auto" w:sz="4" w:space="0"/>
                    <w:right w:val="single" w:color="auto" w:sz="4" w:space="0"/>
                  </w:tcBorders>
                  <w:vAlign w:val="center"/>
                </w:tcPr>
                <w:p w14:paraId="301F9639">
                  <w:pPr>
                    <w:autoSpaceDE w:val="0"/>
                    <w:jc w:val="center"/>
                    <w:rPr>
                      <w:color w:val="000000"/>
                      <w:szCs w:val="21"/>
                      <w:u w:val="single"/>
                    </w:rPr>
                  </w:pPr>
                  <w:r>
                    <w:rPr>
                      <w:rFonts w:hint="eastAsia" w:ascii="宋体" w:hAnsi="宋体"/>
                      <w:color w:val="000000"/>
                      <w:u w:val="single"/>
                    </w:rPr>
                    <w:t>达标</w:t>
                  </w:r>
                </w:p>
              </w:tc>
            </w:tr>
            <w:tr w14:paraId="0A7E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527B78FB">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5FFE89B4">
                  <w:pPr>
                    <w:autoSpaceDE w:val="0"/>
                    <w:jc w:val="center"/>
                    <w:rPr>
                      <w:color w:val="000000"/>
                      <w:szCs w:val="21"/>
                      <w:u w:val="single"/>
                    </w:rPr>
                  </w:pPr>
                  <w:r>
                    <w:rPr>
                      <w:rFonts w:hint="eastAsia" w:ascii="宋体" w:hAnsi="宋体"/>
                      <w:color w:val="000000"/>
                      <w:u w:val="single"/>
                    </w:rPr>
                    <w:t>硫化物（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1B971C3D">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2980B9E3">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413D2AD4">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09AED8D1">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7E175AB3">
                  <w:pPr>
                    <w:autoSpaceDE w:val="0"/>
                    <w:jc w:val="center"/>
                    <w:rPr>
                      <w:color w:val="000000"/>
                      <w:szCs w:val="21"/>
                      <w:u w:val="single"/>
                    </w:rPr>
                  </w:pPr>
                  <w:r>
                    <w:rPr>
                      <w:rFonts w:hint="eastAsia"/>
                      <w:color w:val="000000"/>
                      <w:u w:val="single"/>
                    </w:rPr>
                    <w:t>0.5</w:t>
                  </w:r>
                </w:p>
              </w:tc>
              <w:tc>
                <w:tcPr>
                  <w:tcW w:w="732" w:type="dxa"/>
                  <w:tcBorders>
                    <w:top w:val="single" w:color="auto" w:sz="4" w:space="0"/>
                    <w:left w:val="single" w:color="auto" w:sz="4" w:space="0"/>
                    <w:bottom w:val="single" w:color="auto" w:sz="4" w:space="0"/>
                    <w:right w:val="single" w:color="auto" w:sz="4" w:space="0"/>
                  </w:tcBorders>
                  <w:vAlign w:val="center"/>
                </w:tcPr>
                <w:p w14:paraId="38455433">
                  <w:pPr>
                    <w:autoSpaceDE w:val="0"/>
                    <w:jc w:val="center"/>
                    <w:rPr>
                      <w:color w:val="000000"/>
                      <w:szCs w:val="21"/>
                      <w:u w:val="single"/>
                    </w:rPr>
                  </w:pPr>
                  <w:r>
                    <w:rPr>
                      <w:rFonts w:hint="eastAsia" w:ascii="宋体" w:hAnsi="宋体"/>
                      <w:color w:val="000000"/>
                      <w:u w:val="single"/>
                    </w:rPr>
                    <w:t>达标</w:t>
                  </w:r>
                </w:p>
              </w:tc>
            </w:tr>
            <w:tr w14:paraId="1D62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38DF5535">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3A00C3A1">
                  <w:pPr>
                    <w:autoSpaceDE w:val="0"/>
                    <w:jc w:val="center"/>
                    <w:rPr>
                      <w:color w:val="000000"/>
                      <w:szCs w:val="21"/>
                      <w:u w:val="single"/>
                    </w:rPr>
                  </w:pPr>
                  <w:r>
                    <w:rPr>
                      <w:rFonts w:hint="eastAsia" w:ascii="宋体" w:hAnsi="宋体"/>
                      <w:color w:val="000000"/>
                      <w:u w:val="single"/>
                    </w:rPr>
                    <w:t>六价铬（</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4A84C08A">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4C9CF623">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3EDEF4C4">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01EA5D6B">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39110C03">
                  <w:pPr>
                    <w:autoSpaceDE w:val="0"/>
                    <w:jc w:val="center"/>
                    <w:rPr>
                      <w:color w:val="000000"/>
                      <w:szCs w:val="21"/>
                      <w:u w:val="single"/>
                    </w:rPr>
                  </w:pPr>
                  <w:r>
                    <w:rPr>
                      <w:rFonts w:hint="eastAsia"/>
                      <w:color w:val="000000"/>
                      <w:u w:val="single"/>
                    </w:rPr>
                    <w:t>0.05</w:t>
                  </w:r>
                </w:p>
              </w:tc>
              <w:tc>
                <w:tcPr>
                  <w:tcW w:w="732" w:type="dxa"/>
                  <w:tcBorders>
                    <w:top w:val="single" w:color="auto" w:sz="4" w:space="0"/>
                    <w:left w:val="single" w:color="auto" w:sz="4" w:space="0"/>
                    <w:bottom w:val="single" w:color="auto" w:sz="4" w:space="0"/>
                    <w:right w:val="single" w:color="auto" w:sz="4" w:space="0"/>
                  </w:tcBorders>
                  <w:vAlign w:val="center"/>
                </w:tcPr>
                <w:p w14:paraId="5D6FC08D">
                  <w:pPr>
                    <w:autoSpaceDE w:val="0"/>
                    <w:jc w:val="center"/>
                    <w:rPr>
                      <w:color w:val="000000"/>
                      <w:szCs w:val="21"/>
                      <w:u w:val="single"/>
                    </w:rPr>
                  </w:pPr>
                  <w:r>
                    <w:rPr>
                      <w:rFonts w:hint="eastAsia" w:ascii="宋体" w:hAnsi="宋体"/>
                      <w:color w:val="000000"/>
                      <w:u w:val="single"/>
                    </w:rPr>
                    <w:t>达标</w:t>
                  </w:r>
                </w:p>
              </w:tc>
            </w:tr>
            <w:tr w14:paraId="17BA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55A0A7AF">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6C43A76B">
                  <w:pPr>
                    <w:autoSpaceDE w:val="0"/>
                    <w:jc w:val="center"/>
                    <w:rPr>
                      <w:color w:val="000000"/>
                      <w:szCs w:val="21"/>
                      <w:u w:val="single"/>
                    </w:rPr>
                  </w:pPr>
                  <w:r>
                    <w:rPr>
                      <w:rFonts w:hint="eastAsia" w:ascii="宋体" w:hAnsi="宋体"/>
                      <w:color w:val="000000"/>
                      <w:u w:val="single"/>
                    </w:rPr>
                    <w:t>阴离子表面活性剂（</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4C6FCDBC">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3DEFC6F2">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7A831E19">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6FD2B9F1">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5E32477D">
                  <w:pPr>
                    <w:autoSpaceDE w:val="0"/>
                    <w:jc w:val="center"/>
                    <w:rPr>
                      <w:color w:val="000000"/>
                      <w:szCs w:val="21"/>
                      <w:u w:val="single"/>
                    </w:rPr>
                  </w:pPr>
                  <w:r>
                    <w:rPr>
                      <w:rFonts w:hint="eastAsia"/>
                      <w:color w:val="000000"/>
                      <w:u w:val="single"/>
                    </w:rPr>
                    <w:t>0.3</w:t>
                  </w:r>
                </w:p>
              </w:tc>
              <w:tc>
                <w:tcPr>
                  <w:tcW w:w="732" w:type="dxa"/>
                  <w:tcBorders>
                    <w:top w:val="single" w:color="auto" w:sz="4" w:space="0"/>
                    <w:left w:val="single" w:color="auto" w:sz="4" w:space="0"/>
                    <w:bottom w:val="single" w:color="auto" w:sz="4" w:space="0"/>
                    <w:right w:val="single" w:color="auto" w:sz="4" w:space="0"/>
                  </w:tcBorders>
                  <w:vAlign w:val="center"/>
                </w:tcPr>
                <w:p w14:paraId="4A3C4CA5">
                  <w:pPr>
                    <w:autoSpaceDE w:val="0"/>
                    <w:jc w:val="center"/>
                    <w:rPr>
                      <w:color w:val="000000"/>
                      <w:szCs w:val="21"/>
                      <w:u w:val="single"/>
                    </w:rPr>
                  </w:pPr>
                  <w:r>
                    <w:rPr>
                      <w:rFonts w:hint="eastAsia" w:ascii="宋体" w:hAnsi="宋体"/>
                      <w:color w:val="000000"/>
                      <w:u w:val="single"/>
                    </w:rPr>
                    <w:t>达标</w:t>
                  </w:r>
                </w:p>
              </w:tc>
            </w:tr>
            <w:tr w14:paraId="6BCC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1BE038FF">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16A2B4FC">
                  <w:pPr>
                    <w:autoSpaceDE w:val="0"/>
                    <w:jc w:val="center"/>
                    <w:rPr>
                      <w:color w:val="000000"/>
                      <w:szCs w:val="21"/>
                      <w:u w:val="single"/>
                    </w:rPr>
                  </w:pPr>
                  <w:r>
                    <w:rPr>
                      <w:rFonts w:hint="eastAsia" w:ascii="宋体" w:hAnsi="宋体"/>
                      <w:color w:val="000000"/>
                      <w:u w:val="single"/>
                    </w:rPr>
                    <w:t>石油类（</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4F4FB2CA">
                  <w:pPr>
                    <w:autoSpaceDE w:val="0"/>
                    <w:jc w:val="center"/>
                    <w:rPr>
                      <w:color w:val="000000"/>
                      <w:szCs w:val="21"/>
                      <w:u w:val="single"/>
                    </w:rPr>
                  </w:pPr>
                  <w:r>
                    <w:rPr>
                      <w:rFonts w:hint="eastAsia"/>
                      <w:color w:val="000000"/>
                      <w:u w:val="single"/>
                    </w:rPr>
                    <w:t>0.08~0.1</w:t>
                  </w:r>
                </w:p>
              </w:tc>
              <w:tc>
                <w:tcPr>
                  <w:tcW w:w="600" w:type="dxa"/>
                  <w:tcBorders>
                    <w:top w:val="single" w:color="auto" w:sz="4" w:space="0"/>
                    <w:left w:val="single" w:color="auto" w:sz="4" w:space="0"/>
                    <w:bottom w:val="single" w:color="auto" w:sz="4" w:space="0"/>
                    <w:right w:val="single" w:color="auto" w:sz="4" w:space="0"/>
                  </w:tcBorders>
                  <w:vAlign w:val="center"/>
                </w:tcPr>
                <w:p w14:paraId="1E558151">
                  <w:pPr>
                    <w:autoSpaceDE w:val="0"/>
                    <w:jc w:val="center"/>
                    <w:rPr>
                      <w:color w:val="000000"/>
                      <w:szCs w:val="21"/>
                      <w:u w:val="single"/>
                    </w:rPr>
                  </w:pPr>
                  <w:r>
                    <w:rPr>
                      <w:rFonts w:hint="eastAsia"/>
                      <w:color w:val="000000"/>
                      <w:u w:val="single"/>
                    </w:rPr>
                    <w:t>0.1</w:t>
                  </w:r>
                </w:p>
              </w:tc>
              <w:tc>
                <w:tcPr>
                  <w:tcW w:w="773" w:type="dxa"/>
                  <w:tcBorders>
                    <w:top w:val="single" w:color="auto" w:sz="4" w:space="0"/>
                    <w:left w:val="single" w:color="auto" w:sz="4" w:space="0"/>
                    <w:bottom w:val="single" w:color="auto" w:sz="4" w:space="0"/>
                    <w:right w:val="single" w:color="auto" w:sz="4" w:space="0"/>
                  </w:tcBorders>
                  <w:vAlign w:val="center"/>
                </w:tcPr>
                <w:p w14:paraId="5DB0E68B">
                  <w:pPr>
                    <w:autoSpaceDE w:val="0"/>
                    <w:jc w:val="center"/>
                    <w:rPr>
                      <w:color w:val="000000"/>
                      <w:szCs w:val="21"/>
                      <w:u w:val="single"/>
                    </w:rPr>
                  </w:pPr>
                  <w:r>
                    <w:rPr>
                      <w:rFonts w:hint="eastAsia"/>
                      <w:color w:val="000000"/>
                      <w:u w:val="single"/>
                    </w:rPr>
                    <w:t>0.2</w:t>
                  </w:r>
                </w:p>
              </w:tc>
              <w:tc>
                <w:tcPr>
                  <w:tcW w:w="866" w:type="dxa"/>
                  <w:tcBorders>
                    <w:top w:val="single" w:color="auto" w:sz="4" w:space="0"/>
                    <w:left w:val="single" w:color="auto" w:sz="4" w:space="0"/>
                    <w:bottom w:val="single" w:color="auto" w:sz="4" w:space="0"/>
                    <w:right w:val="single" w:color="auto" w:sz="4" w:space="0"/>
                  </w:tcBorders>
                  <w:vAlign w:val="center"/>
                </w:tcPr>
                <w:p w14:paraId="747AF72B">
                  <w:pPr>
                    <w:autoSpaceDE w:val="0"/>
                    <w:jc w:val="center"/>
                    <w:rPr>
                      <w:color w:val="000000"/>
                      <w:szCs w:val="21"/>
                      <w:u w:val="single"/>
                    </w:rPr>
                  </w:pPr>
                  <w:r>
                    <w:rPr>
                      <w:rFonts w:hint="eastAsia"/>
                      <w:color w:val="000000"/>
                      <w:u w:val="single"/>
                    </w:rPr>
                    <w:t>0.2</w:t>
                  </w:r>
                </w:p>
              </w:tc>
              <w:tc>
                <w:tcPr>
                  <w:tcW w:w="784" w:type="dxa"/>
                  <w:tcBorders>
                    <w:top w:val="single" w:color="auto" w:sz="4" w:space="0"/>
                    <w:left w:val="single" w:color="auto" w:sz="4" w:space="0"/>
                    <w:bottom w:val="single" w:color="auto" w:sz="4" w:space="0"/>
                    <w:right w:val="single" w:color="auto" w:sz="4" w:space="0"/>
                  </w:tcBorders>
                  <w:vAlign w:val="center"/>
                </w:tcPr>
                <w:p w14:paraId="0008AF9F">
                  <w:pPr>
                    <w:autoSpaceDE w:val="0"/>
                    <w:jc w:val="center"/>
                    <w:rPr>
                      <w:color w:val="000000"/>
                      <w:szCs w:val="21"/>
                      <w:u w:val="single"/>
                    </w:rPr>
                  </w:pPr>
                  <w:r>
                    <w:rPr>
                      <w:rFonts w:hint="eastAsia"/>
                      <w:color w:val="000000"/>
                      <w:u w:val="single"/>
                    </w:rPr>
                    <w:t>0.5</w:t>
                  </w:r>
                </w:p>
              </w:tc>
              <w:tc>
                <w:tcPr>
                  <w:tcW w:w="732" w:type="dxa"/>
                  <w:tcBorders>
                    <w:top w:val="single" w:color="auto" w:sz="4" w:space="0"/>
                    <w:left w:val="single" w:color="auto" w:sz="4" w:space="0"/>
                    <w:bottom w:val="single" w:color="auto" w:sz="4" w:space="0"/>
                    <w:right w:val="single" w:color="auto" w:sz="4" w:space="0"/>
                  </w:tcBorders>
                  <w:vAlign w:val="center"/>
                </w:tcPr>
                <w:p w14:paraId="643B3DF4">
                  <w:pPr>
                    <w:autoSpaceDE w:val="0"/>
                    <w:jc w:val="center"/>
                    <w:rPr>
                      <w:color w:val="000000"/>
                      <w:szCs w:val="21"/>
                      <w:u w:val="single"/>
                    </w:rPr>
                  </w:pPr>
                  <w:r>
                    <w:rPr>
                      <w:rFonts w:hint="eastAsia" w:ascii="宋体" w:hAnsi="宋体"/>
                      <w:color w:val="000000"/>
                      <w:u w:val="single"/>
                    </w:rPr>
                    <w:t>达标</w:t>
                  </w:r>
                </w:p>
              </w:tc>
            </w:tr>
            <w:tr w14:paraId="2B58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tcBorders>
                    <w:top w:val="nil"/>
                    <w:left w:val="single" w:color="auto" w:sz="4" w:space="0"/>
                    <w:bottom w:val="single" w:color="auto" w:sz="4" w:space="0"/>
                    <w:right w:val="single" w:color="auto" w:sz="4" w:space="0"/>
                  </w:tcBorders>
                  <w:vAlign w:val="center"/>
                </w:tcPr>
                <w:p w14:paraId="16D0980F">
                  <w:pPr>
                    <w:autoSpaceDE w:val="0"/>
                    <w:jc w:val="center"/>
                    <w:rPr>
                      <w:color w:val="000000"/>
                      <w:szCs w:val="21"/>
                      <w:u w:val="single"/>
                    </w:rPr>
                  </w:pPr>
                  <w:r>
                    <w:rPr>
                      <w:rFonts w:hint="eastAsia"/>
                      <w:color w:val="000000"/>
                      <w:u w:val="single"/>
                    </w:rPr>
                    <w:t>W2</w:t>
                  </w:r>
                  <w:r>
                    <w:rPr>
                      <w:rFonts w:hint="eastAsia" w:ascii="宋体" w:hAnsi="宋体"/>
                      <w:color w:val="000000"/>
                      <w:u w:val="single"/>
                    </w:rPr>
                    <w:t>潴泷河排污口</w:t>
                  </w:r>
                </w:p>
              </w:tc>
              <w:tc>
                <w:tcPr>
                  <w:tcW w:w="2516" w:type="dxa"/>
                  <w:tcBorders>
                    <w:top w:val="single" w:color="auto" w:sz="4" w:space="0"/>
                    <w:left w:val="single" w:color="auto" w:sz="4" w:space="0"/>
                    <w:bottom w:val="single" w:color="auto" w:sz="4" w:space="0"/>
                    <w:right w:val="single" w:color="auto" w:sz="4" w:space="0"/>
                  </w:tcBorders>
                  <w:vAlign w:val="center"/>
                </w:tcPr>
                <w:p w14:paraId="39F92291">
                  <w:pPr>
                    <w:autoSpaceDE w:val="0"/>
                    <w:jc w:val="center"/>
                    <w:rPr>
                      <w:color w:val="000000"/>
                      <w:szCs w:val="21"/>
                      <w:u w:val="single"/>
                    </w:rPr>
                  </w:pPr>
                  <w:r>
                    <w:rPr>
                      <w:rFonts w:hint="eastAsia"/>
                      <w:color w:val="000000"/>
                      <w:u w:val="single"/>
                    </w:rPr>
                    <w:t>pH</w:t>
                  </w:r>
                  <w:r>
                    <w:rPr>
                      <w:rFonts w:hint="eastAsia" w:ascii="宋体" w:hAnsi="宋体"/>
                      <w:color w:val="000000"/>
                      <w:u w:val="single"/>
                    </w:rPr>
                    <w:t>（无量纲）</w:t>
                  </w:r>
                </w:p>
              </w:tc>
              <w:tc>
                <w:tcPr>
                  <w:tcW w:w="1142" w:type="dxa"/>
                  <w:tcBorders>
                    <w:top w:val="single" w:color="auto" w:sz="4" w:space="0"/>
                    <w:left w:val="single" w:color="auto" w:sz="4" w:space="0"/>
                    <w:bottom w:val="single" w:color="auto" w:sz="4" w:space="0"/>
                    <w:right w:val="single" w:color="auto" w:sz="4" w:space="0"/>
                  </w:tcBorders>
                  <w:vAlign w:val="center"/>
                </w:tcPr>
                <w:p w14:paraId="606B62F3">
                  <w:pPr>
                    <w:autoSpaceDE w:val="0"/>
                    <w:jc w:val="center"/>
                    <w:rPr>
                      <w:color w:val="000000"/>
                      <w:szCs w:val="21"/>
                      <w:u w:val="single"/>
                    </w:rPr>
                  </w:pPr>
                  <w:r>
                    <w:rPr>
                      <w:rFonts w:hint="eastAsia"/>
                      <w:color w:val="000000"/>
                      <w:u w:val="single"/>
                    </w:rPr>
                    <w:t>7.9</w:t>
                  </w:r>
                </w:p>
              </w:tc>
              <w:tc>
                <w:tcPr>
                  <w:tcW w:w="600" w:type="dxa"/>
                  <w:tcBorders>
                    <w:top w:val="single" w:color="auto" w:sz="4" w:space="0"/>
                    <w:left w:val="single" w:color="auto" w:sz="4" w:space="0"/>
                    <w:bottom w:val="single" w:color="auto" w:sz="4" w:space="0"/>
                    <w:right w:val="single" w:color="auto" w:sz="4" w:space="0"/>
                  </w:tcBorders>
                  <w:vAlign w:val="center"/>
                </w:tcPr>
                <w:p w14:paraId="48908CD4">
                  <w:pPr>
                    <w:autoSpaceDE w:val="0"/>
                    <w:jc w:val="center"/>
                    <w:rPr>
                      <w:color w:val="000000"/>
                      <w:szCs w:val="21"/>
                      <w:u w:val="single"/>
                    </w:rPr>
                  </w:pPr>
                  <w:r>
                    <w:rPr>
                      <w:rFonts w:hint="eastAsia"/>
                      <w:color w:val="000000"/>
                      <w:u w:val="single"/>
                    </w:rPr>
                    <w:t>7.9</w:t>
                  </w:r>
                </w:p>
              </w:tc>
              <w:tc>
                <w:tcPr>
                  <w:tcW w:w="773" w:type="dxa"/>
                  <w:tcBorders>
                    <w:top w:val="single" w:color="auto" w:sz="4" w:space="0"/>
                    <w:left w:val="single" w:color="auto" w:sz="4" w:space="0"/>
                    <w:bottom w:val="single" w:color="auto" w:sz="4" w:space="0"/>
                    <w:right w:val="single" w:color="auto" w:sz="4" w:space="0"/>
                  </w:tcBorders>
                  <w:vAlign w:val="center"/>
                </w:tcPr>
                <w:p w14:paraId="01FB1AC5">
                  <w:pPr>
                    <w:autoSpaceDE w:val="0"/>
                    <w:jc w:val="center"/>
                    <w:rPr>
                      <w:color w:val="000000"/>
                      <w:szCs w:val="21"/>
                      <w:u w:val="single"/>
                    </w:rPr>
                  </w:pPr>
                  <w:r>
                    <w:rPr>
                      <w:rFonts w:hint="eastAsia"/>
                      <w:color w:val="000000"/>
                      <w:u w:val="single"/>
                    </w:rPr>
                    <w:t>0.45</w:t>
                  </w:r>
                </w:p>
              </w:tc>
              <w:tc>
                <w:tcPr>
                  <w:tcW w:w="866" w:type="dxa"/>
                  <w:tcBorders>
                    <w:top w:val="single" w:color="auto" w:sz="4" w:space="0"/>
                    <w:left w:val="single" w:color="auto" w:sz="4" w:space="0"/>
                    <w:bottom w:val="single" w:color="auto" w:sz="4" w:space="0"/>
                    <w:right w:val="single" w:color="auto" w:sz="4" w:space="0"/>
                  </w:tcBorders>
                  <w:vAlign w:val="center"/>
                </w:tcPr>
                <w:p w14:paraId="5037E39B">
                  <w:pPr>
                    <w:autoSpaceDE w:val="0"/>
                    <w:jc w:val="center"/>
                    <w:rPr>
                      <w:color w:val="000000"/>
                      <w:szCs w:val="21"/>
                      <w:u w:val="single"/>
                    </w:rPr>
                  </w:pPr>
                  <w:r>
                    <w:rPr>
                      <w:rFonts w:hint="eastAsia"/>
                      <w:color w:val="000000"/>
                      <w:u w:val="single"/>
                    </w:rPr>
                    <w:t>0.45</w:t>
                  </w:r>
                </w:p>
              </w:tc>
              <w:tc>
                <w:tcPr>
                  <w:tcW w:w="784" w:type="dxa"/>
                  <w:tcBorders>
                    <w:top w:val="single" w:color="auto" w:sz="4" w:space="0"/>
                    <w:left w:val="single" w:color="auto" w:sz="4" w:space="0"/>
                    <w:bottom w:val="single" w:color="auto" w:sz="4" w:space="0"/>
                    <w:right w:val="single" w:color="auto" w:sz="4" w:space="0"/>
                  </w:tcBorders>
                  <w:vAlign w:val="center"/>
                </w:tcPr>
                <w:p w14:paraId="5CE4A898">
                  <w:pPr>
                    <w:autoSpaceDE w:val="0"/>
                    <w:jc w:val="center"/>
                    <w:rPr>
                      <w:color w:val="000000"/>
                      <w:szCs w:val="21"/>
                      <w:u w:val="single"/>
                    </w:rPr>
                  </w:pPr>
                  <w:r>
                    <w:rPr>
                      <w:rFonts w:hint="eastAsia"/>
                      <w:color w:val="000000"/>
                      <w:u w:val="single"/>
                    </w:rPr>
                    <w:t>6-9</w:t>
                  </w:r>
                </w:p>
              </w:tc>
              <w:tc>
                <w:tcPr>
                  <w:tcW w:w="732" w:type="dxa"/>
                  <w:tcBorders>
                    <w:top w:val="single" w:color="auto" w:sz="4" w:space="0"/>
                    <w:left w:val="single" w:color="auto" w:sz="4" w:space="0"/>
                    <w:bottom w:val="single" w:color="auto" w:sz="4" w:space="0"/>
                    <w:right w:val="single" w:color="auto" w:sz="4" w:space="0"/>
                  </w:tcBorders>
                  <w:vAlign w:val="center"/>
                </w:tcPr>
                <w:p w14:paraId="4B77E392">
                  <w:pPr>
                    <w:autoSpaceDE w:val="0"/>
                    <w:jc w:val="center"/>
                    <w:rPr>
                      <w:color w:val="000000"/>
                      <w:szCs w:val="21"/>
                      <w:u w:val="single"/>
                    </w:rPr>
                  </w:pPr>
                  <w:r>
                    <w:rPr>
                      <w:rFonts w:hint="eastAsia" w:ascii="宋体" w:hAnsi="宋体"/>
                      <w:color w:val="000000"/>
                      <w:u w:val="single"/>
                    </w:rPr>
                    <w:t>达标</w:t>
                  </w:r>
                </w:p>
              </w:tc>
            </w:tr>
            <w:tr w14:paraId="59B3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2970DE74">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58AFB572">
                  <w:pPr>
                    <w:autoSpaceDE w:val="0"/>
                    <w:jc w:val="center"/>
                    <w:rPr>
                      <w:color w:val="000000"/>
                      <w:szCs w:val="21"/>
                      <w:u w:val="single"/>
                    </w:rPr>
                  </w:pPr>
                  <w:r>
                    <w:rPr>
                      <w:rFonts w:hint="eastAsia" w:ascii="宋体" w:hAnsi="宋体"/>
                      <w:color w:val="000000"/>
                      <w:u w:val="single"/>
                    </w:rPr>
                    <w:t>化学需氧量（</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0511B2BA">
                  <w:pPr>
                    <w:autoSpaceDE w:val="0"/>
                    <w:jc w:val="center"/>
                    <w:rPr>
                      <w:color w:val="000000"/>
                      <w:szCs w:val="21"/>
                      <w:u w:val="single"/>
                    </w:rPr>
                  </w:pPr>
                  <w:r>
                    <w:rPr>
                      <w:rFonts w:hint="eastAsia"/>
                      <w:color w:val="000000"/>
                      <w:u w:val="single"/>
                    </w:rPr>
                    <w:t>7~13</w:t>
                  </w:r>
                </w:p>
              </w:tc>
              <w:tc>
                <w:tcPr>
                  <w:tcW w:w="600" w:type="dxa"/>
                  <w:tcBorders>
                    <w:top w:val="single" w:color="auto" w:sz="4" w:space="0"/>
                    <w:left w:val="single" w:color="auto" w:sz="4" w:space="0"/>
                    <w:bottom w:val="single" w:color="auto" w:sz="4" w:space="0"/>
                    <w:right w:val="single" w:color="auto" w:sz="4" w:space="0"/>
                  </w:tcBorders>
                  <w:vAlign w:val="center"/>
                </w:tcPr>
                <w:p w14:paraId="47A01E96">
                  <w:pPr>
                    <w:autoSpaceDE w:val="0"/>
                    <w:jc w:val="center"/>
                    <w:rPr>
                      <w:color w:val="000000"/>
                      <w:szCs w:val="21"/>
                      <w:u w:val="single"/>
                    </w:rPr>
                  </w:pPr>
                  <w:r>
                    <w:rPr>
                      <w:rFonts w:hint="eastAsia"/>
                      <w:color w:val="000000"/>
                      <w:u w:val="single"/>
                    </w:rPr>
                    <w:t>9.7</w:t>
                  </w:r>
                </w:p>
              </w:tc>
              <w:tc>
                <w:tcPr>
                  <w:tcW w:w="773" w:type="dxa"/>
                  <w:tcBorders>
                    <w:top w:val="single" w:color="auto" w:sz="4" w:space="0"/>
                    <w:left w:val="single" w:color="auto" w:sz="4" w:space="0"/>
                    <w:bottom w:val="single" w:color="auto" w:sz="4" w:space="0"/>
                    <w:right w:val="single" w:color="auto" w:sz="4" w:space="0"/>
                  </w:tcBorders>
                  <w:vAlign w:val="center"/>
                </w:tcPr>
                <w:p w14:paraId="7FEA1B57">
                  <w:pPr>
                    <w:autoSpaceDE w:val="0"/>
                    <w:jc w:val="center"/>
                    <w:rPr>
                      <w:color w:val="000000"/>
                      <w:szCs w:val="21"/>
                      <w:u w:val="single"/>
                    </w:rPr>
                  </w:pPr>
                  <w:r>
                    <w:rPr>
                      <w:rFonts w:hint="eastAsia"/>
                      <w:color w:val="000000"/>
                      <w:u w:val="single"/>
                    </w:rPr>
                    <w:t>0.32</w:t>
                  </w:r>
                </w:p>
              </w:tc>
              <w:tc>
                <w:tcPr>
                  <w:tcW w:w="866" w:type="dxa"/>
                  <w:tcBorders>
                    <w:top w:val="single" w:color="auto" w:sz="4" w:space="0"/>
                    <w:left w:val="single" w:color="auto" w:sz="4" w:space="0"/>
                    <w:bottom w:val="single" w:color="auto" w:sz="4" w:space="0"/>
                    <w:right w:val="single" w:color="auto" w:sz="4" w:space="0"/>
                  </w:tcBorders>
                  <w:vAlign w:val="center"/>
                </w:tcPr>
                <w:p w14:paraId="44DF0D52">
                  <w:pPr>
                    <w:autoSpaceDE w:val="0"/>
                    <w:jc w:val="center"/>
                    <w:rPr>
                      <w:color w:val="000000"/>
                      <w:szCs w:val="21"/>
                      <w:u w:val="single"/>
                    </w:rPr>
                  </w:pPr>
                  <w:r>
                    <w:rPr>
                      <w:rFonts w:hint="eastAsia"/>
                      <w:color w:val="000000"/>
                      <w:u w:val="single"/>
                    </w:rPr>
                    <w:t>0.43</w:t>
                  </w:r>
                </w:p>
              </w:tc>
              <w:tc>
                <w:tcPr>
                  <w:tcW w:w="784" w:type="dxa"/>
                  <w:tcBorders>
                    <w:top w:val="single" w:color="auto" w:sz="4" w:space="0"/>
                    <w:left w:val="single" w:color="auto" w:sz="4" w:space="0"/>
                    <w:bottom w:val="single" w:color="auto" w:sz="4" w:space="0"/>
                    <w:right w:val="single" w:color="auto" w:sz="4" w:space="0"/>
                  </w:tcBorders>
                  <w:vAlign w:val="center"/>
                </w:tcPr>
                <w:p w14:paraId="440E1894">
                  <w:pPr>
                    <w:autoSpaceDE w:val="0"/>
                    <w:jc w:val="center"/>
                    <w:rPr>
                      <w:color w:val="000000"/>
                      <w:szCs w:val="21"/>
                      <w:u w:val="single"/>
                    </w:rPr>
                  </w:pPr>
                  <w:r>
                    <w:rPr>
                      <w:rFonts w:hint="eastAsia"/>
                      <w:color w:val="000000"/>
                      <w:u w:val="single"/>
                    </w:rPr>
                    <w:t>30</w:t>
                  </w:r>
                </w:p>
              </w:tc>
              <w:tc>
                <w:tcPr>
                  <w:tcW w:w="732" w:type="dxa"/>
                  <w:tcBorders>
                    <w:top w:val="single" w:color="auto" w:sz="4" w:space="0"/>
                    <w:left w:val="single" w:color="auto" w:sz="4" w:space="0"/>
                    <w:bottom w:val="single" w:color="auto" w:sz="4" w:space="0"/>
                    <w:right w:val="single" w:color="auto" w:sz="4" w:space="0"/>
                  </w:tcBorders>
                  <w:vAlign w:val="center"/>
                </w:tcPr>
                <w:p w14:paraId="13AFE6FB">
                  <w:pPr>
                    <w:autoSpaceDE w:val="0"/>
                    <w:jc w:val="center"/>
                    <w:rPr>
                      <w:color w:val="000000"/>
                      <w:szCs w:val="21"/>
                      <w:u w:val="single"/>
                    </w:rPr>
                  </w:pPr>
                  <w:r>
                    <w:rPr>
                      <w:rFonts w:hint="eastAsia" w:ascii="宋体" w:hAnsi="宋体"/>
                      <w:color w:val="000000"/>
                      <w:u w:val="single"/>
                    </w:rPr>
                    <w:t>达标</w:t>
                  </w:r>
                </w:p>
              </w:tc>
            </w:tr>
            <w:tr w14:paraId="1364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2CE87265">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23313E0A">
                  <w:pPr>
                    <w:autoSpaceDE w:val="0"/>
                    <w:jc w:val="center"/>
                    <w:rPr>
                      <w:color w:val="000000"/>
                      <w:szCs w:val="21"/>
                      <w:u w:val="single"/>
                    </w:rPr>
                  </w:pPr>
                  <w:r>
                    <w:rPr>
                      <w:rFonts w:hint="eastAsia" w:ascii="宋体" w:hAnsi="宋体"/>
                      <w:color w:val="000000"/>
                      <w:u w:val="single"/>
                    </w:rPr>
                    <w:t>五日生化需氧量（</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54F666D4">
                  <w:pPr>
                    <w:autoSpaceDE w:val="0"/>
                    <w:jc w:val="center"/>
                    <w:rPr>
                      <w:color w:val="000000"/>
                      <w:szCs w:val="21"/>
                      <w:u w:val="single"/>
                    </w:rPr>
                  </w:pPr>
                  <w:r>
                    <w:rPr>
                      <w:rFonts w:hint="eastAsia"/>
                      <w:color w:val="000000"/>
                      <w:u w:val="single"/>
                    </w:rPr>
                    <w:t>3.3~4.9</w:t>
                  </w:r>
                </w:p>
              </w:tc>
              <w:tc>
                <w:tcPr>
                  <w:tcW w:w="600" w:type="dxa"/>
                  <w:tcBorders>
                    <w:top w:val="single" w:color="auto" w:sz="4" w:space="0"/>
                    <w:left w:val="single" w:color="auto" w:sz="4" w:space="0"/>
                    <w:bottom w:val="single" w:color="auto" w:sz="4" w:space="0"/>
                    <w:right w:val="single" w:color="auto" w:sz="4" w:space="0"/>
                  </w:tcBorders>
                  <w:vAlign w:val="center"/>
                </w:tcPr>
                <w:p w14:paraId="09FBD693">
                  <w:pPr>
                    <w:autoSpaceDE w:val="0"/>
                    <w:jc w:val="center"/>
                    <w:rPr>
                      <w:color w:val="000000"/>
                      <w:szCs w:val="21"/>
                      <w:u w:val="single"/>
                    </w:rPr>
                  </w:pPr>
                  <w:r>
                    <w:rPr>
                      <w:rFonts w:hint="eastAsia"/>
                      <w:color w:val="000000"/>
                      <w:u w:val="single"/>
                    </w:rPr>
                    <w:t>3.9</w:t>
                  </w:r>
                </w:p>
              </w:tc>
              <w:tc>
                <w:tcPr>
                  <w:tcW w:w="773" w:type="dxa"/>
                  <w:tcBorders>
                    <w:top w:val="single" w:color="auto" w:sz="4" w:space="0"/>
                    <w:left w:val="single" w:color="auto" w:sz="4" w:space="0"/>
                    <w:bottom w:val="single" w:color="auto" w:sz="4" w:space="0"/>
                    <w:right w:val="single" w:color="auto" w:sz="4" w:space="0"/>
                  </w:tcBorders>
                  <w:vAlign w:val="center"/>
                </w:tcPr>
                <w:p w14:paraId="6E6D3365">
                  <w:pPr>
                    <w:autoSpaceDE w:val="0"/>
                    <w:jc w:val="center"/>
                    <w:rPr>
                      <w:color w:val="000000"/>
                      <w:szCs w:val="21"/>
                      <w:u w:val="single"/>
                    </w:rPr>
                  </w:pPr>
                  <w:r>
                    <w:rPr>
                      <w:rFonts w:hint="eastAsia"/>
                      <w:color w:val="000000"/>
                      <w:u w:val="single"/>
                    </w:rPr>
                    <w:t>0.65</w:t>
                  </w:r>
                </w:p>
              </w:tc>
              <w:tc>
                <w:tcPr>
                  <w:tcW w:w="866" w:type="dxa"/>
                  <w:tcBorders>
                    <w:top w:val="single" w:color="auto" w:sz="4" w:space="0"/>
                    <w:left w:val="single" w:color="auto" w:sz="4" w:space="0"/>
                    <w:bottom w:val="single" w:color="auto" w:sz="4" w:space="0"/>
                    <w:right w:val="single" w:color="auto" w:sz="4" w:space="0"/>
                  </w:tcBorders>
                  <w:vAlign w:val="center"/>
                </w:tcPr>
                <w:p w14:paraId="16CD7678">
                  <w:pPr>
                    <w:autoSpaceDE w:val="0"/>
                    <w:jc w:val="center"/>
                    <w:rPr>
                      <w:color w:val="000000"/>
                      <w:szCs w:val="21"/>
                      <w:u w:val="single"/>
                    </w:rPr>
                  </w:pPr>
                  <w:r>
                    <w:rPr>
                      <w:rFonts w:hint="eastAsia"/>
                      <w:color w:val="000000"/>
                      <w:u w:val="single"/>
                    </w:rPr>
                    <w:t>0.82</w:t>
                  </w:r>
                </w:p>
              </w:tc>
              <w:tc>
                <w:tcPr>
                  <w:tcW w:w="784" w:type="dxa"/>
                  <w:tcBorders>
                    <w:top w:val="single" w:color="auto" w:sz="4" w:space="0"/>
                    <w:left w:val="single" w:color="auto" w:sz="4" w:space="0"/>
                    <w:bottom w:val="single" w:color="auto" w:sz="4" w:space="0"/>
                    <w:right w:val="single" w:color="auto" w:sz="4" w:space="0"/>
                  </w:tcBorders>
                  <w:vAlign w:val="center"/>
                </w:tcPr>
                <w:p w14:paraId="06033E80">
                  <w:pPr>
                    <w:autoSpaceDE w:val="0"/>
                    <w:jc w:val="center"/>
                    <w:rPr>
                      <w:color w:val="000000"/>
                      <w:szCs w:val="21"/>
                      <w:u w:val="single"/>
                    </w:rPr>
                  </w:pPr>
                  <w:r>
                    <w:rPr>
                      <w:rFonts w:hint="eastAsia"/>
                      <w:color w:val="000000"/>
                      <w:u w:val="single"/>
                    </w:rPr>
                    <w:t>6</w:t>
                  </w:r>
                </w:p>
              </w:tc>
              <w:tc>
                <w:tcPr>
                  <w:tcW w:w="732" w:type="dxa"/>
                  <w:tcBorders>
                    <w:top w:val="single" w:color="auto" w:sz="4" w:space="0"/>
                    <w:left w:val="single" w:color="auto" w:sz="4" w:space="0"/>
                    <w:bottom w:val="single" w:color="auto" w:sz="4" w:space="0"/>
                    <w:right w:val="single" w:color="auto" w:sz="4" w:space="0"/>
                  </w:tcBorders>
                  <w:vAlign w:val="center"/>
                </w:tcPr>
                <w:p w14:paraId="02EC44F4">
                  <w:pPr>
                    <w:autoSpaceDE w:val="0"/>
                    <w:jc w:val="center"/>
                    <w:rPr>
                      <w:color w:val="000000"/>
                      <w:szCs w:val="21"/>
                      <w:u w:val="single"/>
                    </w:rPr>
                  </w:pPr>
                  <w:r>
                    <w:rPr>
                      <w:rFonts w:hint="eastAsia" w:ascii="宋体" w:hAnsi="宋体"/>
                      <w:color w:val="000000"/>
                      <w:u w:val="single"/>
                    </w:rPr>
                    <w:t>达标</w:t>
                  </w:r>
                </w:p>
              </w:tc>
            </w:tr>
            <w:tr w14:paraId="6641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2A59F463">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1B68DF34">
                  <w:pPr>
                    <w:autoSpaceDE w:val="0"/>
                    <w:jc w:val="center"/>
                    <w:rPr>
                      <w:color w:val="000000"/>
                      <w:szCs w:val="21"/>
                      <w:u w:val="single"/>
                    </w:rPr>
                  </w:pPr>
                  <w:r>
                    <w:rPr>
                      <w:rFonts w:hint="eastAsia" w:ascii="宋体" w:hAnsi="宋体"/>
                      <w:color w:val="000000"/>
                      <w:u w:val="single"/>
                    </w:rPr>
                    <w:t>悬浮物（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25FFEC6A">
                  <w:pPr>
                    <w:autoSpaceDE w:val="0"/>
                    <w:jc w:val="center"/>
                    <w:rPr>
                      <w:color w:val="000000"/>
                      <w:szCs w:val="21"/>
                      <w:u w:val="single"/>
                    </w:rPr>
                  </w:pPr>
                  <w:r>
                    <w:rPr>
                      <w:rFonts w:hint="eastAsia"/>
                      <w:color w:val="000000"/>
                      <w:u w:val="single"/>
                    </w:rPr>
                    <w:t>78~167</w:t>
                  </w:r>
                </w:p>
              </w:tc>
              <w:tc>
                <w:tcPr>
                  <w:tcW w:w="600" w:type="dxa"/>
                  <w:tcBorders>
                    <w:top w:val="single" w:color="auto" w:sz="4" w:space="0"/>
                    <w:left w:val="single" w:color="auto" w:sz="4" w:space="0"/>
                    <w:bottom w:val="single" w:color="auto" w:sz="4" w:space="0"/>
                    <w:right w:val="single" w:color="auto" w:sz="4" w:space="0"/>
                  </w:tcBorders>
                  <w:vAlign w:val="center"/>
                </w:tcPr>
                <w:p w14:paraId="765C51A4">
                  <w:pPr>
                    <w:autoSpaceDE w:val="0"/>
                    <w:jc w:val="center"/>
                    <w:rPr>
                      <w:color w:val="000000"/>
                      <w:szCs w:val="21"/>
                      <w:u w:val="single"/>
                    </w:rPr>
                  </w:pPr>
                  <w:r>
                    <w:rPr>
                      <w:rFonts w:hint="eastAsia"/>
                      <w:color w:val="000000"/>
                      <w:u w:val="single"/>
                    </w:rPr>
                    <w:t>121</w:t>
                  </w:r>
                </w:p>
              </w:tc>
              <w:tc>
                <w:tcPr>
                  <w:tcW w:w="773" w:type="dxa"/>
                  <w:tcBorders>
                    <w:top w:val="single" w:color="auto" w:sz="4" w:space="0"/>
                    <w:left w:val="single" w:color="auto" w:sz="4" w:space="0"/>
                    <w:bottom w:val="single" w:color="auto" w:sz="4" w:space="0"/>
                    <w:right w:val="single" w:color="auto" w:sz="4" w:space="0"/>
                  </w:tcBorders>
                  <w:vAlign w:val="center"/>
                </w:tcPr>
                <w:p w14:paraId="38B70173">
                  <w:pPr>
                    <w:autoSpaceDE w:val="0"/>
                    <w:jc w:val="center"/>
                    <w:rPr>
                      <w:color w:val="000000"/>
                      <w:szCs w:val="21"/>
                      <w:u w:val="single"/>
                    </w:rPr>
                  </w:pPr>
                  <w:r>
                    <w:rPr>
                      <w:rFonts w:hint="eastAsia"/>
                      <w:color w:val="000000"/>
                      <w:u w:val="single"/>
                    </w:rPr>
                    <w:t>2.02</w:t>
                  </w:r>
                </w:p>
              </w:tc>
              <w:tc>
                <w:tcPr>
                  <w:tcW w:w="866" w:type="dxa"/>
                  <w:tcBorders>
                    <w:top w:val="single" w:color="auto" w:sz="4" w:space="0"/>
                    <w:left w:val="single" w:color="auto" w:sz="4" w:space="0"/>
                    <w:bottom w:val="single" w:color="auto" w:sz="4" w:space="0"/>
                    <w:right w:val="single" w:color="auto" w:sz="4" w:space="0"/>
                  </w:tcBorders>
                  <w:vAlign w:val="center"/>
                </w:tcPr>
                <w:p w14:paraId="0C47F33C">
                  <w:pPr>
                    <w:autoSpaceDE w:val="0"/>
                    <w:jc w:val="center"/>
                    <w:rPr>
                      <w:color w:val="000000"/>
                      <w:szCs w:val="21"/>
                      <w:u w:val="single"/>
                    </w:rPr>
                  </w:pPr>
                  <w:r>
                    <w:rPr>
                      <w:rFonts w:hint="eastAsia"/>
                      <w:color w:val="000000"/>
                      <w:u w:val="single"/>
                    </w:rPr>
                    <w:t>2.78</w:t>
                  </w:r>
                </w:p>
              </w:tc>
              <w:tc>
                <w:tcPr>
                  <w:tcW w:w="784" w:type="dxa"/>
                  <w:tcBorders>
                    <w:top w:val="single" w:color="auto" w:sz="4" w:space="0"/>
                    <w:left w:val="single" w:color="auto" w:sz="4" w:space="0"/>
                    <w:bottom w:val="single" w:color="auto" w:sz="4" w:space="0"/>
                    <w:right w:val="single" w:color="auto" w:sz="4" w:space="0"/>
                  </w:tcBorders>
                  <w:vAlign w:val="center"/>
                </w:tcPr>
                <w:p w14:paraId="475F370F">
                  <w:pPr>
                    <w:autoSpaceDE w:val="0"/>
                    <w:jc w:val="center"/>
                    <w:rPr>
                      <w:color w:val="000000"/>
                      <w:szCs w:val="21"/>
                      <w:u w:val="single"/>
                    </w:rPr>
                  </w:pPr>
                  <w:r>
                    <w:rPr>
                      <w:rFonts w:hint="eastAsia"/>
                      <w:color w:val="000000"/>
                      <w:u w:val="single"/>
                    </w:rPr>
                    <w:t>60</w:t>
                  </w:r>
                </w:p>
              </w:tc>
              <w:tc>
                <w:tcPr>
                  <w:tcW w:w="732" w:type="dxa"/>
                  <w:tcBorders>
                    <w:top w:val="single" w:color="auto" w:sz="4" w:space="0"/>
                    <w:left w:val="single" w:color="auto" w:sz="4" w:space="0"/>
                    <w:bottom w:val="single" w:color="auto" w:sz="4" w:space="0"/>
                    <w:right w:val="single" w:color="auto" w:sz="4" w:space="0"/>
                  </w:tcBorders>
                  <w:vAlign w:val="center"/>
                </w:tcPr>
                <w:p w14:paraId="4BDD46EE">
                  <w:pPr>
                    <w:autoSpaceDE w:val="0"/>
                    <w:jc w:val="center"/>
                    <w:rPr>
                      <w:color w:val="000000"/>
                      <w:szCs w:val="21"/>
                      <w:u w:val="single"/>
                    </w:rPr>
                  </w:pPr>
                  <w:r>
                    <w:rPr>
                      <w:rFonts w:hint="eastAsia" w:ascii="宋体" w:hAnsi="宋体"/>
                      <w:color w:val="000000"/>
                      <w:u w:val="single"/>
                    </w:rPr>
                    <w:t>超标</w:t>
                  </w:r>
                </w:p>
              </w:tc>
            </w:tr>
            <w:tr w14:paraId="5068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793B44E4">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6D94AF15">
                  <w:pPr>
                    <w:autoSpaceDE w:val="0"/>
                    <w:jc w:val="center"/>
                    <w:rPr>
                      <w:color w:val="000000"/>
                      <w:szCs w:val="21"/>
                      <w:u w:val="single"/>
                    </w:rPr>
                  </w:pPr>
                  <w:r>
                    <w:rPr>
                      <w:rFonts w:hint="eastAsia" w:ascii="宋体" w:hAnsi="宋体"/>
                      <w:color w:val="000000"/>
                      <w:u w:val="single"/>
                    </w:rPr>
                    <w:t>氨氮（</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72431060">
                  <w:pPr>
                    <w:autoSpaceDE w:val="0"/>
                    <w:jc w:val="center"/>
                    <w:rPr>
                      <w:color w:val="000000"/>
                      <w:szCs w:val="21"/>
                      <w:u w:val="single"/>
                    </w:rPr>
                  </w:pPr>
                  <w:r>
                    <w:rPr>
                      <w:rFonts w:hint="eastAsia"/>
                      <w:color w:val="000000"/>
                      <w:u w:val="single"/>
                    </w:rPr>
                    <w:t>0.03~0.08</w:t>
                  </w:r>
                </w:p>
              </w:tc>
              <w:tc>
                <w:tcPr>
                  <w:tcW w:w="600" w:type="dxa"/>
                  <w:tcBorders>
                    <w:top w:val="single" w:color="auto" w:sz="4" w:space="0"/>
                    <w:left w:val="single" w:color="auto" w:sz="4" w:space="0"/>
                    <w:bottom w:val="single" w:color="auto" w:sz="4" w:space="0"/>
                    <w:right w:val="single" w:color="auto" w:sz="4" w:space="0"/>
                  </w:tcBorders>
                  <w:vAlign w:val="center"/>
                </w:tcPr>
                <w:p w14:paraId="52C02875">
                  <w:pPr>
                    <w:autoSpaceDE w:val="0"/>
                    <w:jc w:val="center"/>
                    <w:rPr>
                      <w:color w:val="000000"/>
                      <w:szCs w:val="21"/>
                      <w:u w:val="single"/>
                    </w:rPr>
                  </w:pPr>
                  <w:r>
                    <w:rPr>
                      <w:rFonts w:hint="eastAsia"/>
                      <w:color w:val="000000"/>
                      <w:u w:val="single"/>
                    </w:rPr>
                    <w:t>0.05</w:t>
                  </w:r>
                </w:p>
              </w:tc>
              <w:tc>
                <w:tcPr>
                  <w:tcW w:w="773" w:type="dxa"/>
                  <w:tcBorders>
                    <w:top w:val="single" w:color="auto" w:sz="4" w:space="0"/>
                    <w:left w:val="single" w:color="auto" w:sz="4" w:space="0"/>
                    <w:bottom w:val="single" w:color="auto" w:sz="4" w:space="0"/>
                    <w:right w:val="single" w:color="auto" w:sz="4" w:space="0"/>
                  </w:tcBorders>
                  <w:vAlign w:val="center"/>
                </w:tcPr>
                <w:p w14:paraId="7BD854A6">
                  <w:pPr>
                    <w:autoSpaceDE w:val="0"/>
                    <w:jc w:val="center"/>
                    <w:rPr>
                      <w:color w:val="000000"/>
                      <w:szCs w:val="21"/>
                      <w:u w:val="single"/>
                    </w:rPr>
                  </w:pPr>
                  <w:r>
                    <w:rPr>
                      <w:rFonts w:hint="eastAsia"/>
                      <w:color w:val="000000"/>
                      <w:u w:val="single"/>
                    </w:rPr>
                    <w:t>0.03</w:t>
                  </w:r>
                </w:p>
              </w:tc>
              <w:tc>
                <w:tcPr>
                  <w:tcW w:w="866" w:type="dxa"/>
                  <w:tcBorders>
                    <w:top w:val="single" w:color="auto" w:sz="4" w:space="0"/>
                    <w:left w:val="single" w:color="auto" w:sz="4" w:space="0"/>
                    <w:bottom w:val="single" w:color="auto" w:sz="4" w:space="0"/>
                    <w:right w:val="single" w:color="auto" w:sz="4" w:space="0"/>
                  </w:tcBorders>
                  <w:vAlign w:val="center"/>
                </w:tcPr>
                <w:p w14:paraId="1EB6BC1D">
                  <w:pPr>
                    <w:autoSpaceDE w:val="0"/>
                    <w:jc w:val="center"/>
                    <w:rPr>
                      <w:color w:val="000000"/>
                      <w:szCs w:val="21"/>
                      <w:u w:val="single"/>
                    </w:rPr>
                  </w:pPr>
                  <w:r>
                    <w:rPr>
                      <w:rFonts w:hint="eastAsia"/>
                      <w:color w:val="000000"/>
                      <w:u w:val="single"/>
                    </w:rPr>
                    <w:t>0.053</w:t>
                  </w:r>
                </w:p>
              </w:tc>
              <w:tc>
                <w:tcPr>
                  <w:tcW w:w="784" w:type="dxa"/>
                  <w:tcBorders>
                    <w:top w:val="single" w:color="auto" w:sz="4" w:space="0"/>
                    <w:left w:val="single" w:color="auto" w:sz="4" w:space="0"/>
                    <w:bottom w:val="single" w:color="auto" w:sz="4" w:space="0"/>
                    <w:right w:val="single" w:color="auto" w:sz="4" w:space="0"/>
                  </w:tcBorders>
                  <w:vAlign w:val="center"/>
                </w:tcPr>
                <w:p w14:paraId="15383AF6">
                  <w:pPr>
                    <w:autoSpaceDE w:val="0"/>
                    <w:jc w:val="center"/>
                    <w:rPr>
                      <w:color w:val="000000"/>
                      <w:szCs w:val="21"/>
                      <w:u w:val="single"/>
                    </w:rPr>
                  </w:pPr>
                  <w:r>
                    <w:rPr>
                      <w:rFonts w:hint="eastAsia"/>
                      <w:color w:val="000000"/>
                      <w:u w:val="single"/>
                    </w:rPr>
                    <w:t>1.5</w:t>
                  </w:r>
                </w:p>
              </w:tc>
              <w:tc>
                <w:tcPr>
                  <w:tcW w:w="732" w:type="dxa"/>
                  <w:tcBorders>
                    <w:top w:val="single" w:color="auto" w:sz="4" w:space="0"/>
                    <w:left w:val="single" w:color="auto" w:sz="4" w:space="0"/>
                    <w:bottom w:val="single" w:color="auto" w:sz="4" w:space="0"/>
                    <w:right w:val="single" w:color="auto" w:sz="4" w:space="0"/>
                  </w:tcBorders>
                  <w:vAlign w:val="center"/>
                </w:tcPr>
                <w:p w14:paraId="64C81033">
                  <w:pPr>
                    <w:autoSpaceDE w:val="0"/>
                    <w:jc w:val="center"/>
                    <w:rPr>
                      <w:color w:val="000000"/>
                      <w:szCs w:val="21"/>
                      <w:u w:val="single"/>
                    </w:rPr>
                  </w:pPr>
                  <w:r>
                    <w:rPr>
                      <w:rFonts w:hint="eastAsia" w:ascii="宋体" w:hAnsi="宋体"/>
                      <w:color w:val="000000"/>
                      <w:u w:val="single"/>
                    </w:rPr>
                    <w:t>达标</w:t>
                  </w:r>
                </w:p>
              </w:tc>
            </w:tr>
            <w:tr w14:paraId="002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68E059F0">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1F1E3D86">
                  <w:pPr>
                    <w:autoSpaceDE w:val="0"/>
                    <w:jc w:val="center"/>
                    <w:rPr>
                      <w:color w:val="000000"/>
                      <w:szCs w:val="21"/>
                      <w:u w:val="single"/>
                    </w:rPr>
                  </w:pPr>
                  <w:r>
                    <w:rPr>
                      <w:rFonts w:hint="eastAsia" w:ascii="宋体" w:hAnsi="宋体"/>
                      <w:color w:val="000000"/>
                      <w:u w:val="single"/>
                    </w:rPr>
                    <w:t>总磷（</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73958C96">
                  <w:pPr>
                    <w:autoSpaceDE w:val="0"/>
                    <w:jc w:val="center"/>
                    <w:rPr>
                      <w:color w:val="000000"/>
                      <w:szCs w:val="21"/>
                      <w:u w:val="single"/>
                    </w:rPr>
                  </w:pPr>
                  <w:r>
                    <w:rPr>
                      <w:rFonts w:hint="eastAsia"/>
                      <w:color w:val="000000"/>
                      <w:u w:val="single"/>
                    </w:rPr>
                    <w:t>0.14~0.19</w:t>
                  </w:r>
                </w:p>
              </w:tc>
              <w:tc>
                <w:tcPr>
                  <w:tcW w:w="600" w:type="dxa"/>
                  <w:tcBorders>
                    <w:top w:val="single" w:color="auto" w:sz="4" w:space="0"/>
                    <w:left w:val="single" w:color="auto" w:sz="4" w:space="0"/>
                    <w:bottom w:val="single" w:color="auto" w:sz="4" w:space="0"/>
                    <w:right w:val="single" w:color="auto" w:sz="4" w:space="0"/>
                  </w:tcBorders>
                  <w:vAlign w:val="center"/>
                </w:tcPr>
                <w:p w14:paraId="7D7EEF7D">
                  <w:pPr>
                    <w:autoSpaceDE w:val="0"/>
                    <w:jc w:val="center"/>
                    <w:rPr>
                      <w:color w:val="000000"/>
                      <w:szCs w:val="21"/>
                      <w:u w:val="single"/>
                    </w:rPr>
                  </w:pPr>
                  <w:r>
                    <w:rPr>
                      <w:rFonts w:hint="eastAsia"/>
                      <w:color w:val="000000"/>
                      <w:u w:val="single"/>
                    </w:rPr>
                    <w:t>0.17</w:t>
                  </w:r>
                </w:p>
              </w:tc>
              <w:tc>
                <w:tcPr>
                  <w:tcW w:w="773" w:type="dxa"/>
                  <w:tcBorders>
                    <w:top w:val="single" w:color="auto" w:sz="4" w:space="0"/>
                    <w:left w:val="single" w:color="auto" w:sz="4" w:space="0"/>
                    <w:bottom w:val="single" w:color="auto" w:sz="4" w:space="0"/>
                    <w:right w:val="single" w:color="auto" w:sz="4" w:space="0"/>
                  </w:tcBorders>
                  <w:vAlign w:val="center"/>
                </w:tcPr>
                <w:p w14:paraId="2CC479A8">
                  <w:pPr>
                    <w:autoSpaceDE w:val="0"/>
                    <w:jc w:val="center"/>
                    <w:rPr>
                      <w:color w:val="000000"/>
                      <w:szCs w:val="21"/>
                      <w:u w:val="single"/>
                    </w:rPr>
                  </w:pPr>
                  <w:r>
                    <w:rPr>
                      <w:rFonts w:hint="eastAsia"/>
                      <w:color w:val="000000"/>
                      <w:u w:val="single"/>
                    </w:rPr>
                    <w:t>0.57</w:t>
                  </w:r>
                </w:p>
              </w:tc>
              <w:tc>
                <w:tcPr>
                  <w:tcW w:w="866" w:type="dxa"/>
                  <w:tcBorders>
                    <w:top w:val="single" w:color="auto" w:sz="4" w:space="0"/>
                    <w:left w:val="single" w:color="auto" w:sz="4" w:space="0"/>
                    <w:bottom w:val="single" w:color="auto" w:sz="4" w:space="0"/>
                    <w:right w:val="single" w:color="auto" w:sz="4" w:space="0"/>
                  </w:tcBorders>
                  <w:vAlign w:val="center"/>
                </w:tcPr>
                <w:p w14:paraId="6C62782D">
                  <w:pPr>
                    <w:autoSpaceDE w:val="0"/>
                    <w:jc w:val="center"/>
                    <w:rPr>
                      <w:color w:val="000000"/>
                      <w:szCs w:val="21"/>
                      <w:u w:val="single"/>
                    </w:rPr>
                  </w:pPr>
                  <w:r>
                    <w:rPr>
                      <w:rFonts w:hint="eastAsia"/>
                      <w:color w:val="000000"/>
                      <w:u w:val="single"/>
                    </w:rPr>
                    <w:t>0.63</w:t>
                  </w:r>
                </w:p>
              </w:tc>
              <w:tc>
                <w:tcPr>
                  <w:tcW w:w="784" w:type="dxa"/>
                  <w:tcBorders>
                    <w:top w:val="single" w:color="auto" w:sz="4" w:space="0"/>
                    <w:left w:val="single" w:color="auto" w:sz="4" w:space="0"/>
                    <w:bottom w:val="single" w:color="auto" w:sz="4" w:space="0"/>
                    <w:right w:val="single" w:color="auto" w:sz="4" w:space="0"/>
                  </w:tcBorders>
                  <w:vAlign w:val="center"/>
                </w:tcPr>
                <w:p w14:paraId="318B6392">
                  <w:pPr>
                    <w:autoSpaceDE w:val="0"/>
                    <w:jc w:val="center"/>
                    <w:rPr>
                      <w:color w:val="000000"/>
                      <w:szCs w:val="21"/>
                      <w:u w:val="single"/>
                    </w:rPr>
                  </w:pPr>
                  <w:r>
                    <w:rPr>
                      <w:rFonts w:hint="eastAsia"/>
                      <w:color w:val="000000"/>
                      <w:u w:val="single"/>
                    </w:rPr>
                    <w:t>0.3</w:t>
                  </w:r>
                </w:p>
              </w:tc>
              <w:tc>
                <w:tcPr>
                  <w:tcW w:w="732" w:type="dxa"/>
                  <w:tcBorders>
                    <w:top w:val="single" w:color="auto" w:sz="4" w:space="0"/>
                    <w:left w:val="single" w:color="auto" w:sz="4" w:space="0"/>
                    <w:bottom w:val="single" w:color="auto" w:sz="4" w:space="0"/>
                    <w:right w:val="single" w:color="auto" w:sz="4" w:space="0"/>
                  </w:tcBorders>
                  <w:vAlign w:val="center"/>
                </w:tcPr>
                <w:p w14:paraId="5ABBD691">
                  <w:pPr>
                    <w:autoSpaceDE w:val="0"/>
                    <w:jc w:val="center"/>
                    <w:rPr>
                      <w:color w:val="000000"/>
                      <w:szCs w:val="21"/>
                      <w:u w:val="single"/>
                    </w:rPr>
                  </w:pPr>
                  <w:r>
                    <w:rPr>
                      <w:rFonts w:hint="eastAsia" w:ascii="宋体" w:hAnsi="宋体"/>
                      <w:color w:val="000000"/>
                      <w:u w:val="single"/>
                    </w:rPr>
                    <w:t>达标</w:t>
                  </w:r>
                </w:p>
              </w:tc>
            </w:tr>
            <w:tr w14:paraId="21CB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6196C5C9">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3CD8928B">
                  <w:pPr>
                    <w:autoSpaceDE w:val="0"/>
                    <w:jc w:val="center"/>
                    <w:rPr>
                      <w:color w:val="000000"/>
                      <w:szCs w:val="21"/>
                      <w:u w:val="single"/>
                    </w:rPr>
                  </w:pPr>
                  <w:r>
                    <w:rPr>
                      <w:rFonts w:hint="eastAsia" w:ascii="宋体" w:hAnsi="宋体"/>
                      <w:color w:val="000000"/>
                      <w:u w:val="single"/>
                    </w:rPr>
                    <w:t>总氮（</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379D76C6">
                  <w:pPr>
                    <w:autoSpaceDE w:val="0"/>
                    <w:jc w:val="center"/>
                    <w:rPr>
                      <w:color w:val="000000"/>
                      <w:szCs w:val="21"/>
                      <w:u w:val="single"/>
                    </w:rPr>
                  </w:pPr>
                  <w:r>
                    <w:rPr>
                      <w:rFonts w:hint="eastAsia"/>
                      <w:color w:val="000000"/>
                      <w:u w:val="single"/>
                    </w:rPr>
                    <w:t>3.53~4.74</w:t>
                  </w:r>
                </w:p>
              </w:tc>
              <w:tc>
                <w:tcPr>
                  <w:tcW w:w="600" w:type="dxa"/>
                  <w:tcBorders>
                    <w:top w:val="single" w:color="auto" w:sz="4" w:space="0"/>
                    <w:left w:val="single" w:color="auto" w:sz="4" w:space="0"/>
                    <w:bottom w:val="single" w:color="auto" w:sz="4" w:space="0"/>
                    <w:right w:val="single" w:color="auto" w:sz="4" w:space="0"/>
                  </w:tcBorders>
                  <w:vAlign w:val="center"/>
                </w:tcPr>
                <w:p w14:paraId="30CDED3C">
                  <w:pPr>
                    <w:autoSpaceDE w:val="0"/>
                    <w:jc w:val="center"/>
                    <w:rPr>
                      <w:color w:val="000000"/>
                      <w:szCs w:val="21"/>
                      <w:u w:val="single"/>
                    </w:rPr>
                  </w:pPr>
                  <w:r>
                    <w:rPr>
                      <w:rFonts w:hint="eastAsia"/>
                      <w:color w:val="000000"/>
                      <w:u w:val="single"/>
                    </w:rPr>
                    <w:t>4.3</w:t>
                  </w:r>
                </w:p>
              </w:tc>
              <w:tc>
                <w:tcPr>
                  <w:tcW w:w="773" w:type="dxa"/>
                  <w:tcBorders>
                    <w:top w:val="single" w:color="auto" w:sz="4" w:space="0"/>
                    <w:left w:val="single" w:color="auto" w:sz="4" w:space="0"/>
                    <w:bottom w:val="single" w:color="auto" w:sz="4" w:space="0"/>
                    <w:right w:val="single" w:color="auto" w:sz="4" w:space="0"/>
                  </w:tcBorders>
                  <w:vAlign w:val="center"/>
                </w:tcPr>
                <w:p w14:paraId="66E869E5">
                  <w:pPr>
                    <w:autoSpaceDE w:val="0"/>
                    <w:jc w:val="center"/>
                    <w:rPr>
                      <w:color w:val="000000"/>
                      <w:szCs w:val="21"/>
                      <w:u w:val="single"/>
                    </w:rPr>
                  </w:pPr>
                  <w:r>
                    <w:rPr>
                      <w:rFonts w:hint="eastAsia"/>
                      <w:color w:val="000000"/>
                      <w:u w:val="single"/>
                    </w:rPr>
                    <w:t>2.86</w:t>
                  </w:r>
                </w:p>
              </w:tc>
              <w:tc>
                <w:tcPr>
                  <w:tcW w:w="866" w:type="dxa"/>
                  <w:tcBorders>
                    <w:top w:val="single" w:color="auto" w:sz="4" w:space="0"/>
                    <w:left w:val="single" w:color="auto" w:sz="4" w:space="0"/>
                    <w:bottom w:val="single" w:color="auto" w:sz="4" w:space="0"/>
                    <w:right w:val="single" w:color="auto" w:sz="4" w:space="0"/>
                  </w:tcBorders>
                  <w:vAlign w:val="center"/>
                </w:tcPr>
                <w:p w14:paraId="7132E447">
                  <w:pPr>
                    <w:autoSpaceDE w:val="0"/>
                    <w:jc w:val="center"/>
                    <w:rPr>
                      <w:color w:val="000000"/>
                      <w:szCs w:val="21"/>
                      <w:u w:val="single"/>
                    </w:rPr>
                  </w:pPr>
                  <w:r>
                    <w:rPr>
                      <w:rFonts w:hint="eastAsia"/>
                      <w:color w:val="000000"/>
                      <w:u w:val="single"/>
                    </w:rPr>
                    <w:t>3.16</w:t>
                  </w:r>
                </w:p>
              </w:tc>
              <w:tc>
                <w:tcPr>
                  <w:tcW w:w="784" w:type="dxa"/>
                  <w:tcBorders>
                    <w:top w:val="single" w:color="auto" w:sz="4" w:space="0"/>
                    <w:left w:val="single" w:color="auto" w:sz="4" w:space="0"/>
                    <w:bottom w:val="single" w:color="auto" w:sz="4" w:space="0"/>
                    <w:right w:val="single" w:color="auto" w:sz="4" w:space="0"/>
                  </w:tcBorders>
                  <w:vAlign w:val="center"/>
                </w:tcPr>
                <w:p w14:paraId="291FCC0E">
                  <w:pPr>
                    <w:autoSpaceDE w:val="0"/>
                    <w:jc w:val="center"/>
                    <w:rPr>
                      <w:color w:val="000000"/>
                      <w:szCs w:val="21"/>
                      <w:u w:val="single"/>
                    </w:rPr>
                  </w:pPr>
                  <w:r>
                    <w:rPr>
                      <w:rFonts w:hint="eastAsia"/>
                      <w:color w:val="000000"/>
                      <w:u w:val="single"/>
                    </w:rPr>
                    <w:t>1.5</w:t>
                  </w:r>
                </w:p>
              </w:tc>
              <w:tc>
                <w:tcPr>
                  <w:tcW w:w="732" w:type="dxa"/>
                  <w:tcBorders>
                    <w:top w:val="single" w:color="auto" w:sz="4" w:space="0"/>
                    <w:left w:val="single" w:color="auto" w:sz="4" w:space="0"/>
                    <w:bottom w:val="single" w:color="auto" w:sz="4" w:space="0"/>
                    <w:right w:val="single" w:color="auto" w:sz="4" w:space="0"/>
                  </w:tcBorders>
                  <w:vAlign w:val="center"/>
                </w:tcPr>
                <w:p w14:paraId="6831934A">
                  <w:pPr>
                    <w:autoSpaceDE w:val="0"/>
                    <w:jc w:val="center"/>
                    <w:rPr>
                      <w:color w:val="000000"/>
                      <w:szCs w:val="21"/>
                      <w:u w:val="single"/>
                    </w:rPr>
                  </w:pPr>
                  <w:r>
                    <w:rPr>
                      <w:rFonts w:hint="eastAsia" w:ascii="宋体" w:hAnsi="宋体"/>
                      <w:color w:val="000000"/>
                      <w:u w:val="single"/>
                    </w:rPr>
                    <w:t>超标</w:t>
                  </w:r>
                </w:p>
              </w:tc>
            </w:tr>
            <w:tr w14:paraId="4838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2AE4ABA4">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1B385A00">
                  <w:pPr>
                    <w:autoSpaceDE w:val="0"/>
                    <w:jc w:val="center"/>
                    <w:rPr>
                      <w:color w:val="000000"/>
                      <w:szCs w:val="21"/>
                      <w:u w:val="single"/>
                    </w:rPr>
                  </w:pPr>
                  <w:r>
                    <w:rPr>
                      <w:rFonts w:hint="eastAsia" w:ascii="宋体" w:hAnsi="宋体"/>
                      <w:color w:val="000000"/>
                      <w:u w:val="single"/>
                    </w:rPr>
                    <w:t>挥发酚（</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0522B016">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294A49E0">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33D81E14">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2E530557">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073568A1">
                  <w:pPr>
                    <w:autoSpaceDE w:val="0"/>
                    <w:jc w:val="center"/>
                    <w:rPr>
                      <w:color w:val="000000"/>
                      <w:szCs w:val="21"/>
                      <w:u w:val="single"/>
                    </w:rPr>
                  </w:pPr>
                  <w:r>
                    <w:rPr>
                      <w:rFonts w:hint="eastAsia"/>
                      <w:color w:val="000000"/>
                      <w:u w:val="single"/>
                    </w:rPr>
                    <w:t>0.01</w:t>
                  </w:r>
                </w:p>
              </w:tc>
              <w:tc>
                <w:tcPr>
                  <w:tcW w:w="732" w:type="dxa"/>
                  <w:tcBorders>
                    <w:top w:val="single" w:color="auto" w:sz="4" w:space="0"/>
                    <w:left w:val="single" w:color="auto" w:sz="4" w:space="0"/>
                    <w:bottom w:val="single" w:color="auto" w:sz="4" w:space="0"/>
                    <w:right w:val="single" w:color="auto" w:sz="4" w:space="0"/>
                  </w:tcBorders>
                  <w:vAlign w:val="center"/>
                </w:tcPr>
                <w:p w14:paraId="77BC6ABD">
                  <w:pPr>
                    <w:autoSpaceDE w:val="0"/>
                    <w:jc w:val="center"/>
                    <w:rPr>
                      <w:color w:val="000000"/>
                      <w:szCs w:val="21"/>
                      <w:u w:val="single"/>
                    </w:rPr>
                  </w:pPr>
                  <w:r>
                    <w:rPr>
                      <w:rFonts w:hint="eastAsia" w:ascii="宋体" w:hAnsi="宋体"/>
                      <w:color w:val="000000"/>
                      <w:u w:val="single"/>
                    </w:rPr>
                    <w:t>达标</w:t>
                  </w:r>
                </w:p>
              </w:tc>
            </w:tr>
            <w:tr w14:paraId="4F43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519B4B3C">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15116859">
                  <w:pPr>
                    <w:autoSpaceDE w:val="0"/>
                    <w:jc w:val="center"/>
                    <w:rPr>
                      <w:color w:val="000000"/>
                      <w:szCs w:val="21"/>
                      <w:u w:val="single"/>
                    </w:rPr>
                  </w:pPr>
                  <w:r>
                    <w:rPr>
                      <w:rFonts w:hint="eastAsia" w:ascii="宋体" w:hAnsi="宋体"/>
                      <w:color w:val="000000"/>
                      <w:u w:val="single"/>
                    </w:rPr>
                    <w:t>氟化物（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4BAD00E2">
                  <w:pPr>
                    <w:autoSpaceDE w:val="0"/>
                    <w:jc w:val="center"/>
                    <w:rPr>
                      <w:color w:val="000000"/>
                      <w:szCs w:val="21"/>
                      <w:u w:val="single"/>
                    </w:rPr>
                  </w:pPr>
                  <w:r>
                    <w:rPr>
                      <w:rFonts w:hint="eastAsia"/>
                      <w:color w:val="000000"/>
                      <w:u w:val="single"/>
                    </w:rPr>
                    <w:t>0.96~1.05</w:t>
                  </w:r>
                </w:p>
              </w:tc>
              <w:tc>
                <w:tcPr>
                  <w:tcW w:w="600" w:type="dxa"/>
                  <w:tcBorders>
                    <w:top w:val="single" w:color="auto" w:sz="4" w:space="0"/>
                    <w:left w:val="single" w:color="auto" w:sz="4" w:space="0"/>
                    <w:bottom w:val="single" w:color="auto" w:sz="4" w:space="0"/>
                    <w:right w:val="single" w:color="auto" w:sz="4" w:space="0"/>
                  </w:tcBorders>
                  <w:vAlign w:val="center"/>
                </w:tcPr>
                <w:p w14:paraId="4A6EE439">
                  <w:pPr>
                    <w:autoSpaceDE w:val="0"/>
                    <w:jc w:val="center"/>
                    <w:rPr>
                      <w:color w:val="000000"/>
                      <w:szCs w:val="21"/>
                      <w:u w:val="single"/>
                    </w:rPr>
                  </w:pPr>
                  <w:r>
                    <w:rPr>
                      <w:rFonts w:hint="eastAsia"/>
                      <w:color w:val="000000"/>
                      <w:u w:val="single"/>
                    </w:rPr>
                    <w:t>1.0</w:t>
                  </w:r>
                </w:p>
              </w:tc>
              <w:tc>
                <w:tcPr>
                  <w:tcW w:w="773" w:type="dxa"/>
                  <w:tcBorders>
                    <w:top w:val="single" w:color="auto" w:sz="4" w:space="0"/>
                    <w:left w:val="single" w:color="auto" w:sz="4" w:space="0"/>
                    <w:bottom w:val="single" w:color="auto" w:sz="4" w:space="0"/>
                    <w:right w:val="single" w:color="auto" w:sz="4" w:space="0"/>
                  </w:tcBorders>
                  <w:vAlign w:val="center"/>
                </w:tcPr>
                <w:p w14:paraId="2D01D0D6">
                  <w:pPr>
                    <w:autoSpaceDE w:val="0"/>
                    <w:jc w:val="center"/>
                    <w:rPr>
                      <w:color w:val="000000"/>
                      <w:szCs w:val="21"/>
                      <w:u w:val="single"/>
                    </w:rPr>
                  </w:pPr>
                  <w:r>
                    <w:rPr>
                      <w:rFonts w:hint="eastAsia"/>
                      <w:color w:val="000000"/>
                      <w:u w:val="single"/>
                    </w:rPr>
                    <w:t>0.67</w:t>
                  </w:r>
                </w:p>
              </w:tc>
              <w:tc>
                <w:tcPr>
                  <w:tcW w:w="866" w:type="dxa"/>
                  <w:tcBorders>
                    <w:top w:val="single" w:color="auto" w:sz="4" w:space="0"/>
                    <w:left w:val="single" w:color="auto" w:sz="4" w:space="0"/>
                    <w:bottom w:val="single" w:color="auto" w:sz="4" w:space="0"/>
                    <w:right w:val="single" w:color="auto" w:sz="4" w:space="0"/>
                  </w:tcBorders>
                  <w:vAlign w:val="center"/>
                </w:tcPr>
                <w:p w14:paraId="33C7D337">
                  <w:pPr>
                    <w:autoSpaceDE w:val="0"/>
                    <w:jc w:val="center"/>
                    <w:rPr>
                      <w:color w:val="000000"/>
                      <w:szCs w:val="21"/>
                      <w:u w:val="single"/>
                    </w:rPr>
                  </w:pPr>
                  <w:r>
                    <w:rPr>
                      <w:rFonts w:hint="eastAsia"/>
                      <w:color w:val="000000"/>
                      <w:u w:val="single"/>
                    </w:rPr>
                    <w:t>0.7</w:t>
                  </w:r>
                </w:p>
              </w:tc>
              <w:tc>
                <w:tcPr>
                  <w:tcW w:w="784" w:type="dxa"/>
                  <w:tcBorders>
                    <w:top w:val="single" w:color="auto" w:sz="4" w:space="0"/>
                    <w:left w:val="single" w:color="auto" w:sz="4" w:space="0"/>
                    <w:bottom w:val="single" w:color="auto" w:sz="4" w:space="0"/>
                    <w:right w:val="single" w:color="auto" w:sz="4" w:space="0"/>
                  </w:tcBorders>
                  <w:vAlign w:val="center"/>
                </w:tcPr>
                <w:p w14:paraId="40A1D619">
                  <w:pPr>
                    <w:autoSpaceDE w:val="0"/>
                    <w:jc w:val="center"/>
                    <w:rPr>
                      <w:color w:val="000000"/>
                      <w:szCs w:val="21"/>
                      <w:u w:val="single"/>
                    </w:rPr>
                  </w:pPr>
                  <w:r>
                    <w:rPr>
                      <w:rFonts w:hint="eastAsia"/>
                      <w:color w:val="000000"/>
                      <w:u w:val="single"/>
                    </w:rPr>
                    <w:t>1.5</w:t>
                  </w:r>
                </w:p>
              </w:tc>
              <w:tc>
                <w:tcPr>
                  <w:tcW w:w="732" w:type="dxa"/>
                  <w:tcBorders>
                    <w:top w:val="single" w:color="auto" w:sz="4" w:space="0"/>
                    <w:left w:val="single" w:color="auto" w:sz="4" w:space="0"/>
                    <w:bottom w:val="single" w:color="auto" w:sz="4" w:space="0"/>
                    <w:right w:val="single" w:color="auto" w:sz="4" w:space="0"/>
                  </w:tcBorders>
                  <w:vAlign w:val="center"/>
                </w:tcPr>
                <w:p w14:paraId="13058517">
                  <w:pPr>
                    <w:autoSpaceDE w:val="0"/>
                    <w:jc w:val="center"/>
                    <w:rPr>
                      <w:color w:val="000000"/>
                      <w:szCs w:val="21"/>
                      <w:u w:val="single"/>
                    </w:rPr>
                  </w:pPr>
                  <w:r>
                    <w:rPr>
                      <w:rFonts w:hint="eastAsia" w:ascii="宋体" w:hAnsi="宋体"/>
                      <w:color w:val="000000"/>
                      <w:u w:val="single"/>
                    </w:rPr>
                    <w:t>达标</w:t>
                  </w:r>
                </w:p>
              </w:tc>
            </w:tr>
            <w:tr w14:paraId="6301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569E366D">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74107FF4">
                  <w:pPr>
                    <w:autoSpaceDE w:val="0"/>
                    <w:jc w:val="center"/>
                    <w:rPr>
                      <w:color w:val="000000"/>
                      <w:szCs w:val="21"/>
                      <w:u w:val="single"/>
                    </w:rPr>
                  </w:pPr>
                  <w:r>
                    <w:rPr>
                      <w:rFonts w:hint="eastAsia" w:ascii="宋体" w:hAnsi="宋体"/>
                      <w:color w:val="000000"/>
                      <w:u w:val="single"/>
                    </w:rPr>
                    <w:t>氰化物（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566EBBEC">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3D94D19D">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729AE4D2">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0CBC10EB">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55C90273">
                  <w:pPr>
                    <w:autoSpaceDE w:val="0"/>
                    <w:jc w:val="center"/>
                    <w:rPr>
                      <w:color w:val="000000"/>
                      <w:szCs w:val="21"/>
                      <w:u w:val="single"/>
                    </w:rPr>
                  </w:pPr>
                  <w:r>
                    <w:rPr>
                      <w:rFonts w:hint="eastAsia"/>
                      <w:color w:val="000000"/>
                      <w:u w:val="single"/>
                    </w:rPr>
                    <w:t>0.2</w:t>
                  </w:r>
                </w:p>
              </w:tc>
              <w:tc>
                <w:tcPr>
                  <w:tcW w:w="732" w:type="dxa"/>
                  <w:tcBorders>
                    <w:top w:val="single" w:color="auto" w:sz="4" w:space="0"/>
                    <w:left w:val="single" w:color="auto" w:sz="4" w:space="0"/>
                    <w:bottom w:val="single" w:color="auto" w:sz="4" w:space="0"/>
                    <w:right w:val="single" w:color="auto" w:sz="4" w:space="0"/>
                  </w:tcBorders>
                  <w:vAlign w:val="center"/>
                </w:tcPr>
                <w:p w14:paraId="5F2A6BF5">
                  <w:pPr>
                    <w:autoSpaceDE w:val="0"/>
                    <w:jc w:val="center"/>
                    <w:rPr>
                      <w:color w:val="000000"/>
                      <w:szCs w:val="21"/>
                      <w:u w:val="single"/>
                    </w:rPr>
                  </w:pPr>
                  <w:r>
                    <w:rPr>
                      <w:rFonts w:hint="eastAsia" w:ascii="宋体" w:hAnsi="宋体"/>
                      <w:color w:val="000000"/>
                      <w:u w:val="single"/>
                    </w:rPr>
                    <w:t>达标</w:t>
                  </w:r>
                </w:p>
              </w:tc>
            </w:tr>
            <w:tr w14:paraId="678A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40D0A88D">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53D3D679">
                  <w:pPr>
                    <w:autoSpaceDE w:val="0"/>
                    <w:jc w:val="center"/>
                    <w:rPr>
                      <w:color w:val="000000"/>
                      <w:szCs w:val="21"/>
                      <w:u w:val="single"/>
                    </w:rPr>
                  </w:pPr>
                  <w:r>
                    <w:rPr>
                      <w:rFonts w:hint="eastAsia" w:ascii="宋体" w:hAnsi="宋体"/>
                      <w:color w:val="000000"/>
                      <w:u w:val="single"/>
                    </w:rPr>
                    <w:t>硫化物（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0F8439ED">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228C1FB7">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47799FB5">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556CFA68">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354F54CF">
                  <w:pPr>
                    <w:autoSpaceDE w:val="0"/>
                    <w:jc w:val="center"/>
                    <w:rPr>
                      <w:color w:val="000000"/>
                      <w:szCs w:val="21"/>
                      <w:u w:val="single"/>
                    </w:rPr>
                  </w:pPr>
                  <w:r>
                    <w:rPr>
                      <w:rFonts w:hint="eastAsia"/>
                      <w:color w:val="000000"/>
                      <w:u w:val="single"/>
                    </w:rPr>
                    <w:t>0.5</w:t>
                  </w:r>
                </w:p>
              </w:tc>
              <w:tc>
                <w:tcPr>
                  <w:tcW w:w="732" w:type="dxa"/>
                  <w:tcBorders>
                    <w:top w:val="single" w:color="auto" w:sz="4" w:space="0"/>
                    <w:left w:val="single" w:color="auto" w:sz="4" w:space="0"/>
                    <w:bottom w:val="single" w:color="auto" w:sz="4" w:space="0"/>
                    <w:right w:val="single" w:color="auto" w:sz="4" w:space="0"/>
                  </w:tcBorders>
                  <w:vAlign w:val="center"/>
                </w:tcPr>
                <w:p w14:paraId="504E69A5">
                  <w:pPr>
                    <w:autoSpaceDE w:val="0"/>
                    <w:jc w:val="center"/>
                    <w:rPr>
                      <w:color w:val="000000"/>
                      <w:szCs w:val="21"/>
                      <w:u w:val="single"/>
                    </w:rPr>
                  </w:pPr>
                  <w:r>
                    <w:rPr>
                      <w:rFonts w:hint="eastAsia" w:ascii="宋体" w:hAnsi="宋体"/>
                      <w:color w:val="000000"/>
                      <w:u w:val="single"/>
                    </w:rPr>
                    <w:t>达标</w:t>
                  </w:r>
                </w:p>
              </w:tc>
            </w:tr>
            <w:tr w14:paraId="40FA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5B02E1C1">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2824AA15">
                  <w:pPr>
                    <w:autoSpaceDE w:val="0"/>
                    <w:jc w:val="center"/>
                    <w:rPr>
                      <w:color w:val="000000"/>
                      <w:szCs w:val="21"/>
                      <w:u w:val="single"/>
                    </w:rPr>
                  </w:pPr>
                  <w:r>
                    <w:rPr>
                      <w:rFonts w:hint="eastAsia" w:ascii="宋体" w:hAnsi="宋体"/>
                      <w:color w:val="000000"/>
                      <w:u w:val="single"/>
                    </w:rPr>
                    <w:t>六价铬（</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759579A2">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786CA0F7">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2BB57B9C">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3C8F0A1F">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26628F55">
                  <w:pPr>
                    <w:autoSpaceDE w:val="0"/>
                    <w:jc w:val="center"/>
                    <w:rPr>
                      <w:color w:val="000000"/>
                      <w:szCs w:val="21"/>
                      <w:u w:val="single"/>
                    </w:rPr>
                  </w:pPr>
                  <w:r>
                    <w:rPr>
                      <w:rFonts w:hint="eastAsia"/>
                      <w:color w:val="000000"/>
                      <w:u w:val="single"/>
                    </w:rPr>
                    <w:t>0.05</w:t>
                  </w:r>
                </w:p>
              </w:tc>
              <w:tc>
                <w:tcPr>
                  <w:tcW w:w="732" w:type="dxa"/>
                  <w:tcBorders>
                    <w:top w:val="single" w:color="auto" w:sz="4" w:space="0"/>
                    <w:left w:val="single" w:color="auto" w:sz="4" w:space="0"/>
                    <w:bottom w:val="single" w:color="auto" w:sz="4" w:space="0"/>
                    <w:right w:val="single" w:color="auto" w:sz="4" w:space="0"/>
                  </w:tcBorders>
                  <w:vAlign w:val="center"/>
                </w:tcPr>
                <w:p w14:paraId="63FDA1D6">
                  <w:pPr>
                    <w:autoSpaceDE w:val="0"/>
                    <w:jc w:val="center"/>
                    <w:rPr>
                      <w:color w:val="000000"/>
                      <w:szCs w:val="21"/>
                      <w:u w:val="single"/>
                    </w:rPr>
                  </w:pPr>
                  <w:r>
                    <w:rPr>
                      <w:rFonts w:hint="eastAsia" w:ascii="宋体" w:hAnsi="宋体"/>
                      <w:color w:val="000000"/>
                      <w:u w:val="single"/>
                    </w:rPr>
                    <w:t>达标</w:t>
                  </w:r>
                </w:p>
              </w:tc>
            </w:tr>
            <w:tr w14:paraId="202A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024E8D35">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2B5548C7">
                  <w:pPr>
                    <w:autoSpaceDE w:val="0"/>
                    <w:jc w:val="center"/>
                    <w:rPr>
                      <w:color w:val="000000"/>
                      <w:szCs w:val="21"/>
                      <w:u w:val="single"/>
                    </w:rPr>
                  </w:pPr>
                  <w:r>
                    <w:rPr>
                      <w:rFonts w:hint="eastAsia" w:ascii="宋体" w:hAnsi="宋体"/>
                      <w:color w:val="000000"/>
                      <w:u w:val="single"/>
                    </w:rPr>
                    <w:t>阴离子表面活性剂（</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0DB25CFD">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0339732D">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7310E5D1">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2BA8CB0F">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733832AB">
                  <w:pPr>
                    <w:autoSpaceDE w:val="0"/>
                    <w:jc w:val="center"/>
                    <w:rPr>
                      <w:color w:val="000000"/>
                      <w:szCs w:val="21"/>
                      <w:u w:val="single"/>
                    </w:rPr>
                  </w:pPr>
                  <w:r>
                    <w:rPr>
                      <w:rFonts w:hint="eastAsia"/>
                      <w:color w:val="000000"/>
                      <w:u w:val="single"/>
                    </w:rPr>
                    <w:t>0.3</w:t>
                  </w:r>
                </w:p>
              </w:tc>
              <w:tc>
                <w:tcPr>
                  <w:tcW w:w="732" w:type="dxa"/>
                  <w:tcBorders>
                    <w:top w:val="single" w:color="auto" w:sz="4" w:space="0"/>
                    <w:left w:val="single" w:color="auto" w:sz="4" w:space="0"/>
                    <w:bottom w:val="single" w:color="auto" w:sz="4" w:space="0"/>
                    <w:right w:val="single" w:color="auto" w:sz="4" w:space="0"/>
                  </w:tcBorders>
                  <w:vAlign w:val="center"/>
                </w:tcPr>
                <w:p w14:paraId="62A832B9">
                  <w:pPr>
                    <w:autoSpaceDE w:val="0"/>
                    <w:jc w:val="center"/>
                    <w:rPr>
                      <w:color w:val="000000"/>
                      <w:szCs w:val="21"/>
                      <w:u w:val="single"/>
                    </w:rPr>
                  </w:pPr>
                  <w:r>
                    <w:rPr>
                      <w:rFonts w:hint="eastAsia" w:ascii="宋体" w:hAnsi="宋体"/>
                      <w:color w:val="000000"/>
                      <w:u w:val="single"/>
                    </w:rPr>
                    <w:t>达标</w:t>
                  </w:r>
                </w:p>
              </w:tc>
            </w:tr>
            <w:tr w14:paraId="73CE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1D07E277">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30C25B53">
                  <w:pPr>
                    <w:autoSpaceDE w:val="0"/>
                    <w:jc w:val="center"/>
                    <w:rPr>
                      <w:color w:val="000000"/>
                      <w:szCs w:val="21"/>
                      <w:u w:val="single"/>
                    </w:rPr>
                  </w:pPr>
                  <w:r>
                    <w:rPr>
                      <w:rFonts w:hint="eastAsia" w:ascii="宋体" w:hAnsi="宋体"/>
                      <w:color w:val="000000"/>
                      <w:u w:val="single"/>
                    </w:rPr>
                    <w:t>石油类（</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1CDC004B">
                  <w:pPr>
                    <w:autoSpaceDE w:val="0"/>
                    <w:jc w:val="center"/>
                    <w:rPr>
                      <w:color w:val="000000"/>
                      <w:szCs w:val="21"/>
                      <w:u w:val="single"/>
                    </w:rPr>
                  </w:pPr>
                  <w:r>
                    <w:rPr>
                      <w:rFonts w:hint="eastAsia"/>
                      <w:color w:val="000000"/>
                      <w:u w:val="single"/>
                    </w:rPr>
                    <w:t>0.07~0.1</w:t>
                  </w:r>
                </w:p>
              </w:tc>
              <w:tc>
                <w:tcPr>
                  <w:tcW w:w="600" w:type="dxa"/>
                  <w:tcBorders>
                    <w:top w:val="single" w:color="auto" w:sz="4" w:space="0"/>
                    <w:left w:val="single" w:color="auto" w:sz="4" w:space="0"/>
                    <w:bottom w:val="single" w:color="auto" w:sz="4" w:space="0"/>
                    <w:right w:val="single" w:color="auto" w:sz="4" w:space="0"/>
                  </w:tcBorders>
                  <w:vAlign w:val="center"/>
                </w:tcPr>
                <w:p w14:paraId="4DE7F640">
                  <w:pPr>
                    <w:autoSpaceDE w:val="0"/>
                    <w:jc w:val="center"/>
                    <w:rPr>
                      <w:color w:val="000000"/>
                      <w:szCs w:val="21"/>
                      <w:u w:val="single"/>
                    </w:rPr>
                  </w:pPr>
                  <w:r>
                    <w:rPr>
                      <w:rFonts w:hint="eastAsia"/>
                      <w:color w:val="000000"/>
                      <w:u w:val="single"/>
                    </w:rPr>
                    <w:t>0.1</w:t>
                  </w:r>
                </w:p>
              </w:tc>
              <w:tc>
                <w:tcPr>
                  <w:tcW w:w="773" w:type="dxa"/>
                  <w:tcBorders>
                    <w:top w:val="single" w:color="auto" w:sz="4" w:space="0"/>
                    <w:left w:val="single" w:color="auto" w:sz="4" w:space="0"/>
                    <w:bottom w:val="single" w:color="auto" w:sz="4" w:space="0"/>
                    <w:right w:val="single" w:color="auto" w:sz="4" w:space="0"/>
                  </w:tcBorders>
                  <w:vAlign w:val="center"/>
                </w:tcPr>
                <w:p w14:paraId="15C03492">
                  <w:pPr>
                    <w:autoSpaceDE w:val="0"/>
                    <w:jc w:val="center"/>
                    <w:rPr>
                      <w:color w:val="000000"/>
                      <w:szCs w:val="21"/>
                      <w:u w:val="single"/>
                    </w:rPr>
                  </w:pPr>
                  <w:r>
                    <w:rPr>
                      <w:rFonts w:hint="eastAsia"/>
                      <w:color w:val="000000"/>
                      <w:u w:val="single"/>
                    </w:rPr>
                    <w:t>0.2</w:t>
                  </w:r>
                </w:p>
              </w:tc>
              <w:tc>
                <w:tcPr>
                  <w:tcW w:w="866" w:type="dxa"/>
                  <w:tcBorders>
                    <w:top w:val="single" w:color="auto" w:sz="4" w:space="0"/>
                    <w:left w:val="single" w:color="auto" w:sz="4" w:space="0"/>
                    <w:bottom w:val="single" w:color="auto" w:sz="4" w:space="0"/>
                    <w:right w:val="single" w:color="auto" w:sz="4" w:space="0"/>
                  </w:tcBorders>
                  <w:vAlign w:val="center"/>
                </w:tcPr>
                <w:p w14:paraId="72AA33EE">
                  <w:pPr>
                    <w:autoSpaceDE w:val="0"/>
                    <w:jc w:val="center"/>
                    <w:rPr>
                      <w:color w:val="000000"/>
                      <w:szCs w:val="21"/>
                      <w:u w:val="single"/>
                    </w:rPr>
                  </w:pPr>
                  <w:r>
                    <w:rPr>
                      <w:rFonts w:hint="eastAsia"/>
                      <w:color w:val="000000"/>
                      <w:u w:val="single"/>
                    </w:rPr>
                    <w:t>0.2</w:t>
                  </w:r>
                </w:p>
              </w:tc>
              <w:tc>
                <w:tcPr>
                  <w:tcW w:w="784" w:type="dxa"/>
                  <w:tcBorders>
                    <w:top w:val="single" w:color="auto" w:sz="4" w:space="0"/>
                    <w:left w:val="single" w:color="auto" w:sz="4" w:space="0"/>
                    <w:bottom w:val="single" w:color="auto" w:sz="4" w:space="0"/>
                    <w:right w:val="single" w:color="auto" w:sz="4" w:space="0"/>
                  </w:tcBorders>
                  <w:vAlign w:val="center"/>
                </w:tcPr>
                <w:p w14:paraId="23CEA1C0">
                  <w:pPr>
                    <w:autoSpaceDE w:val="0"/>
                    <w:jc w:val="center"/>
                    <w:rPr>
                      <w:color w:val="000000"/>
                      <w:szCs w:val="21"/>
                      <w:u w:val="single"/>
                    </w:rPr>
                  </w:pPr>
                  <w:r>
                    <w:rPr>
                      <w:rFonts w:hint="eastAsia"/>
                      <w:color w:val="000000"/>
                      <w:u w:val="single"/>
                    </w:rPr>
                    <w:t>0.5</w:t>
                  </w:r>
                </w:p>
              </w:tc>
              <w:tc>
                <w:tcPr>
                  <w:tcW w:w="732" w:type="dxa"/>
                  <w:tcBorders>
                    <w:top w:val="single" w:color="auto" w:sz="4" w:space="0"/>
                    <w:left w:val="single" w:color="auto" w:sz="4" w:space="0"/>
                    <w:bottom w:val="single" w:color="auto" w:sz="4" w:space="0"/>
                    <w:right w:val="single" w:color="auto" w:sz="4" w:space="0"/>
                  </w:tcBorders>
                  <w:vAlign w:val="center"/>
                </w:tcPr>
                <w:p w14:paraId="30B8A068">
                  <w:pPr>
                    <w:autoSpaceDE w:val="0"/>
                    <w:jc w:val="center"/>
                    <w:rPr>
                      <w:color w:val="000000"/>
                      <w:szCs w:val="21"/>
                      <w:u w:val="single"/>
                    </w:rPr>
                  </w:pPr>
                  <w:r>
                    <w:rPr>
                      <w:rFonts w:hint="eastAsia" w:ascii="宋体" w:hAnsi="宋体"/>
                      <w:color w:val="000000"/>
                      <w:u w:val="single"/>
                    </w:rPr>
                    <w:t>达标</w:t>
                  </w:r>
                </w:p>
              </w:tc>
            </w:tr>
            <w:tr w14:paraId="2C3C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tcBorders>
                    <w:top w:val="nil"/>
                    <w:left w:val="single" w:color="auto" w:sz="4" w:space="0"/>
                    <w:bottom w:val="single" w:color="auto" w:sz="4" w:space="0"/>
                    <w:right w:val="single" w:color="auto" w:sz="4" w:space="0"/>
                  </w:tcBorders>
                  <w:vAlign w:val="center"/>
                </w:tcPr>
                <w:p w14:paraId="2C1FD966">
                  <w:pPr>
                    <w:autoSpaceDE w:val="0"/>
                    <w:jc w:val="center"/>
                    <w:rPr>
                      <w:color w:val="000000"/>
                      <w:szCs w:val="21"/>
                      <w:u w:val="single"/>
                    </w:rPr>
                  </w:pPr>
                  <w:r>
                    <w:rPr>
                      <w:rFonts w:hint="eastAsia"/>
                      <w:color w:val="000000"/>
                      <w:u w:val="single"/>
                    </w:rPr>
                    <w:t>W3</w:t>
                  </w:r>
                  <w:r>
                    <w:rPr>
                      <w:rFonts w:hint="eastAsia" w:ascii="宋体" w:hAnsi="宋体"/>
                      <w:color w:val="000000"/>
                      <w:u w:val="single"/>
                    </w:rPr>
                    <w:t>潴泷河排污口下游</w:t>
                  </w:r>
                  <w:r>
                    <w:rPr>
                      <w:rFonts w:hint="eastAsia"/>
                      <w:color w:val="000000"/>
                      <w:u w:val="single"/>
                    </w:rPr>
                    <w:t>1500m</w:t>
                  </w:r>
                </w:p>
              </w:tc>
              <w:tc>
                <w:tcPr>
                  <w:tcW w:w="2516" w:type="dxa"/>
                  <w:tcBorders>
                    <w:top w:val="single" w:color="auto" w:sz="4" w:space="0"/>
                    <w:left w:val="single" w:color="auto" w:sz="4" w:space="0"/>
                    <w:bottom w:val="single" w:color="auto" w:sz="4" w:space="0"/>
                    <w:right w:val="single" w:color="auto" w:sz="4" w:space="0"/>
                  </w:tcBorders>
                  <w:vAlign w:val="center"/>
                </w:tcPr>
                <w:p w14:paraId="6304C849">
                  <w:pPr>
                    <w:autoSpaceDE w:val="0"/>
                    <w:jc w:val="center"/>
                    <w:rPr>
                      <w:color w:val="000000"/>
                      <w:szCs w:val="21"/>
                      <w:u w:val="single"/>
                    </w:rPr>
                  </w:pPr>
                  <w:r>
                    <w:rPr>
                      <w:rFonts w:hint="eastAsia"/>
                      <w:color w:val="000000"/>
                      <w:u w:val="single"/>
                    </w:rPr>
                    <w:t>pH</w:t>
                  </w:r>
                  <w:r>
                    <w:rPr>
                      <w:rFonts w:hint="eastAsia" w:ascii="宋体" w:hAnsi="宋体"/>
                      <w:color w:val="000000"/>
                      <w:u w:val="single"/>
                    </w:rPr>
                    <w:t>（无量纲）</w:t>
                  </w:r>
                </w:p>
              </w:tc>
              <w:tc>
                <w:tcPr>
                  <w:tcW w:w="1142" w:type="dxa"/>
                  <w:tcBorders>
                    <w:top w:val="single" w:color="auto" w:sz="4" w:space="0"/>
                    <w:left w:val="single" w:color="auto" w:sz="4" w:space="0"/>
                    <w:bottom w:val="single" w:color="auto" w:sz="4" w:space="0"/>
                    <w:right w:val="single" w:color="auto" w:sz="4" w:space="0"/>
                  </w:tcBorders>
                  <w:vAlign w:val="center"/>
                </w:tcPr>
                <w:p w14:paraId="3BCB0E85">
                  <w:pPr>
                    <w:autoSpaceDE w:val="0"/>
                    <w:jc w:val="center"/>
                    <w:rPr>
                      <w:color w:val="000000"/>
                      <w:szCs w:val="21"/>
                      <w:u w:val="single"/>
                    </w:rPr>
                  </w:pPr>
                  <w:r>
                    <w:rPr>
                      <w:rFonts w:hint="eastAsia"/>
                      <w:color w:val="000000"/>
                      <w:u w:val="single"/>
                    </w:rPr>
                    <w:t>7.8~8.1</w:t>
                  </w:r>
                </w:p>
              </w:tc>
              <w:tc>
                <w:tcPr>
                  <w:tcW w:w="600" w:type="dxa"/>
                  <w:tcBorders>
                    <w:top w:val="single" w:color="auto" w:sz="4" w:space="0"/>
                    <w:left w:val="single" w:color="auto" w:sz="4" w:space="0"/>
                    <w:bottom w:val="single" w:color="auto" w:sz="4" w:space="0"/>
                    <w:right w:val="single" w:color="auto" w:sz="4" w:space="0"/>
                  </w:tcBorders>
                  <w:vAlign w:val="center"/>
                </w:tcPr>
                <w:p w14:paraId="5E1310BC">
                  <w:pPr>
                    <w:autoSpaceDE w:val="0"/>
                    <w:jc w:val="center"/>
                    <w:rPr>
                      <w:color w:val="000000"/>
                      <w:szCs w:val="21"/>
                      <w:u w:val="single"/>
                    </w:rPr>
                  </w:pPr>
                  <w:r>
                    <w:rPr>
                      <w:rFonts w:hint="eastAsia"/>
                      <w:color w:val="000000"/>
                      <w:u w:val="single"/>
                    </w:rPr>
                    <w:t>7.9</w:t>
                  </w:r>
                </w:p>
              </w:tc>
              <w:tc>
                <w:tcPr>
                  <w:tcW w:w="773" w:type="dxa"/>
                  <w:tcBorders>
                    <w:top w:val="single" w:color="auto" w:sz="4" w:space="0"/>
                    <w:left w:val="single" w:color="auto" w:sz="4" w:space="0"/>
                    <w:bottom w:val="single" w:color="auto" w:sz="4" w:space="0"/>
                    <w:right w:val="single" w:color="auto" w:sz="4" w:space="0"/>
                  </w:tcBorders>
                  <w:vAlign w:val="center"/>
                </w:tcPr>
                <w:p w14:paraId="6DC9B3A9">
                  <w:pPr>
                    <w:autoSpaceDE w:val="0"/>
                    <w:jc w:val="center"/>
                    <w:rPr>
                      <w:color w:val="000000"/>
                      <w:szCs w:val="21"/>
                      <w:u w:val="single"/>
                    </w:rPr>
                  </w:pPr>
                  <w:r>
                    <w:rPr>
                      <w:rFonts w:hint="eastAsia"/>
                      <w:color w:val="000000"/>
                      <w:u w:val="single"/>
                    </w:rPr>
                    <w:t>0.45</w:t>
                  </w:r>
                </w:p>
              </w:tc>
              <w:tc>
                <w:tcPr>
                  <w:tcW w:w="866" w:type="dxa"/>
                  <w:tcBorders>
                    <w:top w:val="single" w:color="auto" w:sz="4" w:space="0"/>
                    <w:left w:val="single" w:color="auto" w:sz="4" w:space="0"/>
                    <w:bottom w:val="single" w:color="auto" w:sz="4" w:space="0"/>
                    <w:right w:val="single" w:color="auto" w:sz="4" w:space="0"/>
                  </w:tcBorders>
                  <w:vAlign w:val="center"/>
                </w:tcPr>
                <w:p w14:paraId="1B28149E">
                  <w:pPr>
                    <w:autoSpaceDE w:val="0"/>
                    <w:jc w:val="center"/>
                    <w:rPr>
                      <w:color w:val="000000"/>
                      <w:szCs w:val="21"/>
                      <w:u w:val="single"/>
                    </w:rPr>
                  </w:pPr>
                  <w:r>
                    <w:rPr>
                      <w:rFonts w:hint="eastAsia"/>
                      <w:color w:val="000000"/>
                      <w:u w:val="single"/>
                    </w:rPr>
                    <w:t>0.55</w:t>
                  </w:r>
                </w:p>
              </w:tc>
              <w:tc>
                <w:tcPr>
                  <w:tcW w:w="784" w:type="dxa"/>
                  <w:tcBorders>
                    <w:top w:val="single" w:color="auto" w:sz="4" w:space="0"/>
                    <w:left w:val="single" w:color="auto" w:sz="4" w:space="0"/>
                    <w:bottom w:val="single" w:color="auto" w:sz="4" w:space="0"/>
                    <w:right w:val="single" w:color="auto" w:sz="4" w:space="0"/>
                  </w:tcBorders>
                  <w:vAlign w:val="center"/>
                </w:tcPr>
                <w:p w14:paraId="60DE5718">
                  <w:pPr>
                    <w:autoSpaceDE w:val="0"/>
                    <w:jc w:val="center"/>
                    <w:rPr>
                      <w:color w:val="000000"/>
                      <w:szCs w:val="21"/>
                      <w:u w:val="single"/>
                    </w:rPr>
                  </w:pPr>
                  <w:r>
                    <w:rPr>
                      <w:rFonts w:hint="eastAsia"/>
                      <w:color w:val="000000"/>
                      <w:u w:val="single"/>
                    </w:rPr>
                    <w:t>6-9</w:t>
                  </w:r>
                </w:p>
              </w:tc>
              <w:tc>
                <w:tcPr>
                  <w:tcW w:w="732" w:type="dxa"/>
                  <w:tcBorders>
                    <w:top w:val="single" w:color="auto" w:sz="4" w:space="0"/>
                    <w:left w:val="single" w:color="auto" w:sz="4" w:space="0"/>
                    <w:bottom w:val="single" w:color="auto" w:sz="4" w:space="0"/>
                    <w:right w:val="single" w:color="auto" w:sz="4" w:space="0"/>
                  </w:tcBorders>
                  <w:vAlign w:val="center"/>
                </w:tcPr>
                <w:p w14:paraId="40D75D17">
                  <w:pPr>
                    <w:autoSpaceDE w:val="0"/>
                    <w:jc w:val="center"/>
                    <w:rPr>
                      <w:color w:val="000000"/>
                      <w:szCs w:val="21"/>
                      <w:u w:val="single"/>
                    </w:rPr>
                  </w:pPr>
                  <w:r>
                    <w:rPr>
                      <w:rFonts w:hint="eastAsia" w:ascii="宋体" w:hAnsi="宋体"/>
                      <w:color w:val="000000"/>
                      <w:u w:val="single"/>
                    </w:rPr>
                    <w:t>达标</w:t>
                  </w:r>
                </w:p>
              </w:tc>
            </w:tr>
            <w:tr w14:paraId="4067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5C8F90D5">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5D2422A7">
                  <w:pPr>
                    <w:autoSpaceDE w:val="0"/>
                    <w:jc w:val="center"/>
                    <w:rPr>
                      <w:color w:val="000000"/>
                      <w:szCs w:val="21"/>
                      <w:u w:val="single"/>
                    </w:rPr>
                  </w:pPr>
                  <w:r>
                    <w:rPr>
                      <w:rFonts w:hint="eastAsia" w:ascii="宋体" w:hAnsi="宋体"/>
                      <w:color w:val="000000"/>
                      <w:u w:val="single"/>
                    </w:rPr>
                    <w:t>化学需氧量（</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5C4416EB">
                  <w:pPr>
                    <w:autoSpaceDE w:val="0"/>
                    <w:jc w:val="center"/>
                    <w:rPr>
                      <w:color w:val="000000"/>
                      <w:szCs w:val="21"/>
                      <w:u w:val="single"/>
                    </w:rPr>
                  </w:pPr>
                  <w:r>
                    <w:rPr>
                      <w:rFonts w:hint="eastAsia"/>
                      <w:color w:val="000000"/>
                      <w:u w:val="single"/>
                    </w:rPr>
                    <w:t>12~15</w:t>
                  </w:r>
                </w:p>
              </w:tc>
              <w:tc>
                <w:tcPr>
                  <w:tcW w:w="600" w:type="dxa"/>
                  <w:tcBorders>
                    <w:top w:val="single" w:color="auto" w:sz="4" w:space="0"/>
                    <w:left w:val="single" w:color="auto" w:sz="4" w:space="0"/>
                    <w:bottom w:val="single" w:color="auto" w:sz="4" w:space="0"/>
                    <w:right w:val="single" w:color="auto" w:sz="4" w:space="0"/>
                  </w:tcBorders>
                  <w:vAlign w:val="center"/>
                </w:tcPr>
                <w:p w14:paraId="1CFB2592">
                  <w:pPr>
                    <w:autoSpaceDE w:val="0"/>
                    <w:jc w:val="center"/>
                    <w:rPr>
                      <w:color w:val="000000"/>
                      <w:szCs w:val="21"/>
                      <w:u w:val="single"/>
                    </w:rPr>
                  </w:pPr>
                  <w:r>
                    <w:rPr>
                      <w:rFonts w:hint="eastAsia"/>
                      <w:color w:val="000000"/>
                      <w:u w:val="single"/>
                    </w:rPr>
                    <w:t>13</w:t>
                  </w:r>
                </w:p>
              </w:tc>
              <w:tc>
                <w:tcPr>
                  <w:tcW w:w="773" w:type="dxa"/>
                  <w:tcBorders>
                    <w:top w:val="single" w:color="auto" w:sz="4" w:space="0"/>
                    <w:left w:val="single" w:color="auto" w:sz="4" w:space="0"/>
                    <w:bottom w:val="single" w:color="auto" w:sz="4" w:space="0"/>
                    <w:right w:val="single" w:color="auto" w:sz="4" w:space="0"/>
                  </w:tcBorders>
                  <w:vAlign w:val="center"/>
                </w:tcPr>
                <w:p w14:paraId="5EB3EA21">
                  <w:pPr>
                    <w:autoSpaceDE w:val="0"/>
                    <w:jc w:val="center"/>
                    <w:rPr>
                      <w:color w:val="000000"/>
                      <w:szCs w:val="21"/>
                      <w:u w:val="single"/>
                    </w:rPr>
                  </w:pPr>
                  <w:r>
                    <w:rPr>
                      <w:rFonts w:hint="eastAsia"/>
                      <w:color w:val="000000"/>
                      <w:u w:val="single"/>
                    </w:rPr>
                    <w:t>0.43</w:t>
                  </w:r>
                </w:p>
              </w:tc>
              <w:tc>
                <w:tcPr>
                  <w:tcW w:w="866" w:type="dxa"/>
                  <w:tcBorders>
                    <w:top w:val="single" w:color="auto" w:sz="4" w:space="0"/>
                    <w:left w:val="single" w:color="auto" w:sz="4" w:space="0"/>
                    <w:bottom w:val="single" w:color="auto" w:sz="4" w:space="0"/>
                    <w:right w:val="single" w:color="auto" w:sz="4" w:space="0"/>
                  </w:tcBorders>
                  <w:vAlign w:val="center"/>
                </w:tcPr>
                <w:p w14:paraId="09B1AAA9">
                  <w:pPr>
                    <w:autoSpaceDE w:val="0"/>
                    <w:jc w:val="center"/>
                    <w:rPr>
                      <w:color w:val="000000"/>
                      <w:szCs w:val="21"/>
                      <w:u w:val="single"/>
                    </w:rPr>
                  </w:pPr>
                  <w:r>
                    <w:rPr>
                      <w:rFonts w:hint="eastAsia"/>
                      <w:color w:val="000000"/>
                      <w:u w:val="single"/>
                    </w:rPr>
                    <w:t>0.5</w:t>
                  </w:r>
                </w:p>
              </w:tc>
              <w:tc>
                <w:tcPr>
                  <w:tcW w:w="784" w:type="dxa"/>
                  <w:tcBorders>
                    <w:top w:val="single" w:color="auto" w:sz="4" w:space="0"/>
                    <w:left w:val="single" w:color="auto" w:sz="4" w:space="0"/>
                    <w:bottom w:val="single" w:color="auto" w:sz="4" w:space="0"/>
                    <w:right w:val="single" w:color="auto" w:sz="4" w:space="0"/>
                  </w:tcBorders>
                  <w:vAlign w:val="center"/>
                </w:tcPr>
                <w:p w14:paraId="673E8CDC">
                  <w:pPr>
                    <w:autoSpaceDE w:val="0"/>
                    <w:jc w:val="center"/>
                    <w:rPr>
                      <w:color w:val="000000"/>
                      <w:szCs w:val="21"/>
                      <w:u w:val="single"/>
                    </w:rPr>
                  </w:pPr>
                  <w:r>
                    <w:rPr>
                      <w:rFonts w:hint="eastAsia"/>
                      <w:color w:val="000000"/>
                      <w:u w:val="single"/>
                    </w:rPr>
                    <w:t>30</w:t>
                  </w:r>
                </w:p>
              </w:tc>
              <w:tc>
                <w:tcPr>
                  <w:tcW w:w="732" w:type="dxa"/>
                  <w:tcBorders>
                    <w:top w:val="single" w:color="auto" w:sz="4" w:space="0"/>
                    <w:left w:val="single" w:color="auto" w:sz="4" w:space="0"/>
                    <w:bottom w:val="single" w:color="auto" w:sz="4" w:space="0"/>
                    <w:right w:val="single" w:color="auto" w:sz="4" w:space="0"/>
                  </w:tcBorders>
                  <w:vAlign w:val="center"/>
                </w:tcPr>
                <w:p w14:paraId="6F9F0F9D">
                  <w:pPr>
                    <w:autoSpaceDE w:val="0"/>
                    <w:jc w:val="center"/>
                    <w:rPr>
                      <w:color w:val="000000"/>
                      <w:szCs w:val="21"/>
                      <w:u w:val="single"/>
                    </w:rPr>
                  </w:pPr>
                  <w:r>
                    <w:rPr>
                      <w:rFonts w:hint="eastAsia" w:ascii="宋体" w:hAnsi="宋体"/>
                      <w:color w:val="000000"/>
                      <w:u w:val="single"/>
                    </w:rPr>
                    <w:t>达标</w:t>
                  </w:r>
                </w:p>
              </w:tc>
            </w:tr>
            <w:tr w14:paraId="3CBB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7614D383">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30F12055">
                  <w:pPr>
                    <w:autoSpaceDE w:val="0"/>
                    <w:jc w:val="center"/>
                    <w:rPr>
                      <w:color w:val="000000"/>
                      <w:szCs w:val="21"/>
                      <w:u w:val="single"/>
                    </w:rPr>
                  </w:pPr>
                  <w:r>
                    <w:rPr>
                      <w:rFonts w:hint="eastAsia" w:ascii="宋体" w:hAnsi="宋体"/>
                      <w:color w:val="000000"/>
                      <w:u w:val="single"/>
                    </w:rPr>
                    <w:t>五日生化需氧量（</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3CACCBE4">
                  <w:pPr>
                    <w:autoSpaceDE w:val="0"/>
                    <w:jc w:val="center"/>
                    <w:rPr>
                      <w:color w:val="000000"/>
                      <w:szCs w:val="21"/>
                      <w:u w:val="single"/>
                    </w:rPr>
                  </w:pPr>
                  <w:r>
                    <w:rPr>
                      <w:rFonts w:hint="eastAsia"/>
                      <w:color w:val="000000"/>
                      <w:u w:val="single"/>
                    </w:rPr>
                    <w:t>4.6~5.7</w:t>
                  </w:r>
                </w:p>
              </w:tc>
              <w:tc>
                <w:tcPr>
                  <w:tcW w:w="600" w:type="dxa"/>
                  <w:tcBorders>
                    <w:top w:val="single" w:color="auto" w:sz="4" w:space="0"/>
                    <w:left w:val="single" w:color="auto" w:sz="4" w:space="0"/>
                    <w:bottom w:val="single" w:color="auto" w:sz="4" w:space="0"/>
                    <w:right w:val="single" w:color="auto" w:sz="4" w:space="0"/>
                  </w:tcBorders>
                  <w:vAlign w:val="center"/>
                </w:tcPr>
                <w:p w14:paraId="0604146B">
                  <w:pPr>
                    <w:autoSpaceDE w:val="0"/>
                    <w:jc w:val="center"/>
                    <w:rPr>
                      <w:color w:val="000000"/>
                      <w:szCs w:val="21"/>
                      <w:u w:val="single"/>
                    </w:rPr>
                  </w:pPr>
                  <w:r>
                    <w:rPr>
                      <w:rFonts w:hint="eastAsia"/>
                      <w:color w:val="000000"/>
                      <w:u w:val="single"/>
                    </w:rPr>
                    <w:t>5</w:t>
                  </w:r>
                </w:p>
              </w:tc>
              <w:tc>
                <w:tcPr>
                  <w:tcW w:w="773" w:type="dxa"/>
                  <w:tcBorders>
                    <w:top w:val="single" w:color="auto" w:sz="4" w:space="0"/>
                    <w:left w:val="single" w:color="auto" w:sz="4" w:space="0"/>
                    <w:bottom w:val="single" w:color="auto" w:sz="4" w:space="0"/>
                    <w:right w:val="single" w:color="auto" w:sz="4" w:space="0"/>
                  </w:tcBorders>
                  <w:vAlign w:val="center"/>
                </w:tcPr>
                <w:p w14:paraId="0F8EE2C6">
                  <w:pPr>
                    <w:autoSpaceDE w:val="0"/>
                    <w:jc w:val="center"/>
                    <w:rPr>
                      <w:color w:val="000000"/>
                      <w:szCs w:val="21"/>
                      <w:u w:val="single"/>
                    </w:rPr>
                  </w:pPr>
                  <w:r>
                    <w:rPr>
                      <w:rFonts w:hint="eastAsia"/>
                      <w:color w:val="000000"/>
                      <w:u w:val="single"/>
                    </w:rPr>
                    <w:t>0.83</w:t>
                  </w:r>
                </w:p>
              </w:tc>
              <w:tc>
                <w:tcPr>
                  <w:tcW w:w="866" w:type="dxa"/>
                  <w:tcBorders>
                    <w:top w:val="single" w:color="auto" w:sz="4" w:space="0"/>
                    <w:left w:val="single" w:color="auto" w:sz="4" w:space="0"/>
                    <w:bottom w:val="single" w:color="auto" w:sz="4" w:space="0"/>
                    <w:right w:val="single" w:color="auto" w:sz="4" w:space="0"/>
                  </w:tcBorders>
                  <w:vAlign w:val="center"/>
                </w:tcPr>
                <w:p w14:paraId="217A9542">
                  <w:pPr>
                    <w:autoSpaceDE w:val="0"/>
                    <w:jc w:val="center"/>
                    <w:rPr>
                      <w:color w:val="000000"/>
                      <w:szCs w:val="21"/>
                      <w:u w:val="single"/>
                    </w:rPr>
                  </w:pPr>
                  <w:r>
                    <w:rPr>
                      <w:rFonts w:hint="eastAsia"/>
                      <w:color w:val="000000"/>
                      <w:u w:val="single"/>
                    </w:rPr>
                    <w:t>0.95</w:t>
                  </w:r>
                </w:p>
              </w:tc>
              <w:tc>
                <w:tcPr>
                  <w:tcW w:w="784" w:type="dxa"/>
                  <w:tcBorders>
                    <w:top w:val="single" w:color="auto" w:sz="4" w:space="0"/>
                    <w:left w:val="single" w:color="auto" w:sz="4" w:space="0"/>
                    <w:bottom w:val="single" w:color="auto" w:sz="4" w:space="0"/>
                    <w:right w:val="single" w:color="auto" w:sz="4" w:space="0"/>
                  </w:tcBorders>
                  <w:vAlign w:val="center"/>
                </w:tcPr>
                <w:p w14:paraId="19F0EA86">
                  <w:pPr>
                    <w:autoSpaceDE w:val="0"/>
                    <w:jc w:val="center"/>
                    <w:rPr>
                      <w:color w:val="000000"/>
                      <w:szCs w:val="21"/>
                      <w:u w:val="single"/>
                    </w:rPr>
                  </w:pPr>
                  <w:r>
                    <w:rPr>
                      <w:rFonts w:hint="eastAsia"/>
                      <w:color w:val="000000"/>
                      <w:u w:val="single"/>
                    </w:rPr>
                    <w:t>6</w:t>
                  </w:r>
                </w:p>
              </w:tc>
              <w:tc>
                <w:tcPr>
                  <w:tcW w:w="732" w:type="dxa"/>
                  <w:tcBorders>
                    <w:top w:val="single" w:color="auto" w:sz="4" w:space="0"/>
                    <w:left w:val="single" w:color="auto" w:sz="4" w:space="0"/>
                    <w:bottom w:val="single" w:color="auto" w:sz="4" w:space="0"/>
                    <w:right w:val="single" w:color="auto" w:sz="4" w:space="0"/>
                  </w:tcBorders>
                  <w:vAlign w:val="center"/>
                </w:tcPr>
                <w:p w14:paraId="748D0BEF">
                  <w:pPr>
                    <w:autoSpaceDE w:val="0"/>
                    <w:jc w:val="center"/>
                    <w:rPr>
                      <w:color w:val="000000"/>
                      <w:szCs w:val="21"/>
                      <w:u w:val="single"/>
                    </w:rPr>
                  </w:pPr>
                  <w:r>
                    <w:rPr>
                      <w:rFonts w:hint="eastAsia" w:ascii="宋体" w:hAnsi="宋体"/>
                      <w:color w:val="000000"/>
                      <w:u w:val="single"/>
                    </w:rPr>
                    <w:t>达标</w:t>
                  </w:r>
                </w:p>
              </w:tc>
            </w:tr>
            <w:tr w14:paraId="58DC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4C5283B2">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02AC2242">
                  <w:pPr>
                    <w:autoSpaceDE w:val="0"/>
                    <w:jc w:val="center"/>
                    <w:rPr>
                      <w:color w:val="000000"/>
                      <w:szCs w:val="21"/>
                      <w:u w:val="single"/>
                    </w:rPr>
                  </w:pPr>
                  <w:r>
                    <w:rPr>
                      <w:rFonts w:hint="eastAsia" w:ascii="宋体" w:hAnsi="宋体"/>
                      <w:color w:val="000000"/>
                      <w:u w:val="single"/>
                    </w:rPr>
                    <w:t>悬浮物（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320ACCB4">
                  <w:pPr>
                    <w:autoSpaceDE w:val="0"/>
                    <w:jc w:val="center"/>
                    <w:rPr>
                      <w:color w:val="000000"/>
                      <w:szCs w:val="21"/>
                      <w:u w:val="single"/>
                    </w:rPr>
                  </w:pPr>
                  <w:r>
                    <w:rPr>
                      <w:rFonts w:hint="eastAsia"/>
                      <w:color w:val="000000"/>
                      <w:u w:val="single"/>
                    </w:rPr>
                    <w:t>70~91</w:t>
                  </w:r>
                </w:p>
              </w:tc>
              <w:tc>
                <w:tcPr>
                  <w:tcW w:w="600" w:type="dxa"/>
                  <w:tcBorders>
                    <w:top w:val="single" w:color="auto" w:sz="4" w:space="0"/>
                    <w:left w:val="single" w:color="auto" w:sz="4" w:space="0"/>
                    <w:bottom w:val="single" w:color="auto" w:sz="4" w:space="0"/>
                    <w:right w:val="single" w:color="auto" w:sz="4" w:space="0"/>
                  </w:tcBorders>
                  <w:vAlign w:val="center"/>
                </w:tcPr>
                <w:p w14:paraId="1872CD7D">
                  <w:pPr>
                    <w:autoSpaceDE w:val="0"/>
                    <w:jc w:val="center"/>
                    <w:rPr>
                      <w:color w:val="000000"/>
                      <w:szCs w:val="21"/>
                      <w:u w:val="single"/>
                    </w:rPr>
                  </w:pPr>
                  <w:r>
                    <w:rPr>
                      <w:rFonts w:hint="eastAsia"/>
                      <w:color w:val="000000"/>
                      <w:u w:val="single"/>
                    </w:rPr>
                    <w:t>83.3</w:t>
                  </w:r>
                </w:p>
              </w:tc>
              <w:tc>
                <w:tcPr>
                  <w:tcW w:w="773" w:type="dxa"/>
                  <w:tcBorders>
                    <w:top w:val="single" w:color="auto" w:sz="4" w:space="0"/>
                    <w:left w:val="single" w:color="auto" w:sz="4" w:space="0"/>
                    <w:bottom w:val="single" w:color="auto" w:sz="4" w:space="0"/>
                    <w:right w:val="single" w:color="auto" w:sz="4" w:space="0"/>
                  </w:tcBorders>
                  <w:vAlign w:val="center"/>
                </w:tcPr>
                <w:p w14:paraId="1EEB9031">
                  <w:pPr>
                    <w:autoSpaceDE w:val="0"/>
                    <w:jc w:val="center"/>
                    <w:rPr>
                      <w:color w:val="000000"/>
                      <w:szCs w:val="21"/>
                      <w:u w:val="single"/>
                    </w:rPr>
                  </w:pPr>
                  <w:r>
                    <w:rPr>
                      <w:rFonts w:hint="eastAsia"/>
                      <w:color w:val="000000"/>
                      <w:u w:val="single"/>
                    </w:rPr>
                    <w:t>1.39</w:t>
                  </w:r>
                </w:p>
              </w:tc>
              <w:tc>
                <w:tcPr>
                  <w:tcW w:w="866" w:type="dxa"/>
                  <w:tcBorders>
                    <w:top w:val="single" w:color="auto" w:sz="4" w:space="0"/>
                    <w:left w:val="single" w:color="auto" w:sz="4" w:space="0"/>
                    <w:bottom w:val="single" w:color="auto" w:sz="4" w:space="0"/>
                    <w:right w:val="single" w:color="auto" w:sz="4" w:space="0"/>
                  </w:tcBorders>
                  <w:vAlign w:val="center"/>
                </w:tcPr>
                <w:p w14:paraId="7F5B6175">
                  <w:pPr>
                    <w:autoSpaceDE w:val="0"/>
                    <w:jc w:val="center"/>
                    <w:rPr>
                      <w:color w:val="000000"/>
                      <w:szCs w:val="21"/>
                      <w:u w:val="single"/>
                    </w:rPr>
                  </w:pPr>
                  <w:r>
                    <w:rPr>
                      <w:rFonts w:hint="eastAsia"/>
                      <w:color w:val="000000"/>
                      <w:u w:val="single"/>
                    </w:rPr>
                    <w:t>1.52</w:t>
                  </w:r>
                </w:p>
              </w:tc>
              <w:tc>
                <w:tcPr>
                  <w:tcW w:w="784" w:type="dxa"/>
                  <w:tcBorders>
                    <w:top w:val="single" w:color="auto" w:sz="4" w:space="0"/>
                    <w:left w:val="single" w:color="auto" w:sz="4" w:space="0"/>
                    <w:bottom w:val="single" w:color="auto" w:sz="4" w:space="0"/>
                    <w:right w:val="single" w:color="auto" w:sz="4" w:space="0"/>
                  </w:tcBorders>
                  <w:vAlign w:val="center"/>
                </w:tcPr>
                <w:p w14:paraId="7D721AC9">
                  <w:pPr>
                    <w:autoSpaceDE w:val="0"/>
                    <w:jc w:val="center"/>
                    <w:rPr>
                      <w:color w:val="000000"/>
                      <w:szCs w:val="21"/>
                      <w:u w:val="single"/>
                    </w:rPr>
                  </w:pPr>
                  <w:r>
                    <w:rPr>
                      <w:rFonts w:hint="eastAsia"/>
                      <w:color w:val="000000"/>
                      <w:u w:val="single"/>
                    </w:rPr>
                    <w:t>60</w:t>
                  </w:r>
                </w:p>
              </w:tc>
              <w:tc>
                <w:tcPr>
                  <w:tcW w:w="732" w:type="dxa"/>
                  <w:tcBorders>
                    <w:top w:val="single" w:color="auto" w:sz="4" w:space="0"/>
                    <w:left w:val="single" w:color="auto" w:sz="4" w:space="0"/>
                    <w:bottom w:val="single" w:color="auto" w:sz="4" w:space="0"/>
                    <w:right w:val="single" w:color="auto" w:sz="4" w:space="0"/>
                  </w:tcBorders>
                  <w:vAlign w:val="center"/>
                </w:tcPr>
                <w:p w14:paraId="26A4FA9B">
                  <w:pPr>
                    <w:autoSpaceDE w:val="0"/>
                    <w:jc w:val="center"/>
                    <w:rPr>
                      <w:color w:val="000000"/>
                      <w:szCs w:val="21"/>
                      <w:u w:val="single"/>
                    </w:rPr>
                  </w:pPr>
                  <w:r>
                    <w:rPr>
                      <w:rFonts w:hint="eastAsia" w:ascii="宋体" w:hAnsi="宋体"/>
                      <w:color w:val="000000"/>
                      <w:u w:val="single"/>
                    </w:rPr>
                    <w:t>超标</w:t>
                  </w:r>
                </w:p>
              </w:tc>
            </w:tr>
            <w:tr w14:paraId="1ACD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17801163">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36375834">
                  <w:pPr>
                    <w:autoSpaceDE w:val="0"/>
                    <w:jc w:val="center"/>
                    <w:rPr>
                      <w:color w:val="000000"/>
                      <w:szCs w:val="21"/>
                      <w:u w:val="single"/>
                    </w:rPr>
                  </w:pPr>
                  <w:r>
                    <w:rPr>
                      <w:rFonts w:hint="eastAsia" w:ascii="宋体" w:hAnsi="宋体"/>
                      <w:color w:val="000000"/>
                      <w:u w:val="single"/>
                    </w:rPr>
                    <w:t>氨氮（</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0276828B">
                  <w:pPr>
                    <w:autoSpaceDE w:val="0"/>
                    <w:jc w:val="center"/>
                    <w:rPr>
                      <w:color w:val="000000"/>
                      <w:szCs w:val="21"/>
                      <w:u w:val="single"/>
                    </w:rPr>
                  </w:pPr>
                  <w:r>
                    <w:rPr>
                      <w:rFonts w:hint="eastAsia"/>
                      <w:color w:val="000000"/>
                      <w:u w:val="single"/>
                    </w:rPr>
                    <w:t>0.06~1.03</w:t>
                  </w:r>
                </w:p>
              </w:tc>
              <w:tc>
                <w:tcPr>
                  <w:tcW w:w="600" w:type="dxa"/>
                  <w:tcBorders>
                    <w:top w:val="single" w:color="auto" w:sz="4" w:space="0"/>
                    <w:left w:val="single" w:color="auto" w:sz="4" w:space="0"/>
                    <w:bottom w:val="single" w:color="auto" w:sz="4" w:space="0"/>
                    <w:right w:val="single" w:color="auto" w:sz="4" w:space="0"/>
                  </w:tcBorders>
                  <w:vAlign w:val="center"/>
                </w:tcPr>
                <w:p w14:paraId="76B442F2">
                  <w:pPr>
                    <w:autoSpaceDE w:val="0"/>
                    <w:jc w:val="center"/>
                    <w:rPr>
                      <w:color w:val="000000"/>
                      <w:szCs w:val="21"/>
                      <w:u w:val="single"/>
                    </w:rPr>
                  </w:pPr>
                  <w:r>
                    <w:rPr>
                      <w:rFonts w:hint="eastAsia"/>
                      <w:color w:val="000000"/>
                      <w:u w:val="single"/>
                    </w:rPr>
                    <w:t>0.4</w:t>
                  </w:r>
                </w:p>
              </w:tc>
              <w:tc>
                <w:tcPr>
                  <w:tcW w:w="773" w:type="dxa"/>
                  <w:tcBorders>
                    <w:top w:val="single" w:color="auto" w:sz="4" w:space="0"/>
                    <w:left w:val="single" w:color="auto" w:sz="4" w:space="0"/>
                    <w:bottom w:val="single" w:color="auto" w:sz="4" w:space="0"/>
                    <w:right w:val="single" w:color="auto" w:sz="4" w:space="0"/>
                  </w:tcBorders>
                  <w:vAlign w:val="center"/>
                </w:tcPr>
                <w:p w14:paraId="4214FE1A">
                  <w:pPr>
                    <w:autoSpaceDE w:val="0"/>
                    <w:jc w:val="center"/>
                    <w:rPr>
                      <w:color w:val="000000"/>
                      <w:szCs w:val="21"/>
                      <w:u w:val="single"/>
                    </w:rPr>
                  </w:pPr>
                  <w:r>
                    <w:rPr>
                      <w:rFonts w:hint="eastAsia"/>
                      <w:color w:val="000000"/>
                      <w:u w:val="single"/>
                    </w:rPr>
                    <w:t>0.27</w:t>
                  </w:r>
                </w:p>
              </w:tc>
              <w:tc>
                <w:tcPr>
                  <w:tcW w:w="866" w:type="dxa"/>
                  <w:tcBorders>
                    <w:top w:val="single" w:color="auto" w:sz="4" w:space="0"/>
                    <w:left w:val="single" w:color="auto" w:sz="4" w:space="0"/>
                    <w:bottom w:val="single" w:color="auto" w:sz="4" w:space="0"/>
                    <w:right w:val="single" w:color="auto" w:sz="4" w:space="0"/>
                  </w:tcBorders>
                  <w:vAlign w:val="center"/>
                </w:tcPr>
                <w:p w14:paraId="5D4C5750">
                  <w:pPr>
                    <w:autoSpaceDE w:val="0"/>
                    <w:jc w:val="center"/>
                    <w:rPr>
                      <w:color w:val="000000"/>
                      <w:szCs w:val="21"/>
                      <w:u w:val="single"/>
                    </w:rPr>
                  </w:pPr>
                  <w:r>
                    <w:rPr>
                      <w:rFonts w:hint="eastAsia"/>
                      <w:color w:val="000000"/>
                      <w:u w:val="single"/>
                    </w:rPr>
                    <w:t>0.69</w:t>
                  </w:r>
                </w:p>
              </w:tc>
              <w:tc>
                <w:tcPr>
                  <w:tcW w:w="784" w:type="dxa"/>
                  <w:tcBorders>
                    <w:top w:val="single" w:color="auto" w:sz="4" w:space="0"/>
                    <w:left w:val="single" w:color="auto" w:sz="4" w:space="0"/>
                    <w:bottom w:val="single" w:color="auto" w:sz="4" w:space="0"/>
                    <w:right w:val="single" w:color="auto" w:sz="4" w:space="0"/>
                  </w:tcBorders>
                  <w:vAlign w:val="center"/>
                </w:tcPr>
                <w:p w14:paraId="5F5E8DAB">
                  <w:pPr>
                    <w:autoSpaceDE w:val="0"/>
                    <w:jc w:val="center"/>
                    <w:rPr>
                      <w:color w:val="000000"/>
                      <w:szCs w:val="21"/>
                      <w:u w:val="single"/>
                    </w:rPr>
                  </w:pPr>
                  <w:r>
                    <w:rPr>
                      <w:rFonts w:hint="eastAsia"/>
                      <w:color w:val="000000"/>
                      <w:u w:val="single"/>
                    </w:rPr>
                    <w:t>1.5</w:t>
                  </w:r>
                </w:p>
              </w:tc>
              <w:tc>
                <w:tcPr>
                  <w:tcW w:w="732" w:type="dxa"/>
                  <w:tcBorders>
                    <w:top w:val="single" w:color="auto" w:sz="4" w:space="0"/>
                    <w:left w:val="single" w:color="auto" w:sz="4" w:space="0"/>
                    <w:bottom w:val="single" w:color="auto" w:sz="4" w:space="0"/>
                    <w:right w:val="single" w:color="auto" w:sz="4" w:space="0"/>
                  </w:tcBorders>
                  <w:vAlign w:val="center"/>
                </w:tcPr>
                <w:p w14:paraId="22953E4A">
                  <w:pPr>
                    <w:autoSpaceDE w:val="0"/>
                    <w:jc w:val="center"/>
                    <w:rPr>
                      <w:color w:val="000000"/>
                      <w:szCs w:val="21"/>
                      <w:u w:val="single"/>
                    </w:rPr>
                  </w:pPr>
                  <w:r>
                    <w:rPr>
                      <w:rFonts w:hint="eastAsia" w:ascii="宋体" w:hAnsi="宋体"/>
                      <w:color w:val="000000"/>
                      <w:u w:val="single"/>
                    </w:rPr>
                    <w:t>达标</w:t>
                  </w:r>
                </w:p>
              </w:tc>
            </w:tr>
            <w:tr w14:paraId="4EE1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7945C203">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4D7FF8E6">
                  <w:pPr>
                    <w:autoSpaceDE w:val="0"/>
                    <w:jc w:val="center"/>
                    <w:rPr>
                      <w:color w:val="000000"/>
                      <w:szCs w:val="21"/>
                      <w:u w:val="single"/>
                    </w:rPr>
                  </w:pPr>
                  <w:r>
                    <w:rPr>
                      <w:rFonts w:hint="eastAsia" w:ascii="宋体" w:hAnsi="宋体"/>
                      <w:color w:val="000000"/>
                      <w:u w:val="single"/>
                    </w:rPr>
                    <w:t>总磷（</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2A06B092">
                  <w:pPr>
                    <w:autoSpaceDE w:val="0"/>
                    <w:jc w:val="center"/>
                    <w:rPr>
                      <w:color w:val="000000"/>
                      <w:szCs w:val="21"/>
                      <w:u w:val="single"/>
                    </w:rPr>
                  </w:pPr>
                  <w:r>
                    <w:rPr>
                      <w:rFonts w:hint="eastAsia"/>
                      <w:color w:val="000000"/>
                      <w:u w:val="single"/>
                    </w:rPr>
                    <w:t>0.13~0.28</w:t>
                  </w:r>
                </w:p>
              </w:tc>
              <w:tc>
                <w:tcPr>
                  <w:tcW w:w="600" w:type="dxa"/>
                  <w:tcBorders>
                    <w:top w:val="single" w:color="auto" w:sz="4" w:space="0"/>
                    <w:left w:val="single" w:color="auto" w:sz="4" w:space="0"/>
                    <w:bottom w:val="single" w:color="auto" w:sz="4" w:space="0"/>
                    <w:right w:val="single" w:color="auto" w:sz="4" w:space="0"/>
                  </w:tcBorders>
                  <w:vAlign w:val="center"/>
                </w:tcPr>
                <w:p w14:paraId="68476CFB">
                  <w:pPr>
                    <w:autoSpaceDE w:val="0"/>
                    <w:jc w:val="center"/>
                    <w:rPr>
                      <w:color w:val="000000"/>
                      <w:szCs w:val="21"/>
                      <w:u w:val="single"/>
                    </w:rPr>
                  </w:pPr>
                  <w:r>
                    <w:rPr>
                      <w:rFonts w:hint="eastAsia"/>
                      <w:color w:val="000000"/>
                      <w:u w:val="single"/>
                    </w:rPr>
                    <w:t>0.22</w:t>
                  </w:r>
                </w:p>
              </w:tc>
              <w:tc>
                <w:tcPr>
                  <w:tcW w:w="773" w:type="dxa"/>
                  <w:tcBorders>
                    <w:top w:val="single" w:color="auto" w:sz="4" w:space="0"/>
                    <w:left w:val="single" w:color="auto" w:sz="4" w:space="0"/>
                    <w:bottom w:val="single" w:color="auto" w:sz="4" w:space="0"/>
                    <w:right w:val="single" w:color="auto" w:sz="4" w:space="0"/>
                  </w:tcBorders>
                  <w:vAlign w:val="center"/>
                </w:tcPr>
                <w:p w14:paraId="424FFB56">
                  <w:pPr>
                    <w:autoSpaceDE w:val="0"/>
                    <w:jc w:val="center"/>
                    <w:rPr>
                      <w:color w:val="000000"/>
                      <w:szCs w:val="21"/>
                      <w:u w:val="single"/>
                    </w:rPr>
                  </w:pPr>
                  <w:r>
                    <w:rPr>
                      <w:rFonts w:hint="eastAsia"/>
                      <w:color w:val="000000"/>
                      <w:u w:val="single"/>
                    </w:rPr>
                    <w:t>0.73</w:t>
                  </w:r>
                </w:p>
              </w:tc>
              <w:tc>
                <w:tcPr>
                  <w:tcW w:w="866" w:type="dxa"/>
                  <w:tcBorders>
                    <w:top w:val="single" w:color="auto" w:sz="4" w:space="0"/>
                    <w:left w:val="single" w:color="auto" w:sz="4" w:space="0"/>
                    <w:bottom w:val="single" w:color="auto" w:sz="4" w:space="0"/>
                    <w:right w:val="single" w:color="auto" w:sz="4" w:space="0"/>
                  </w:tcBorders>
                  <w:vAlign w:val="center"/>
                </w:tcPr>
                <w:p w14:paraId="743E6E89">
                  <w:pPr>
                    <w:autoSpaceDE w:val="0"/>
                    <w:jc w:val="center"/>
                    <w:rPr>
                      <w:color w:val="000000"/>
                      <w:szCs w:val="21"/>
                      <w:u w:val="single"/>
                    </w:rPr>
                  </w:pPr>
                  <w:r>
                    <w:rPr>
                      <w:rFonts w:hint="eastAsia"/>
                      <w:color w:val="000000"/>
                      <w:u w:val="single"/>
                    </w:rPr>
                    <w:t>0.93</w:t>
                  </w:r>
                </w:p>
              </w:tc>
              <w:tc>
                <w:tcPr>
                  <w:tcW w:w="784" w:type="dxa"/>
                  <w:tcBorders>
                    <w:top w:val="single" w:color="auto" w:sz="4" w:space="0"/>
                    <w:left w:val="single" w:color="auto" w:sz="4" w:space="0"/>
                    <w:bottom w:val="single" w:color="auto" w:sz="4" w:space="0"/>
                    <w:right w:val="single" w:color="auto" w:sz="4" w:space="0"/>
                  </w:tcBorders>
                  <w:vAlign w:val="center"/>
                </w:tcPr>
                <w:p w14:paraId="7FC663EA">
                  <w:pPr>
                    <w:autoSpaceDE w:val="0"/>
                    <w:jc w:val="center"/>
                    <w:rPr>
                      <w:color w:val="000000"/>
                      <w:szCs w:val="21"/>
                      <w:u w:val="single"/>
                    </w:rPr>
                  </w:pPr>
                  <w:r>
                    <w:rPr>
                      <w:rFonts w:hint="eastAsia"/>
                      <w:color w:val="000000"/>
                      <w:u w:val="single"/>
                    </w:rPr>
                    <w:t>0.3</w:t>
                  </w:r>
                </w:p>
              </w:tc>
              <w:tc>
                <w:tcPr>
                  <w:tcW w:w="732" w:type="dxa"/>
                  <w:tcBorders>
                    <w:top w:val="single" w:color="auto" w:sz="4" w:space="0"/>
                    <w:left w:val="single" w:color="auto" w:sz="4" w:space="0"/>
                    <w:bottom w:val="single" w:color="auto" w:sz="4" w:space="0"/>
                    <w:right w:val="single" w:color="auto" w:sz="4" w:space="0"/>
                  </w:tcBorders>
                  <w:vAlign w:val="center"/>
                </w:tcPr>
                <w:p w14:paraId="568354F3">
                  <w:pPr>
                    <w:autoSpaceDE w:val="0"/>
                    <w:jc w:val="center"/>
                    <w:rPr>
                      <w:color w:val="000000"/>
                      <w:szCs w:val="21"/>
                      <w:u w:val="single"/>
                    </w:rPr>
                  </w:pPr>
                  <w:r>
                    <w:rPr>
                      <w:rFonts w:hint="eastAsia" w:ascii="宋体" w:hAnsi="宋体"/>
                      <w:color w:val="000000"/>
                      <w:u w:val="single"/>
                    </w:rPr>
                    <w:t>达标</w:t>
                  </w:r>
                </w:p>
              </w:tc>
            </w:tr>
            <w:tr w14:paraId="2529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3A20D7FC">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4EF17AA6">
                  <w:pPr>
                    <w:autoSpaceDE w:val="0"/>
                    <w:jc w:val="center"/>
                    <w:rPr>
                      <w:color w:val="000000"/>
                      <w:szCs w:val="21"/>
                      <w:u w:val="single"/>
                    </w:rPr>
                  </w:pPr>
                  <w:r>
                    <w:rPr>
                      <w:rFonts w:hint="eastAsia" w:ascii="宋体" w:hAnsi="宋体"/>
                      <w:color w:val="000000"/>
                      <w:u w:val="single"/>
                    </w:rPr>
                    <w:t>总氮（</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471A2B38">
                  <w:pPr>
                    <w:autoSpaceDE w:val="0"/>
                    <w:jc w:val="center"/>
                    <w:rPr>
                      <w:color w:val="000000"/>
                      <w:szCs w:val="21"/>
                      <w:u w:val="single"/>
                    </w:rPr>
                  </w:pPr>
                  <w:r>
                    <w:rPr>
                      <w:rFonts w:hint="eastAsia"/>
                      <w:color w:val="000000"/>
                      <w:u w:val="single"/>
                    </w:rPr>
                    <w:t>3.57~4.91</w:t>
                  </w:r>
                </w:p>
              </w:tc>
              <w:tc>
                <w:tcPr>
                  <w:tcW w:w="600" w:type="dxa"/>
                  <w:tcBorders>
                    <w:top w:val="single" w:color="auto" w:sz="4" w:space="0"/>
                    <w:left w:val="single" w:color="auto" w:sz="4" w:space="0"/>
                    <w:bottom w:val="single" w:color="auto" w:sz="4" w:space="0"/>
                    <w:right w:val="single" w:color="auto" w:sz="4" w:space="0"/>
                  </w:tcBorders>
                  <w:vAlign w:val="center"/>
                </w:tcPr>
                <w:p w14:paraId="3D9BF287">
                  <w:pPr>
                    <w:autoSpaceDE w:val="0"/>
                    <w:jc w:val="center"/>
                    <w:rPr>
                      <w:color w:val="000000"/>
                      <w:szCs w:val="21"/>
                      <w:u w:val="single"/>
                    </w:rPr>
                  </w:pPr>
                  <w:r>
                    <w:rPr>
                      <w:rFonts w:hint="eastAsia"/>
                      <w:color w:val="000000"/>
                      <w:u w:val="single"/>
                    </w:rPr>
                    <w:t>4.39</w:t>
                  </w:r>
                </w:p>
              </w:tc>
              <w:tc>
                <w:tcPr>
                  <w:tcW w:w="773" w:type="dxa"/>
                  <w:tcBorders>
                    <w:top w:val="single" w:color="auto" w:sz="4" w:space="0"/>
                    <w:left w:val="single" w:color="auto" w:sz="4" w:space="0"/>
                    <w:bottom w:val="single" w:color="auto" w:sz="4" w:space="0"/>
                    <w:right w:val="single" w:color="auto" w:sz="4" w:space="0"/>
                  </w:tcBorders>
                  <w:vAlign w:val="center"/>
                </w:tcPr>
                <w:p w14:paraId="2241AC06">
                  <w:pPr>
                    <w:autoSpaceDE w:val="0"/>
                    <w:jc w:val="center"/>
                    <w:rPr>
                      <w:color w:val="000000"/>
                      <w:szCs w:val="21"/>
                      <w:u w:val="single"/>
                    </w:rPr>
                  </w:pPr>
                  <w:r>
                    <w:rPr>
                      <w:rFonts w:hint="eastAsia"/>
                      <w:color w:val="000000"/>
                      <w:u w:val="single"/>
                    </w:rPr>
                    <w:t>2.93</w:t>
                  </w:r>
                </w:p>
              </w:tc>
              <w:tc>
                <w:tcPr>
                  <w:tcW w:w="866" w:type="dxa"/>
                  <w:tcBorders>
                    <w:top w:val="single" w:color="auto" w:sz="4" w:space="0"/>
                    <w:left w:val="single" w:color="auto" w:sz="4" w:space="0"/>
                    <w:bottom w:val="single" w:color="auto" w:sz="4" w:space="0"/>
                    <w:right w:val="single" w:color="auto" w:sz="4" w:space="0"/>
                  </w:tcBorders>
                  <w:vAlign w:val="center"/>
                </w:tcPr>
                <w:p w14:paraId="091DC4B8">
                  <w:pPr>
                    <w:autoSpaceDE w:val="0"/>
                    <w:jc w:val="center"/>
                    <w:rPr>
                      <w:color w:val="000000"/>
                      <w:szCs w:val="21"/>
                      <w:u w:val="single"/>
                    </w:rPr>
                  </w:pPr>
                  <w:r>
                    <w:rPr>
                      <w:rFonts w:hint="eastAsia"/>
                      <w:color w:val="000000"/>
                      <w:u w:val="single"/>
                    </w:rPr>
                    <w:t>3.27</w:t>
                  </w:r>
                </w:p>
              </w:tc>
              <w:tc>
                <w:tcPr>
                  <w:tcW w:w="784" w:type="dxa"/>
                  <w:tcBorders>
                    <w:top w:val="single" w:color="auto" w:sz="4" w:space="0"/>
                    <w:left w:val="single" w:color="auto" w:sz="4" w:space="0"/>
                    <w:bottom w:val="single" w:color="auto" w:sz="4" w:space="0"/>
                    <w:right w:val="single" w:color="auto" w:sz="4" w:space="0"/>
                  </w:tcBorders>
                  <w:vAlign w:val="center"/>
                </w:tcPr>
                <w:p w14:paraId="5E42AA5A">
                  <w:pPr>
                    <w:autoSpaceDE w:val="0"/>
                    <w:jc w:val="center"/>
                    <w:rPr>
                      <w:color w:val="000000"/>
                      <w:szCs w:val="21"/>
                      <w:u w:val="single"/>
                    </w:rPr>
                  </w:pPr>
                  <w:r>
                    <w:rPr>
                      <w:rFonts w:hint="eastAsia"/>
                      <w:color w:val="000000"/>
                      <w:u w:val="single"/>
                    </w:rPr>
                    <w:t>1.5</w:t>
                  </w:r>
                </w:p>
              </w:tc>
              <w:tc>
                <w:tcPr>
                  <w:tcW w:w="732" w:type="dxa"/>
                  <w:tcBorders>
                    <w:top w:val="single" w:color="auto" w:sz="4" w:space="0"/>
                    <w:left w:val="single" w:color="auto" w:sz="4" w:space="0"/>
                    <w:bottom w:val="single" w:color="auto" w:sz="4" w:space="0"/>
                    <w:right w:val="single" w:color="auto" w:sz="4" w:space="0"/>
                  </w:tcBorders>
                  <w:vAlign w:val="center"/>
                </w:tcPr>
                <w:p w14:paraId="0B15C181">
                  <w:pPr>
                    <w:autoSpaceDE w:val="0"/>
                    <w:jc w:val="center"/>
                    <w:rPr>
                      <w:color w:val="000000"/>
                      <w:szCs w:val="21"/>
                      <w:u w:val="single"/>
                    </w:rPr>
                  </w:pPr>
                  <w:r>
                    <w:rPr>
                      <w:rFonts w:hint="eastAsia" w:ascii="宋体" w:hAnsi="宋体"/>
                      <w:color w:val="000000"/>
                      <w:u w:val="single"/>
                    </w:rPr>
                    <w:t>超标</w:t>
                  </w:r>
                </w:p>
              </w:tc>
            </w:tr>
            <w:tr w14:paraId="5624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4AA7E6A5">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5A02A9C9">
                  <w:pPr>
                    <w:autoSpaceDE w:val="0"/>
                    <w:jc w:val="center"/>
                    <w:rPr>
                      <w:color w:val="000000"/>
                      <w:szCs w:val="21"/>
                      <w:u w:val="single"/>
                    </w:rPr>
                  </w:pPr>
                  <w:r>
                    <w:rPr>
                      <w:rFonts w:hint="eastAsia" w:ascii="宋体" w:hAnsi="宋体"/>
                      <w:color w:val="000000"/>
                      <w:u w:val="single"/>
                    </w:rPr>
                    <w:t>挥发酚（</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6CACAB0E">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51EC5C2C">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0182B9B8">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686F0C23">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1AEA651A">
                  <w:pPr>
                    <w:autoSpaceDE w:val="0"/>
                    <w:jc w:val="center"/>
                    <w:rPr>
                      <w:color w:val="000000"/>
                      <w:szCs w:val="21"/>
                      <w:u w:val="single"/>
                    </w:rPr>
                  </w:pPr>
                  <w:r>
                    <w:rPr>
                      <w:rFonts w:hint="eastAsia"/>
                      <w:color w:val="000000"/>
                      <w:u w:val="single"/>
                    </w:rPr>
                    <w:t>0.01</w:t>
                  </w:r>
                </w:p>
              </w:tc>
              <w:tc>
                <w:tcPr>
                  <w:tcW w:w="732" w:type="dxa"/>
                  <w:tcBorders>
                    <w:top w:val="single" w:color="auto" w:sz="4" w:space="0"/>
                    <w:left w:val="single" w:color="auto" w:sz="4" w:space="0"/>
                    <w:bottom w:val="single" w:color="auto" w:sz="4" w:space="0"/>
                    <w:right w:val="single" w:color="auto" w:sz="4" w:space="0"/>
                  </w:tcBorders>
                  <w:vAlign w:val="center"/>
                </w:tcPr>
                <w:p w14:paraId="1D860412">
                  <w:pPr>
                    <w:autoSpaceDE w:val="0"/>
                    <w:jc w:val="center"/>
                    <w:rPr>
                      <w:color w:val="000000"/>
                      <w:szCs w:val="21"/>
                      <w:u w:val="single"/>
                    </w:rPr>
                  </w:pPr>
                  <w:r>
                    <w:rPr>
                      <w:rFonts w:hint="eastAsia" w:ascii="宋体" w:hAnsi="宋体"/>
                      <w:color w:val="000000"/>
                      <w:u w:val="single"/>
                    </w:rPr>
                    <w:t>达标</w:t>
                  </w:r>
                </w:p>
              </w:tc>
            </w:tr>
            <w:tr w14:paraId="5A46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18A57A8D">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79D85B01">
                  <w:pPr>
                    <w:autoSpaceDE w:val="0"/>
                    <w:jc w:val="center"/>
                    <w:rPr>
                      <w:color w:val="000000"/>
                      <w:szCs w:val="21"/>
                      <w:u w:val="single"/>
                    </w:rPr>
                  </w:pPr>
                  <w:r>
                    <w:rPr>
                      <w:rFonts w:hint="eastAsia" w:ascii="宋体" w:hAnsi="宋体"/>
                      <w:color w:val="000000"/>
                      <w:u w:val="single"/>
                    </w:rPr>
                    <w:t>氟化物（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338D7C85">
                  <w:pPr>
                    <w:autoSpaceDE w:val="0"/>
                    <w:jc w:val="center"/>
                    <w:rPr>
                      <w:color w:val="000000"/>
                      <w:szCs w:val="21"/>
                      <w:u w:val="single"/>
                    </w:rPr>
                  </w:pPr>
                  <w:r>
                    <w:rPr>
                      <w:rFonts w:hint="eastAsia"/>
                      <w:color w:val="000000"/>
                      <w:u w:val="single"/>
                    </w:rPr>
                    <w:t>1.02~1.1</w:t>
                  </w:r>
                </w:p>
              </w:tc>
              <w:tc>
                <w:tcPr>
                  <w:tcW w:w="600" w:type="dxa"/>
                  <w:tcBorders>
                    <w:top w:val="single" w:color="auto" w:sz="4" w:space="0"/>
                    <w:left w:val="single" w:color="auto" w:sz="4" w:space="0"/>
                    <w:bottom w:val="single" w:color="auto" w:sz="4" w:space="0"/>
                    <w:right w:val="single" w:color="auto" w:sz="4" w:space="0"/>
                  </w:tcBorders>
                  <w:vAlign w:val="center"/>
                </w:tcPr>
                <w:p w14:paraId="146B56D2">
                  <w:pPr>
                    <w:autoSpaceDE w:val="0"/>
                    <w:jc w:val="center"/>
                    <w:rPr>
                      <w:color w:val="000000"/>
                      <w:szCs w:val="21"/>
                      <w:u w:val="single"/>
                    </w:rPr>
                  </w:pPr>
                  <w:r>
                    <w:rPr>
                      <w:rFonts w:hint="eastAsia"/>
                      <w:color w:val="000000"/>
                      <w:u w:val="single"/>
                    </w:rPr>
                    <w:t>1.06</w:t>
                  </w:r>
                </w:p>
              </w:tc>
              <w:tc>
                <w:tcPr>
                  <w:tcW w:w="773" w:type="dxa"/>
                  <w:tcBorders>
                    <w:top w:val="single" w:color="auto" w:sz="4" w:space="0"/>
                    <w:left w:val="single" w:color="auto" w:sz="4" w:space="0"/>
                    <w:bottom w:val="single" w:color="auto" w:sz="4" w:space="0"/>
                    <w:right w:val="single" w:color="auto" w:sz="4" w:space="0"/>
                  </w:tcBorders>
                  <w:vAlign w:val="center"/>
                </w:tcPr>
                <w:p w14:paraId="37FBBEAE">
                  <w:pPr>
                    <w:autoSpaceDE w:val="0"/>
                    <w:jc w:val="center"/>
                    <w:rPr>
                      <w:color w:val="000000"/>
                      <w:szCs w:val="21"/>
                      <w:u w:val="single"/>
                    </w:rPr>
                  </w:pPr>
                  <w:r>
                    <w:rPr>
                      <w:rFonts w:hint="eastAsia"/>
                      <w:color w:val="000000"/>
                      <w:u w:val="single"/>
                    </w:rPr>
                    <w:t>0.71</w:t>
                  </w:r>
                </w:p>
              </w:tc>
              <w:tc>
                <w:tcPr>
                  <w:tcW w:w="866" w:type="dxa"/>
                  <w:tcBorders>
                    <w:top w:val="single" w:color="auto" w:sz="4" w:space="0"/>
                    <w:left w:val="single" w:color="auto" w:sz="4" w:space="0"/>
                    <w:bottom w:val="single" w:color="auto" w:sz="4" w:space="0"/>
                    <w:right w:val="single" w:color="auto" w:sz="4" w:space="0"/>
                  </w:tcBorders>
                  <w:vAlign w:val="center"/>
                </w:tcPr>
                <w:p w14:paraId="40EB815D">
                  <w:pPr>
                    <w:autoSpaceDE w:val="0"/>
                    <w:jc w:val="center"/>
                    <w:rPr>
                      <w:color w:val="000000"/>
                      <w:szCs w:val="21"/>
                      <w:u w:val="single"/>
                    </w:rPr>
                  </w:pPr>
                  <w:r>
                    <w:rPr>
                      <w:rFonts w:hint="eastAsia"/>
                      <w:color w:val="000000"/>
                      <w:u w:val="single"/>
                    </w:rPr>
                    <w:t>0.73</w:t>
                  </w:r>
                </w:p>
              </w:tc>
              <w:tc>
                <w:tcPr>
                  <w:tcW w:w="784" w:type="dxa"/>
                  <w:tcBorders>
                    <w:top w:val="single" w:color="auto" w:sz="4" w:space="0"/>
                    <w:left w:val="single" w:color="auto" w:sz="4" w:space="0"/>
                    <w:bottom w:val="single" w:color="auto" w:sz="4" w:space="0"/>
                    <w:right w:val="single" w:color="auto" w:sz="4" w:space="0"/>
                  </w:tcBorders>
                  <w:vAlign w:val="center"/>
                </w:tcPr>
                <w:p w14:paraId="4E11E501">
                  <w:pPr>
                    <w:autoSpaceDE w:val="0"/>
                    <w:jc w:val="center"/>
                    <w:rPr>
                      <w:color w:val="000000"/>
                      <w:szCs w:val="21"/>
                      <w:u w:val="single"/>
                    </w:rPr>
                  </w:pPr>
                  <w:r>
                    <w:rPr>
                      <w:rFonts w:hint="eastAsia"/>
                      <w:color w:val="000000"/>
                      <w:u w:val="single"/>
                    </w:rPr>
                    <w:t>1.5</w:t>
                  </w:r>
                </w:p>
              </w:tc>
              <w:tc>
                <w:tcPr>
                  <w:tcW w:w="732" w:type="dxa"/>
                  <w:tcBorders>
                    <w:top w:val="single" w:color="auto" w:sz="4" w:space="0"/>
                    <w:left w:val="single" w:color="auto" w:sz="4" w:space="0"/>
                    <w:bottom w:val="single" w:color="auto" w:sz="4" w:space="0"/>
                    <w:right w:val="single" w:color="auto" w:sz="4" w:space="0"/>
                  </w:tcBorders>
                  <w:vAlign w:val="center"/>
                </w:tcPr>
                <w:p w14:paraId="66DD9FE0">
                  <w:pPr>
                    <w:autoSpaceDE w:val="0"/>
                    <w:jc w:val="center"/>
                    <w:rPr>
                      <w:color w:val="000000"/>
                      <w:szCs w:val="21"/>
                      <w:u w:val="single"/>
                    </w:rPr>
                  </w:pPr>
                  <w:r>
                    <w:rPr>
                      <w:rFonts w:hint="eastAsia" w:ascii="宋体" w:hAnsi="宋体"/>
                      <w:color w:val="000000"/>
                      <w:u w:val="single"/>
                    </w:rPr>
                    <w:t>达标</w:t>
                  </w:r>
                </w:p>
              </w:tc>
            </w:tr>
            <w:tr w14:paraId="127E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4B902983">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23C3ACB6">
                  <w:pPr>
                    <w:autoSpaceDE w:val="0"/>
                    <w:jc w:val="center"/>
                    <w:rPr>
                      <w:color w:val="000000"/>
                      <w:szCs w:val="21"/>
                      <w:u w:val="single"/>
                    </w:rPr>
                  </w:pPr>
                  <w:r>
                    <w:rPr>
                      <w:rFonts w:hint="eastAsia" w:ascii="宋体" w:hAnsi="宋体"/>
                      <w:color w:val="000000"/>
                      <w:u w:val="single"/>
                    </w:rPr>
                    <w:t>氰化物（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22D43861">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6FCB39AA">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33C62501">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6EB9B06C">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0AE17D46">
                  <w:pPr>
                    <w:autoSpaceDE w:val="0"/>
                    <w:jc w:val="center"/>
                    <w:rPr>
                      <w:color w:val="000000"/>
                      <w:szCs w:val="21"/>
                      <w:u w:val="single"/>
                    </w:rPr>
                  </w:pPr>
                  <w:r>
                    <w:rPr>
                      <w:rFonts w:hint="eastAsia"/>
                      <w:color w:val="000000"/>
                      <w:u w:val="single"/>
                    </w:rPr>
                    <w:t>0.2</w:t>
                  </w:r>
                </w:p>
              </w:tc>
              <w:tc>
                <w:tcPr>
                  <w:tcW w:w="732" w:type="dxa"/>
                  <w:tcBorders>
                    <w:top w:val="single" w:color="auto" w:sz="4" w:space="0"/>
                    <w:left w:val="single" w:color="auto" w:sz="4" w:space="0"/>
                    <w:bottom w:val="single" w:color="auto" w:sz="4" w:space="0"/>
                    <w:right w:val="single" w:color="auto" w:sz="4" w:space="0"/>
                  </w:tcBorders>
                  <w:vAlign w:val="center"/>
                </w:tcPr>
                <w:p w14:paraId="13F3F4D3">
                  <w:pPr>
                    <w:autoSpaceDE w:val="0"/>
                    <w:jc w:val="center"/>
                    <w:rPr>
                      <w:color w:val="000000"/>
                      <w:szCs w:val="21"/>
                      <w:u w:val="single"/>
                    </w:rPr>
                  </w:pPr>
                  <w:r>
                    <w:rPr>
                      <w:rFonts w:hint="eastAsia" w:ascii="宋体" w:hAnsi="宋体"/>
                      <w:color w:val="000000"/>
                      <w:u w:val="single"/>
                    </w:rPr>
                    <w:t>达标</w:t>
                  </w:r>
                </w:p>
              </w:tc>
            </w:tr>
            <w:tr w14:paraId="0841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2C3FA6EA">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748D383A">
                  <w:pPr>
                    <w:autoSpaceDE w:val="0"/>
                    <w:jc w:val="center"/>
                    <w:rPr>
                      <w:color w:val="000000"/>
                      <w:szCs w:val="21"/>
                      <w:u w:val="single"/>
                    </w:rPr>
                  </w:pPr>
                  <w:r>
                    <w:rPr>
                      <w:rFonts w:hint="eastAsia" w:ascii="宋体" w:hAnsi="宋体"/>
                      <w:color w:val="000000"/>
                      <w:u w:val="single"/>
                    </w:rPr>
                    <w:t>硫化物（</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207898F7">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5EA04318">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1D2A3639">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22F723F1">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7458BDBC">
                  <w:pPr>
                    <w:autoSpaceDE w:val="0"/>
                    <w:jc w:val="center"/>
                    <w:rPr>
                      <w:color w:val="000000"/>
                      <w:szCs w:val="21"/>
                      <w:u w:val="single"/>
                    </w:rPr>
                  </w:pPr>
                  <w:r>
                    <w:rPr>
                      <w:rFonts w:hint="eastAsia"/>
                      <w:color w:val="000000"/>
                      <w:u w:val="single"/>
                    </w:rPr>
                    <w:t>0.5</w:t>
                  </w:r>
                </w:p>
              </w:tc>
              <w:tc>
                <w:tcPr>
                  <w:tcW w:w="732" w:type="dxa"/>
                  <w:tcBorders>
                    <w:top w:val="single" w:color="auto" w:sz="4" w:space="0"/>
                    <w:left w:val="single" w:color="auto" w:sz="4" w:space="0"/>
                    <w:bottom w:val="single" w:color="auto" w:sz="4" w:space="0"/>
                    <w:right w:val="single" w:color="auto" w:sz="4" w:space="0"/>
                  </w:tcBorders>
                  <w:vAlign w:val="center"/>
                </w:tcPr>
                <w:p w14:paraId="3FF6E75A">
                  <w:pPr>
                    <w:autoSpaceDE w:val="0"/>
                    <w:jc w:val="center"/>
                    <w:rPr>
                      <w:color w:val="000000"/>
                      <w:szCs w:val="21"/>
                      <w:u w:val="single"/>
                    </w:rPr>
                  </w:pPr>
                  <w:r>
                    <w:rPr>
                      <w:rFonts w:hint="eastAsia" w:ascii="宋体" w:hAnsi="宋体"/>
                      <w:color w:val="000000"/>
                      <w:u w:val="single"/>
                    </w:rPr>
                    <w:t>达标</w:t>
                  </w:r>
                </w:p>
              </w:tc>
            </w:tr>
            <w:tr w14:paraId="5A73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4F28EEF8">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12C4391B">
                  <w:pPr>
                    <w:autoSpaceDE w:val="0"/>
                    <w:jc w:val="center"/>
                    <w:rPr>
                      <w:color w:val="000000"/>
                      <w:szCs w:val="21"/>
                      <w:u w:val="single"/>
                    </w:rPr>
                  </w:pPr>
                  <w:r>
                    <w:rPr>
                      <w:rFonts w:hint="eastAsia" w:ascii="宋体" w:hAnsi="宋体"/>
                      <w:color w:val="000000"/>
                      <w:u w:val="single"/>
                    </w:rPr>
                    <w:t>六价铬（</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47DC9B8F">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18284DAA">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0B0AB4A3">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4979C7AF">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22CD8FEE">
                  <w:pPr>
                    <w:autoSpaceDE w:val="0"/>
                    <w:jc w:val="center"/>
                    <w:rPr>
                      <w:color w:val="000000"/>
                      <w:szCs w:val="21"/>
                      <w:u w:val="single"/>
                    </w:rPr>
                  </w:pPr>
                  <w:r>
                    <w:rPr>
                      <w:rFonts w:hint="eastAsia"/>
                      <w:color w:val="000000"/>
                      <w:u w:val="single"/>
                    </w:rPr>
                    <w:t>0.05</w:t>
                  </w:r>
                </w:p>
              </w:tc>
              <w:tc>
                <w:tcPr>
                  <w:tcW w:w="732" w:type="dxa"/>
                  <w:tcBorders>
                    <w:top w:val="single" w:color="auto" w:sz="4" w:space="0"/>
                    <w:left w:val="single" w:color="auto" w:sz="4" w:space="0"/>
                    <w:bottom w:val="single" w:color="auto" w:sz="4" w:space="0"/>
                    <w:right w:val="single" w:color="auto" w:sz="4" w:space="0"/>
                  </w:tcBorders>
                  <w:vAlign w:val="center"/>
                </w:tcPr>
                <w:p w14:paraId="6B371863">
                  <w:pPr>
                    <w:autoSpaceDE w:val="0"/>
                    <w:jc w:val="center"/>
                    <w:rPr>
                      <w:color w:val="000000"/>
                      <w:szCs w:val="21"/>
                      <w:u w:val="single"/>
                    </w:rPr>
                  </w:pPr>
                  <w:r>
                    <w:rPr>
                      <w:rFonts w:hint="eastAsia" w:ascii="宋体" w:hAnsi="宋体"/>
                      <w:color w:val="000000"/>
                      <w:u w:val="single"/>
                    </w:rPr>
                    <w:t>达标</w:t>
                  </w:r>
                </w:p>
              </w:tc>
            </w:tr>
            <w:tr w14:paraId="04F8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2838A534">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424AB94C">
                  <w:pPr>
                    <w:autoSpaceDE w:val="0"/>
                    <w:jc w:val="center"/>
                    <w:rPr>
                      <w:color w:val="000000"/>
                      <w:szCs w:val="21"/>
                      <w:u w:val="single"/>
                    </w:rPr>
                  </w:pPr>
                  <w:r>
                    <w:rPr>
                      <w:rFonts w:hint="eastAsia" w:ascii="宋体" w:hAnsi="宋体"/>
                      <w:color w:val="000000"/>
                      <w:u w:val="single"/>
                    </w:rPr>
                    <w:t>阴离子表面活性剂（</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0A1836BE">
                  <w:pPr>
                    <w:autoSpaceDE w:val="0"/>
                    <w:jc w:val="center"/>
                    <w:rPr>
                      <w:color w:val="000000"/>
                      <w:szCs w:val="21"/>
                      <w:u w:val="single"/>
                    </w:rPr>
                  </w:pPr>
                  <w:r>
                    <w:rPr>
                      <w:rFonts w:hint="eastAsia"/>
                      <w:color w:val="000000"/>
                      <w:u w:val="single"/>
                    </w:rPr>
                    <w:t>ND</w:t>
                  </w:r>
                </w:p>
              </w:tc>
              <w:tc>
                <w:tcPr>
                  <w:tcW w:w="600" w:type="dxa"/>
                  <w:tcBorders>
                    <w:top w:val="single" w:color="auto" w:sz="4" w:space="0"/>
                    <w:left w:val="single" w:color="auto" w:sz="4" w:space="0"/>
                    <w:bottom w:val="single" w:color="auto" w:sz="4" w:space="0"/>
                    <w:right w:val="single" w:color="auto" w:sz="4" w:space="0"/>
                  </w:tcBorders>
                  <w:vAlign w:val="center"/>
                </w:tcPr>
                <w:p w14:paraId="6BADC1A3">
                  <w:pPr>
                    <w:autoSpaceDE w:val="0"/>
                    <w:jc w:val="center"/>
                    <w:rPr>
                      <w:color w:val="000000"/>
                      <w:szCs w:val="21"/>
                      <w:u w:val="single"/>
                    </w:rPr>
                  </w:pPr>
                  <w:r>
                    <w:rPr>
                      <w:rFonts w:hint="eastAsia"/>
                      <w:color w:val="000000"/>
                      <w:u w:val="single"/>
                    </w:rPr>
                    <w:t>/</w:t>
                  </w:r>
                </w:p>
              </w:tc>
              <w:tc>
                <w:tcPr>
                  <w:tcW w:w="773" w:type="dxa"/>
                  <w:tcBorders>
                    <w:top w:val="single" w:color="auto" w:sz="4" w:space="0"/>
                    <w:left w:val="single" w:color="auto" w:sz="4" w:space="0"/>
                    <w:bottom w:val="single" w:color="auto" w:sz="4" w:space="0"/>
                    <w:right w:val="single" w:color="auto" w:sz="4" w:space="0"/>
                  </w:tcBorders>
                  <w:vAlign w:val="center"/>
                </w:tcPr>
                <w:p w14:paraId="13D4A021">
                  <w:pPr>
                    <w:autoSpaceDE w:val="0"/>
                    <w:jc w:val="center"/>
                    <w:rPr>
                      <w:color w:val="000000"/>
                      <w:szCs w:val="21"/>
                      <w:u w:val="single"/>
                    </w:rPr>
                  </w:pPr>
                  <w:r>
                    <w:rPr>
                      <w:rFonts w:hint="eastAsia"/>
                      <w:color w:val="000000"/>
                      <w:u w:val="single"/>
                    </w:rPr>
                    <w:t>/</w:t>
                  </w:r>
                </w:p>
              </w:tc>
              <w:tc>
                <w:tcPr>
                  <w:tcW w:w="866" w:type="dxa"/>
                  <w:tcBorders>
                    <w:top w:val="single" w:color="auto" w:sz="4" w:space="0"/>
                    <w:left w:val="single" w:color="auto" w:sz="4" w:space="0"/>
                    <w:bottom w:val="single" w:color="auto" w:sz="4" w:space="0"/>
                    <w:right w:val="single" w:color="auto" w:sz="4" w:space="0"/>
                  </w:tcBorders>
                  <w:vAlign w:val="center"/>
                </w:tcPr>
                <w:p w14:paraId="3B9E2780">
                  <w:pPr>
                    <w:autoSpaceDE w:val="0"/>
                    <w:jc w:val="center"/>
                    <w:rPr>
                      <w:color w:val="000000"/>
                      <w:szCs w:val="21"/>
                      <w:u w:val="single"/>
                    </w:rPr>
                  </w:pPr>
                  <w:r>
                    <w:rPr>
                      <w:rFonts w:hint="eastAsia"/>
                      <w:color w:val="000000"/>
                      <w:u w:val="single"/>
                    </w:rPr>
                    <w:t>/</w:t>
                  </w:r>
                </w:p>
              </w:tc>
              <w:tc>
                <w:tcPr>
                  <w:tcW w:w="784" w:type="dxa"/>
                  <w:tcBorders>
                    <w:top w:val="single" w:color="auto" w:sz="4" w:space="0"/>
                    <w:left w:val="single" w:color="auto" w:sz="4" w:space="0"/>
                    <w:bottom w:val="single" w:color="auto" w:sz="4" w:space="0"/>
                    <w:right w:val="single" w:color="auto" w:sz="4" w:space="0"/>
                  </w:tcBorders>
                  <w:vAlign w:val="center"/>
                </w:tcPr>
                <w:p w14:paraId="40630832">
                  <w:pPr>
                    <w:autoSpaceDE w:val="0"/>
                    <w:jc w:val="center"/>
                    <w:rPr>
                      <w:color w:val="000000"/>
                      <w:szCs w:val="21"/>
                      <w:u w:val="single"/>
                    </w:rPr>
                  </w:pPr>
                  <w:r>
                    <w:rPr>
                      <w:rFonts w:hint="eastAsia"/>
                      <w:color w:val="000000"/>
                      <w:u w:val="single"/>
                    </w:rPr>
                    <w:t>0.3</w:t>
                  </w:r>
                </w:p>
              </w:tc>
              <w:tc>
                <w:tcPr>
                  <w:tcW w:w="732" w:type="dxa"/>
                  <w:tcBorders>
                    <w:top w:val="single" w:color="auto" w:sz="4" w:space="0"/>
                    <w:left w:val="single" w:color="auto" w:sz="4" w:space="0"/>
                    <w:bottom w:val="single" w:color="auto" w:sz="4" w:space="0"/>
                    <w:right w:val="single" w:color="auto" w:sz="4" w:space="0"/>
                  </w:tcBorders>
                  <w:vAlign w:val="center"/>
                </w:tcPr>
                <w:p w14:paraId="2135667B">
                  <w:pPr>
                    <w:autoSpaceDE w:val="0"/>
                    <w:jc w:val="center"/>
                    <w:rPr>
                      <w:color w:val="000000"/>
                      <w:szCs w:val="21"/>
                      <w:u w:val="single"/>
                    </w:rPr>
                  </w:pPr>
                  <w:r>
                    <w:rPr>
                      <w:rFonts w:hint="eastAsia" w:ascii="宋体" w:hAnsi="宋体"/>
                      <w:color w:val="000000"/>
                      <w:u w:val="single"/>
                    </w:rPr>
                    <w:t>达标</w:t>
                  </w:r>
                </w:p>
              </w:tc>
            </w:tr>
            <w:tr w14:paraId="75AA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Borders>
                    <w:top w:val="nil"/>
                    <w:left w:val="single" w:color="auto" w:sz="4" w:space="0"/>
                    <w:bottom w:val="single" w:color="auto" w:sz="4" w:space="0"/>
                    <w:right w:val="single" w:color="auto" w:sz="4" w:space="0"/>
                  </w:tcBorders>
                  <w:vAlign w:val="center"/>
                </w:tcPr>
                <w:p w14:paraId="6B83677B">
                  <w:pPr>
                    <w:widowControl/>
                    <w:jc w:val="left"/>
                    <w:rPr>
                      <w:color w:val="000000"/>
                      <w:szCs w:val="21"/>
                      <w:u w:val="single"/>
                    </w:rPr>
                  </w:pPr>
                </w:p>
              </w:tc>
              <w:tc>
                <w:tcPr>
                  <w:tcW w:w="2516" w:type="dxa"/>
                  <w:tcBorders>
                    <w:top w:val="single" w:color="auto" w:sz="4" w:space="0"/>
                    <w:left w:val="single" w:color="auto" w:sz="4" w:space="0"/>
                    <w:bottom w:val="single" w:color="auto" w:sz="4" w:space="0"/>
                    <w:right w:val="single" w:color="auto" w:sz="4" w:space="0"/>
                  </w:tcBorders>
                  <w:vAlign w:val="center"/>
                </w:tcPr>
                <w:p w14:paraId="571905F3">
                  <w:pPr>
                    <w:autoSpaceDE w:val="0"/>
                    <w:jc w:val="center"/>
                    <w:rPr>
                      <w:color w:val="000000"/>
                      <w:szCs w:val="21"/>
                      <w:u w:val="single"/>
                    </w:rPr>
                  </w:pPr>
                  <w:r>
                    <w:rPr>
                      <w:rFonts w:hint="eastAsia" w:ascii="宋体" w:hAnsi="宋体"/>
                      <w:color w:val="000000"/>
                      <w:u w:val="single"/>
                    </w:rPr>
                    <w:t>石油类（</w:t>
                  </w:r>
                  <w:r>
                    <w:rPr>
                      <w:rFonts w:hint="eastAsia"/>
                      <w:color w:val="000000"/>
                      <w:u w:val="single"/>
                    </w:rPr>
                    <w:t>mg/L</w:t>
                  </w:r>
                  <w:r>
                    <w:rPr>
                      <w:rFonts w:hint="eastAsia" w:ascii="宋体" w:hAnsi="宋体"/>
                      <w:color w:val="000000"/>
                      <w:u w:val="single"/>
                    </w:rPr>
                    <w:t>）</w:t>
                  </w:r>
                </w:p>
              </w:tc>
              <w:tc>
                <w:tcPr>
                  <w:tcW w:w="1142" w:type="dxa"/>
                  <w:tcBorders>
                    <w:top w:val="single" w:color="auto" w:sz="4" w:space="0"/>
                    <w:left w:val="single" w:color="auto" w:sz="4" w:space="0"/>
                    <w:bottom w:val="single" w:color="auto" w:sz="4" w:space="0"/>
                    <w:right w:val="single" w:color="auto" w:sz="4" w:space="0"/>
                  </w:tcBorders>
                  <w:vAlign w:val="center"/>
                </w:tcPr>
                <w:p w14:paraId="2C408047">
                  <w:pPr>
                    <w:autoSpaceDE w:val="0"/>
                    <w:jc w:val="center"/>
                    <w:rPr>
                      <w:color w:val="000000"/>
                      <w:szCs w:val="21"/>
                      <w:u w:val="single"/>
                    </w:rPr>
                  </w:pPr>
                  <w:r>
                    <w:rPr>
                      <w:rFonts w:hint="eastAsia"/>
                      <w:color w:val="000000"/>
                      <w:u w:val="single"/>
                    </w:rPr>
                    <w:t>0.06~0.07</w:t>
                  </w:r>
                </w:p>
              </w:tc>
              <w:tc>
                <w:tcPr>
                  <w:tcW w:w="600" w:type="dxa"/>
                  <w:tcBorders>
                    <w:top w:val="single" w:color="auto" w:sz="4" w:space="0"/>
                    <w:left w:val="single" w:color="auto" w:sz="4" w:space="0"/>
                    <w:bottom w:val="single" w:color="auto" w:sz="4" w:space="0"/>
                    <w:right w:val="single" w:color="auto" w:sz="4" w:space="0"/>
                  </w:tcBorders>
                  <w:vAlign w:val="center"/>
                </w:tcPr>
                <w:p w14:paraId="19A108BA">
                  <w:pPr>
                    <w:autoSpaceDE w:val="0"/>
                    <w:jc w:val="center"/>
                    <w:rPr>
                      <w:color w:val="000000"/>
                      <w:szCs w:val="21"/>
                      <w:u w:val="single"/>
                    </w:rPr>
                  </w:pPr>
                  <w:r>
                    <w:rPr>
                      <w:rFonts w:hint="eastAsia"/>
                      <w:color w:val="000000"/>
                      <w:u w:val="single"/>
                    </w:rPr>
                    <w:t>0.07</w:t>
                  </w:r>
                </w:p>
              </w:tc>
              <w:tc>
                <w:tcPr>
                  <w:tcW w:w="773" w:type="dxa"/>
                  <w:tcBorders>
                    <w:top w:val="single" w:color="auto" w:sz="4" w:space="0"/>
                    <w:left w:val="single" w:color="auto" w:sz="4" w:space="0"/>
                    <w:bottom w:val="single" w:color="auto" w:sz="4" w:space="0"/>
                    <w:right w:val="single" w:color="auto" w:sz="4" w:space="0"/>
                  </w:tcBorders>
                  <w:vAlign w:val="center"/>
                </w:tcPr>
                <w:p w14:paraId="5B96F2AA">
                  <w:pPr>
                    <w:autoSpaceDE w:val="0"/>
                    <w:jc w:val="center"/>
                    <w:rPr>
                      <w:color w:val="000000"/>
                      <w:szCs w:val="21"/>
                      <w:u w:val="single"/>
                    </w:rPr>
                  </w:pPr>
                  <w:r>
                    <w:rPr>
                      <w:rFonts w:hint="eastAsia"/>
                      <w:color w:val="000000"/>
                      <w:u w:val="single"/>
                    </w:rPr>
                    <w:t>0.14</w:t>
                  </w:r>
                </w:p>
              </w:tc>
              <w:tc>
                <w:tcPr>
                  <w:tcW w:w="866" w:type="dxa"/>
                  <w:tcBorders>
                    <w:top w:val="single" w:color="auto" w:sz="4" w:space="0"/>
                    <w:left w:val="single" w:color="auto" w:sz="4" w:space="0"/>
                    <w:bottom w:val="single" w:color="auto" w:sz="4" w:space="0"/>
                    <w:right w:val="single" w:color="auto" w:sz="4" w:space="0"/>
                  </w:tcBorders>
                  <w:vAlign w:val="center"/>
                </w:tcPr>
                <w:p w14:paraId="6CC0D0CF">
                  <w:pPr>
                    <w:autoSpaceDE w:val="0"/>
                    <w:jc w:val="center"/>
                    <w:rPr>
                      <w:color w:val="000000"/>
                      <w:szCs w:val="21"/>
                      <w:u w:val="single"/>
                    </w:rPr>
                  </w:pPr>
                  <w:r>
                    <w:rPr>
                      <w:rFonts w:hint="eastAsia"/>
                      <w:color w:val="000000"/>
                      <w:u w:val="single"/>
                    </w:rPr>
                    <w:t>0.14</w:t>
                  </w:r>
                </w:p>
              </w:tc>
              <w:tc>
                <w:tcPr>
                  <w:tcW w:w="784" w:type="dxa"/>
                  <w:tcBorders>
                    <w:top w:val="single" w:color="auto" w:sz="4" w:space="0"/>
                    <w:left w:val="single" w:color="auto" w:sz="4" w:space="0"/>
                    <w:bottom w:val="single" w:color="auto" w:sz="4" w:space="0"/>
                    <w:right w:val="single" w:color="auto" w:sz="4" w:space="0"/>
                  </w:tcBorders>
                  <w:vAlign w:val="center"/>
                </w:tcPr>
                <w:p w14:paraId="12B5E77C">
                  <w:pPr>
                    <w:autoSpaceDE w:val="0"/>
                    <w:jc w:val="center"/>
                    <w:rPr>
                      <w:color w:val="000000"/>
                      <w:szCs w:val="21"/>
                      <w:u w:val="single"/>
                    </w:rPr>
                  </w:pPr>
                  <w:r>
                    <w:rPr>
                      <w:rFonts w:hint="eastAsia"/>
                      <w:color w:val="000000"/>
                      <w:u w:val="single"/>
                    </w:rPr>
                    <w:t>0.5</w:t>
                  </w:r>
                </w:p>
              </w:tc>
              <w:tc>
                <w:tcPr>
                  <w:tcW w:w="732" w:type="dxa"/>
                  <w:tcBorders>
                    <w:top w:val="single" w:color="auto" w:sz="4" w:space="0"/>
                    <w:left w:val="single" w:color="auto" w:sz="4" w:space="0"/>
                    <w:bottom w:val="single" w:color="auto" w:sz="4" w:space="0"/>
                    <w:right w:val="single" w:color="auto" w:sz="4" w:space="0"/>
                  </w:tcBorders>
                  <w:vAlign w:val="center"/>
                </w:tcPr>
                <w:p w14:paraId="4D877602">
                  <w:pPr>
                    <w:autoSpaceDE w:val="0"/>
                    <w:jc w:val="center"/>
                    <w:rPr>
                      <w:color w:val="000000"/>
                      <w:szCs w:val="21"/>
                      <w:u w:val="single"/>
                    </w:rPr>
                  </w:pPr>
                  <w:r>
                    <w:rPr>
                      <w:rFonts w:hint="eastAsia" w:ascii="宋体" w:hAnsi="宋体"/>
                      <w:color w:val="000000"/>
                      <w:u w:val="single"/>
                    </w:rPr>
                    <w:t>达标</w:t>
                  </w:r>
                </w:p>
              </w:tc>
            </w:tr>
          </w:tbl>
          <w:p w14:paraId="484A14D7">
            <w:pPr>
              <w:spacing w:line="360" w:lineRule="auto"/>
              <w:ind w:firstLine="480" w:firstLineChars="200"/>
              <w:rPr>
                <w:color w:val="000000"/>
                <w:sz w:val="24"/>
                <w:u w:val="single"/>
              </w:rPr>
            </w:pPr>
            <w:r>
              <w:rPr>
                <w:rFonts w:hint="eastAsia" w:ascii="宋体" w:hAnsi="宋体"/>
                <w:color w:val="000000"/>
                <w:sz w:val="24"/>
                <w:u w:val="single"/>
              </w:rPr>
              <w:t>由上表可以看出</w:t>
            </w:r>
            <w:r>
              <w:rPr>
                <w:rFonts w:hint="eastAsia"/>
                <w:color w:val="000000"/>
                <w:sz w:val="24"/>
                <w:u w:val="single"/>
              </w:rPr>
              <w:t>W1</w:t>
            </w:r>
            <w:r>
              <w:rPr>
                <w:rFonts w:hint="eastAsia" w:ascii="宋体" w:hAnsi="宋体"/>
                <w:color w:val="000000"/>
                <w:sz w:val="24"/>
                <w:u w:val="single"/>
              </w:rPr>
              <w:t>潴泷河排污口上游</w:t>
            </w:r>
            <w:r>
              <w:rPr>
                <w:rFonts w:hint="eastAsia"/>
                <w:color w:val="000000"/>
                <w:sz w:val="24"/>
                <w:u w:val="single"/>
              </w:rPr>
              <w:t>500m</w:t>
            </w:r>
            <w:r>
              <w:rPr>
                <w:rFonts w:hint="eastAsia" w:ascii="宋体" w:hAnsi="宋体"/>
                <w:color w:val="000000"/>
                <w:sz w:val="24"/>
                <w:u w:val="single"/>
              </w:rPr>
              <w:t>断面五日生化需氧量、悬浮物、总磷、总氮超出《地表水环境质量标准》（</w:t>
            </w:r>
            <w:r>
              <w:rPr>
                <w:rFonts w:hint="eastAsia"/>
                <w:color w:val="000000"/>
                <w:sz w:val="24"/>
                <w:u w:val="single"/>
              </w:rPr>
              <w:t>GB3838-2002</w:t>
            </w:r>
            <w:r>
              <w:rPr>
                <w:rFonts w:hint="eastAsia" w:ascii="宋体" w:hAnsi="宋体"/>
                <w:color w:val="000000"/>
                <w:sz w:val="24"/>
                <w:u w:val="single"/>
              </w:rPr>
              <w:t>）Ⅳ类标准的要求，最大超标倍数分别为</w:t>
            </w:r>
            <w:r>
              <w:rPr>
                <w:rFonts w:hint="eastAsia"/>
                <w:color w:val="000000"/>
                <w:sz w:val="24"/>
                <w:u w:val="single"/>
              </w:rPr>
              <w:t>0.57</w:t>
            </w:r>
            <w:r>
              <w:rPr>
                <w:rFonts w:hint="eastAsia" w:ascii="宋体" w:hAnsi="宋体"/>
                <w:color w:val="000000"/>
                <w:sz w:val="24"/>
                <w:u w:val="single"/>
              </w:rPr>
              <w:t>、</w:t>
            </w:r>
            <w:r>
              <w:rPr>
                <w:rFonts w:hint="eastAsia"/>
                <w:color w:val="000000"/>
                <w:sz w:val="24"/>
                <w:u w:val="single"/>
              </w:rPr>
              <w:t>0.68</w:t>
            </w:r>
            <w:r>
              <w:rPr>
                <w:rFonts w:hint="eastAsia" w:ascii="宋体" w:hAnsi="宋体"/>
                <w:color w:val="000000"/>
                <w:sz w:val="24"/>
                <w:u w:val="single"/>
              </w:rPr>
              <w:t>、</w:t>
            </w:r>
            <w:r>
              <w:rPr>
                <w:rFonts w:hint="eastAsia"/>
                <w:color w:val="000000"/>
                <w:sz w:val="24"/>
                <w:u w:val="single"/>
              </w:rPr>
              <w:t>0.2</w:t>
            </w:r>
            <w:r>
              <w:rPr>
                <w:rFonts w:hint="eastAsia" w:ascii="宋体" w:hAnsi="宋体"/>
                <w:color w:val="000000"/>
                <w:sz w:val="24"/>
                <w:u w:val="single"/>
              </w:rPr>
              <w:t>、</w:t>
            </w:r>
            <w:r>
              <w:rPr>
                <w:rFonts w:hint="eastAsia"/>
                <w:color w:val="000000"/>
                <w:sz w:val="24"/>
                <w:u w:val="single"/>
              </w:rPr>
              <w:t>2.22</w:t>
            </w:r>
            <w:r>
              <w:rPr>
                <w:rFonts w:hint="eastAsia" w:ascii="宋体" w:hAnsi="宋体"/>
                <w:color w:val="000000"/>
                <w:sz w:val="24"/>
                <w:u w:val="single"/>
              </w:rPr>
              <w:t>；</w:t>
            </w:r>
            <w:r>
              <w:rPr>
                <w:rFonts w:hint="eastAsia"/>
                <w:color w:val="000000"/>
                <w:sz w:val="24"/>
                <w:u w:val="single"/>
              </w:rPr>
              <w:t>W2</w:t>
            </w:r>
            <w:r>
              <w:rPr>
                <w:rFonts w:hint="eastAsia" w:ascii="宋体" w:hAnsi="宋体"/>
                <w:color w:val="000000"/>
                <w:sz w:val="24"/>
                <w:u w:val="single"/>
              </w:rPr>
              <w:t>潴泷河排污口断面悬浮物、总氮超出《地表水环境质量标准》（</w:t>
            </w:r>
            <w:r>
              <w:rPr>
                <w:rFonts w:hint="eastAsia"/>
                <w:color w:val="000000"/>
                <w:sz w:val="24"/>
                <w:u w:val="single"/>
              </w:rPr>
              <w:t>GB3838-2002</w:t>
            </w:r>
            <w:r>
              <w:rPr>
                <w:rFonts w:hint="eastAsia" w:ascii="宋体" w:hAnsi="宋体"/>
                <w:color w:val="000000"/>
                <w:sz w:val="24"/>
                <w:u w:val="single"/>
              </w:rPr>
              <w:t>）Ⅳ类标准的要求，最大超标倍数分别为</w:t>
            </w:r>
            <w:r>
              <w:rPr>
                <w:rFonts w:hint="eastAsia"/>
                <w:color w:val="000000"/>
                <w:sz w:val="24"/>
                <w:u w:val="single"/>
              </w:rPr>
              <w:t>1.78</w:t>
            </w:r>
            <w:r>
              <w:rPr>
                <w:rFonts w:hint="eastAsia" w:ascii="宋体" w:hAnsi="宋体"/>
                <w:color w:val="000000"/>
                <w:sz w:val="24"/>
                <w:u w:val="single"/>
              </w:rPr>
              <w:t>、</w:t>
            </w:r>
            <w:r>
              <w:rPr>
                <w:rFonts w:hint="eastAsia"/>
                <w:color w:val="000000"/>
                <w:sz w:val="24"/>
                <w:u w:val="single"/>
              </w:rPr>
              <w:t>2.16</w:t>
            </w:r>
            <w:r>
              <w:rPr>
                <w:rFonts w:hint="eastAsia" w:ascii="宋体" w:hAnsi="宋体"/>
                <w:color w:val="000000"/>
                <w:sz w:val="24"/>
                <w:u w:val="single"/>
              </w:rPr>
              <w:t>；</w:t>
            </w:r>
            <w:r>
              <w:rPr>
                <w:rFonts w:hint="eastAsia"/>
                <w:color w:val="000000"/>
                <w:sz w:val="24"/>
                <w:u w:val="single"/>
              </w:rPr>
              <w:t>W3</w:t>
            </w:r>
            <w:r>
              <w:rPr>
                <w:rFonts w:hint="eastAsia" w:ascii="宋体" w:hAnsi="宋体"/>
                <w:color w:val="000000"/>
                <w:sz w:val="24"/>
                <w:u w:val="single"/>
              </w:rPr>
              <w:t>潴泷河排污口下游</w:t>
            </w:r>
            <w:r>
              <w:rPr>
                <w:rFonts w:hint="eastAsia"/>
                <w:color w:val="000000"/>
                <w:sz w:val="24"/>
                <w:u w:val="single"/>
              </w:rPr>
              <w:t>1500m</w:t>
            </w:r>
            <w:r>
              <w:rPr>
                <w:rFonts w:hint="eastAsia" w:ascii="宋体" w:hAnsi="宋体"/>
                <w:color w:val="000000"/>
                <w:sz w:val="24"/>
                <w:u w:val="single"/>
              </w:rPr>
              <w:t>断面悬浮物、总氮超出《地表水环境质量标准》（</w:t>
            </w:r>
            <w:r>
              <w:rPr>
                <w:rFonts w:hint="eastAsia"/>
                <w:color w:val="000000"/>
                <w:sz w:val="24"/>
                <w:u w:val="single"/>
              </w:rPr>
              <w:t>GB3838-2002</w:t>
            </w:r>
            <w:r>
              <w:rPr>
                <w:rFonts w:hint="eastAsia" w:ascii="宋体" w:hAnsi="宋体"/>
                <w:color w:val="000000"/>
                <w:sz w:val="24"/>
                <w:u w:val="single"/>
              </w:rPr>
              <w:t>）Ⅳ类标准的要求，最大超标倍数分别为</w:t>
            </w:r>
            <w:r>
              <w:rPr>
                <w:rFonts w:hint="eastAsia"/>
                <w:color w:val="000000"/>
                <w:sz w:val="24"/>
                <w:u w:val="single"/>
              </w:rPr>
              <w:t>0.52</w:t>
            </w:r>
            <w:r>
              <w:rPr>
                <w:rFonts w:hint="eastAsia" w:ascii="宋体" w:hAnsi="宋体"/>
                <w:color w:val="000000"/>
                <w:sz w:val="24"/>
                <w:u w:val="single"/>
              </w:rPr>
              <w:t>、</w:t>
            </w:r>
            <w:r>
              <w:rPr>
                <w:rFonts w:hint="eastAsia"/>
                <w:color w:val="000000"/>
                <w:sz w:val="24"/>
                <w:u w:val="single"/>
              </w:rPr>
              <w:t>2.27</w:t>
            </w:r>
            <w:r>
              <w:rPr>
                <w:rFonts w:hint="eastAsia" w:ascii="宋体" w:hAnsi="宋体"/>
                <w:color w:val="000000"/>
                <w:sz w:val="24"/>
                <w:u w:val="single"/>
              </w:rPr>
              <w:t>。</w:t>
            </w:r>
          </w:p>
          <w:p w14:paraId="2FE8A04B">
            <w:pPr>
              <w:spacing w:line="360" w:lineRule="auto"/>
              <w:ind w:firstLine="480" w:firstLineChars="200"/>
              <w:rPr>
                <w:sz w:val="24"/>
              </w:rPr>
            </w:pPr>
            <w:r>
              <w:rPr>
                <w:rFonts w:ascii="宋体" w:hAnsi="宋体"/>
                <w:color w:val="000000"/>
                <w:sz w:val="24"/>
              </w:rPr>
              <w:t>超标原因是沿岸农业面源污染严重，上游及支流来水水质不稳定，内源污染呈加重趋势，局部河段泥位较深，天然径流匮乏，污净比较高，因此水质情况较差</w:t>
            </w:r>
            <w:r>
              <w:rPr>
                <w:rFonts w:hint="eastAsia" w:ascii="宋体" w:hAnsi="宋体"/>
                <w:sz w:val="24"/>
              </w:rPr>
              <w:t>。</w:t>
            </w:r>
          </w:p>
          <w:p w14:paraId="136077D1">
            <w:pPr>
              <w:adjustRightInd w:val="0"/>
              <w:snapToGrid w:val="0"/>
              <w:spacing w:line="360" w:lineRule="auto"/>
              <w:ind w:firstLine="480" w:firstLineChars="200"/>
              <w:rPr>
                <w:sz w:val="24"/>
              </w:rPr>
            </w:pPr>
            <w:r>
              <w:rPr>
                <w:rFonts w:hint="eastAsia" w:ascii="宋体" w:hAnsi="宋体"/>
                <w:sz w:val="24"/>
              </w:rPr>
              <w:t>根据《濮阳市</w:t>
            </w:r>
            <w:r>
              <w:rPr>
                <w:rFonts w:hint="eastAsia"/>
                <w:sz w:val="24"/>
              </w:rPr>
              <w:t>2025</w:t>
            </w:r>
            <w:r>
              <w:rPr>
                <w:rFonts w:hint="eastAsia" w:ascii="宋体" w:hAnsi="宋体"/>
                <w:sz w:val="24"/>
              </w:rPr>
              <w:t>年碧水保卫战实施方案》（濮环委【</w:t>
            </w:r>
            <w:r>
              <w:rPr>
                <w:rFonts w:hint="eastAsia"/>
                <w:sz w:val="24"/>
              </w:rPr>
              <w:t>2025</w:t>
            </w:r>
            <w:r>
              <w:rPr>
                <w:rFonts w:hint="eastAsia" w:ascii="宋体" w:hAnsi="宋体"/>
                <w:sz w:val="24"/>
              </w:rPr>
              <w:t>】</w:t>
            </w:r>
            <w:r>
              <w:rPr>
                <w:rFonts w:hint="eastAsia"/>
                <w:sz w:val="24"/>
              </w:rPr>
              <w:t>1</w:t>
            </w:r>
            <w:r>
              <w:rPr>
                <w:rFonts w:hint="eastAsia" w:ascii="宋体" w:hAnsi="宋体"/>
                <w:sz w:val="24"/>
              </w:rPr>
              <w:t>号）文件要求，</w:t>
            </w:r>
            <w:r>
              <w:rPr>
                <w:color w:val="000000"/>
                <w:sz w:val="24"/>
              </w:rPr>
              <w:t>“</w:t>
            </w:r>
            <w:r>
              <w:rPr>
                <w:rFonts w:hint="eastAsia" w:ascii="宋体" w:hAnsi="宋体"/>
                <w:color w:val="000000"/>
                <w:sz w:val="24"/>
              </w:rPr>
              <w:t>推动构建上下游贯通一体的生态环境治理体系；持续强化重点领域治理能力综合提升；不断提升环境监督管理能力水平</w:t>
            </w:r>
            <w:r>
              <w:rPr>
                <w:rFonts w:ascii="宋体" w:hAnsi="宋体"/>
                <w:color w:val="000000"/>
                <w:sz w:val="24"/>
              </w:rPr>
              <w:t>。</w:t>
            </w:r>
            <w:r>
              <w:rPr>
                <w:color w:val="000000"/>
                <w:sz w:val="24"/>
              </w:rPr>
              <w:t>”</w:t>
            </w:r>
            <w:r>
              <w:rPr>
                <w:rFonts w:hint="eastAsia" w:ascii="宋体" w:hAnsi="宋体"/>
                <w:sz w:val="24"/>
              </w:rPr>
              <w:t>通过一系列综合整治工程，将有效改善马颊河水质</w:t>
            </w:r>
            <w:r>
              <w:rPr>
                <w:rFonts w:hint="eastAsia"/>
                <w:sz w:val="24"/>
              </w:rPr>
              <w:t>。</w:t>
            </w:r>
          </w:p>
          <w:p w14:paraId="3728E5CA">
            <w:pPr>
              <w:adjustRightInd w:val="0"/>
              <w:snapToGrid w:val="0"/>
              <w:spacing w:line="360" w:lineRule="auto"/>
              <w:ind w:firstLine="482" w:firstLineChars="200"/>
              <w:rPr>
                <w:b/>
                <w:sz w:val="24"/>
              </w:rPr>
            </w:pPr>
            <w:r>
              <w:rPr>
                <w:b/>
                <w:sz w:val="24"/>
              </w:rPr>
              <w:t>3、声环境</w:t>
            </w:r>
            <w:r>
              <w:rPr>
                <w:rFonts w:hint="eastAsia"/>
                <w:b/>
                <w:sz w:val="24"/>
              </w:rPr>
              <w:t>质量现状</w:t>
            </w:r>
          </w:p>
          <w:p w14:paraId="7941CA9B">
            <w:pPr>
              <w:adjustRightInd w:val="0"/>
              <w:snapToGrid w:val="0"/>
              <w:spacing w:line="360" w:lineRule="auto"/>
              <w:ind w:firstLine="480" w:firstLineChars="200"/>
              <w:rPr>
                <w:sz w:val="24"/>
              </w:rPr>
            </w:pPr>
            <w:r>
              <w:rPr>
                <w:sz w:val="24"/>
              </w:rPr>
              <w:t>项目</w:t>
            </w:r>
            <w:r>
              <w:rPr>
                <w:rFonts w:hint="eastAsia"/>
                <w:sz w:val="24"/>
              </w:rPr>
              <w:t>厂界外50m</w:t>
            </w:r>
            <w:r>
              <w:rPr>
                <w:sz w:val="24"/>
              </w:rPr>
              <w:t>内</w:t>
            </w:r>
            <w:r>
              <w:rPr>
                <w:rFonts w:hint="eastAsia"/>
                <w:sz w:val="24"/>
              </w:rPr>
              <w:t>不存在声环境保护目标，可不开展声环境现状监测。</w:t>
            </w:r>
          </w:p>
          <w:p w14:paraId="45A282FB">
            <w:pPr>
              <w:adjustRightInd w:val="0"/>
              <w:snapToGrid w:val="0"/>
              <w:spacing w:line="360" w:lineRule="auto"/>
              <w:ind w:firstLine="482" w:firstLineChars="200"/>
              <w:rPr>
                <w:b/>
                <w:sz w:val="24"/>
              </w:rPr>
            </w:pPr>
            <w:r>
              <w:rPr>
                <w:rFonts w:hint="eastAsia"/>
                <w:b/>
                <w:sz w:val="24"/>
              </w:rPr>
              <w:t>4、生态环境现状</w:t>
            </w:r>
          </w:p>
          <w:p w14:paraId="66A5C486">
            <w:pPr>
              <w:adjustRightInd w:val="0"/>
              <w:snapToGrid w:val="0"/>
              <w:spacing w:line="360" w:lineRule="auto"/>
              <w:ind w:firstLine="480" w:firstLineChars="200"/>
              <w:rPr>
                <w:sz w:val="24"/>
              </w:rPr>
            </w:pPr>
            <w:r>
              <w:rPr>
                <w:rFonts w:hint="eastAsia"/>
                <w:sz w:val="24"/>
              </w:rPr>
              <w:t>项目位于濮阳市清丰县先进制造业开发区内，且用地范围内无生态环境保护目标，故不进行生态现状调查。</w:t>
            </w:r>
          </w:p>
          <w:p w14:paraId="191B36D7">
            <w:pPr>
              <w:adjustRightInd w:val="0"/>
              <w:snapToGrid w:val="0"/>
              <w:spacing w:line="360" w:lineRule="auto"/>
              <w:ind w:firstLine="482" w:firstLineChars="200"/>
              <w:rPr>
                <w:b/>
                <w:sz w:val="24"/>
              </w:rPr>
            </w:pPr>
            <w:r>
              <w:rPr>
                <w:rFonts w:hint="eastAsia"/>
                <w:b/>
                <w:sz w:val="24"/>
              </w:rPr>
              <w:t>5、地下水、土壤环境质量现状</w:t>
            </w:r>
          </w:p>
          <w:p w14:paraId="56715EDC">
            <w:pPr>
              <w:adjustRightInd w:val="0"/>
              <w:snapToGrid w:val="0"/>
              <w:spacing w:line="360" w:lineRule="auto"/>
              <w:ind w:firstLine="480" w:firstLineChars="200"/>
              <w:rPr>
                <w:sz w:val="24"/>
              </w:rPr>
            </w:pPr>
            <w:r>
              <w:rPr>
                <w:rFonts w:hint="eastAsia"/>
                <w:sz w:val="24"/>
              </w:rPr>
              <w:t>根据《建设项目环境影响报告表编制技术指南》（污染影响类）（试行）的要求，本项目为特种玻璃制造项目，租赁标准化厂房进行建设，厂房内地面均已进行防渗处理，建设项目不存在土壤、地下水环境污染途径的，原则上不开展环境质量现状调查。</w:t>
            </w:r>
          </w:p>
          <w:p w14:paraId="3170FECA">
            <w:pPr>
              <w:adjustRightInd w:val="0"/>
              <w:snapToGrid w:val="0"/>
              <w:spacing w:line="360" w:lineRule="auto"/>
              <w:ind w:firstLine="482" w:firstLineChars="200"/>
              <w:rPr>
                <w:b/>
                <w:sz w:val="24"/>
              </w:rPr>
            </w:pPr>
            <w:r>
              <w:rPr>
                <w:rFonts w:hint="eastAsia"/>
                <w:b/>
                <w:sz w:val="24"/>
              </w:rPr>
              <w:t>6、电磁辐射环境质量现状</w:t>
            </w:r>
          </w:p>
          <w:p w14:paraId="12B3466F">
            <w:pPr>
              <w:spacing w:line="336" w:lineRule="auto"/>
              <w:ind w:firstLine="480" w:firstLineChars="200"/>
              <w:rPr>
                <w:rFonts w:ascii="宋体" w:hAnsi="宋体" w:cs="宋体"/>
                <w:kern w:val="0"/>
                <w:szCs w:val="21"/>
              </w:rPr>
            </w:pPr>
            <w:r>
              <w:rPr>
                <w:rFonts w:hint="eastAsia"/>
                <w:sz w:val="24"/>
              </w:rPr>
              <w:t>项目不涉及电磁辐射类项目，故不进行电磁辐射现状监测与评价。</w:t>
            </w:r>
          </w:p>
        </w:tc>
      </w:tr>
      <w:tr w14:paraId="174F3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1" w:hRule="atLeast"/>
          <w:jc w:val="center"/>
        </w:trPr>
        <w:tc>
          <w:tcPr>
            <w:tcW w:w="640" w:type="dxa"/>
            <w:vAlign w:val="center"/>
          </w:tcPr>
          <w:p w14:paraId="7888B4C5">
            <w:pPr>
              <w:adjustRightInd w:val="0"/>
              <w:snapToGrid w:val="0"/>
              <w:jc w:val="center"/>
              <w:rPr>
                <w:rFonts w:ascii="宋体" w:hAnsi="宋体" w:cs="宋体"/>
                <w:b/>
                <w:kern w:val="0"/>
                <w:sz w:val="24"/>
                <w:szCs w:val="21"/>
              </w:rPr>
            </w:pPr>
            <w:r>
              <w:rPr>
                <w:rFonts w:hint="eastAsia" w:ascii="宋体" w:hAnsi="宋体" w:cs="宋体"/>
                <w:b/>
                <w:kern w:val="0"/>
                <w:sz w:val="24"/>
                <w:szCs w:val="21"/>
              </w:rPr>
              <w:t>环境</w:t>
            </w:r>
          </w:p>
          <w:p w14:paraId="1C77AA6E">
            <w:pPr>
              <w:adjustRightInd w:val="0"/>
              <w:snapToGrid w:val="0"/>
              <w:jc w:val="center"/>
              <w:rPr>
                <w:rFonts w:ascii="宋体" w:hAnsi="宋体" w:cs="宋体"/>
                <w:b/>
                <w:kern w:val="0"/>
                <w:sz w:val="24"/>
                <w:szCs w:val="21"/>
              </w:rPr>
            </w:pPr>
            <w:r>
              <w:rPr>
                <w:rFonts w:hint="eastAsia" w:ascii="宋体" w:hAnsi="宋体" w:cs="宋体"/>
                <w:b/>
                <w:kern w:val="0"/>
                <w:sz w:val="24"/>
                <w:szCs w:val="21"/>
              </w:rPr>
              <w:t>保护</w:t>
            </w:r>
          </w:p>
          <w:p w14:paraId="5D79DF30">
            <w:pPr>
              <w:adjustRightInd w:val="0"/>
              <w:snapToGrid w:val="0"/>
              <w:jc w:val="center"/>
              <w:rPr>
                <w:rFonts w:ascii="宋体" w:hAnsi="宋体" w:cs="宋体"/>
                <w:kern w:val="0"/>
                <w:szCs w:val="21"/>
              </w:rPr>
            </w:pPr>
            <w:r>
              <w:rPr>
                <w:rFonts w:hint="eastAsia" w:ascii="宋体" w:hAnsi="宋体" w:cs="宋体"/>
                <w:b/>
                <w:kern w:val="0"/>
                <w:sz w:val="24"/>
                <w:szCs w:val="21"/>
              </w:rPr>
              <w:t>目标</w:t>
            </w:r>
          </w:p>
        </w:tc>
        <w:tc>
          <w:tcPr>
            <w:tcW w:w="8350" w:type="dxa"/>
            <w:vAlign w:val="center"/>
          </w:tcPr>
          <w:p w14:paraId="4886E9AE">
            <w:pPr>
              <w:spacing w:line="360" w:lineRule="auto"/>
              <w:ind w:firstLine="482" w:firstLineChars="200"/>
              <w:rPr>
                <w:b/>
                <w:sz w:val="24"/>
              </w:rPr>
            </w:pPr>
            <w:r>
              <w:rPr>
                <w:rFonts w:hint="eastAsia"/>
                <w:b/>
                <w:sz w:val="24"/>
              </w:rPr>
              <w:t>1、大气环境</w:t>
            </w:r>
          </w:p>
          <w:p w14:paraId="43E881C5">
            <w:pPr>
              <w:spacing w:line="360" w:lineRule="auto"/>
              <w:ind w:firstLine="480" w:firstLineChars="200"/>
              <w:rPr>
                <w:sz w:val="24"/>
              </w:rPr>
            </w:pPr>
            <w:r>
              <w:rPr>
                <w:rFonts w:hint="eastAsia"/>
                <w:sz w:val="24"/>
              </w:rPr>
              <w:t>项目厂界外500m范围内环境保护目标见下表。</w:t>
            </w:r>
          </w:p>
          <w:p w14:paraId="2012D668">
            <w:pPr>
              <w:pStyle w:val="19"/>
              <w:numPr>
                <w:ilvl w:val="0"/>
                <w:numId w:val="6"/>
              </w:numPr>
              <w:spacing w:before="0" w:after="0" w:line="360" w:lineRule="auto"/>
              <w:ind w:right="0"/>
              <w:jc w:val="center"/>
              <w:rPr>
                <w:rFonts w:cs="宋体"/>
                <w:b/>
                <w:bCs/>
                <w:sz w:val="21"/>
                <w:szCs w:val="21"/>
                <w:lang w:bidi="ar"/>
              </w:rPr>
            </w:pPr>
            <w:r>
              <w:rPr>
                <w:rFonts w:cs="宋体"/>
                <w:b/>
                <w:bCs/>
                <w:sz w:val="21"/>
                <w:szCs w:val="21"/>
                <w:lang w:bidi="ar"/>
              </w:rPr>
              <w:t>建设项目环境空气保护目标一览表</w:t>
            </w:r>
          </w:p>
          <w:tbl>
            <w:tblPr>
              <w:tblStyle w:val="38"/>
              <w:tblW w:w="801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2"/>
              <w:gridCol w:w="1661"/>
              <w:gridCol w:w="1142"/>
              <w:gridCol w:w="1142"/>
              <w:gridCol w:w="999"/>
              <w:gridCol w:w="1171"/>
              <w:gridCol w:w="1187"/>
            </w:tblGrid>
            <w:tr w14:paraId="0453E5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 w:hRule="atLeast"/>
                <w:jc w:val="center"/>
              </w:trPr>
              <w:tc>
                <w:tcPr>
                  <w:tcW w:w="712" w:type="dxa"/>
                  <w:noWrap/>
                  <w:vAlign w:val="center"/>
                </w:tcPr>
                <w:p w14:paraId="7ADD7A20">
                  <w:pPr>
                    <w:adjustRightInd w:val="0"/>
                    <w:snapToGrid w:val="0"/>
                    <w:jc w:val="center"/>
                    <w:textAlignment w:val="baseline"/>
                    <w:rPr>
                      <w:b/>
                      <w:szCs w:val="21"/>
                    </w:rPr>
                  </w:pPr>
                  <w:r>
                    <w:rPr>
                      <w:b/>
                      <w:szCs w:val="21"/>
                    </w:rPr>
                    <w:t>序号</w:t>
                  </w:r>
                </w:p>
              </w:tc>
              <w:tc>
                <w:tcPr>
                  <w:tcW w:w="1661" w:type="dxa"/>
                  <w:noWrap/>
                  <w:vAlign w:val="center"/>
                </w:tcPr>
                <w:p w14:paraId="24994734">
                  <w:pPr>
                    <w:adjustRightInd w:val="0"/>
                    <w:snapToGrid w:val="0"/>
                    <w:jc w:val="center"/>
                    <w:textAlignment w:val="baseline"/>
                    <w:rPr>
                      <w:b/>
                      <w:szCs w:val="21"/>
                    </w:rPr>
                  </w:pPr>
                  <w:r>
                    <w:rPr>
                      <w:rFonts w:hint="eastAsia"/>
                      <w:b/>
                      <w:szCs w:val="21"/>
                    </w:rPr>
                    <w:t>环境</w:t>
                  </w:r>
                  <w:r>
                    <w:rPr>
                      <w:b/>
                      <w:szCs w:val="21"/>
                    </w:rPr>
                    <w:t>空气保护目标</w:t>
                  </w:r>
                </w:p>
              </w:tc>
              <w:tc>
                <w:tcPr>
                  <w:tcW w:w="1142" w:type="dxa"/>
                  <w:noWrap/>
                  <w:vAlign w:val="center"/>
                </w:tcPr>
                <w:p w14:paraId="6A8F8E36">
                  <w:pPr>
                    <w:adjustRightInd w:val="0"/>
                    <w:snapToGrid w:val="0"/>
                    <w:jc w:val="center"/>
                    <w:textAlignment w:val="baseline"/>
                    <w:rPr>
                      <w:b/>
                      <w:szCs w:val="21"/>
                    </w:rPr>
                  </w:pPr>
                  <w:r>
                    <w:rPr>
                      <w:rFonts w:hint="eastAsia"/>
                      <w:b/>
                      <w:szCs w:val="21"/>
                    </w:rPr>
                    <w:t>保护内容</w:t>
                  </w:r>
                </w:p>
              </w:tc>
              <w:tc>
                <w:tcPr>
                  <w:tcW w:w="1142" w:type="dxa"/>
                  <w:noWrap/>
                  <w:vAlign w:val="center"/>
                </w:tcPr>
                <w:p w14:paraId="6C0FA62F">
                  <w:pPr>
                    <w:adjustRightInd w:val="0"/>
                    <w:snapToGrid w:val="0"/>
                    <w:jc w:val="center"/>
                    <w:textAlignment w:val="baseline"/>
                    <w:rPr>
                      <w:b/>
                      <w:szCs w:val="21"/>
                    </w:rPr>
                  </w:pPr>
                  <w:r>
                    <w:rPr>
                      <w:rFonts w:hint="eastAsia"/>
                      <w:b/>
                      <w:szCs w:val="21"/>
                    </w:rPr>
                    <w:t>保护</w:t>
                  </w:r>
                  <w:r>
                    <w:rPr>
                      <w:b/>
                      <w:szCs w:val="21"/>
                    </w:rPr>
                    <w:t>规模</w:t>
                  </w:r>
                </w:p>
              </w:tc>
              <w:tc>
                <w:tcPr>
                  <w:tcW w:w="999" w:type="dxa"/>
                  <w:noWrap/>
                  <w:vAlign w:val="center"/>
                </w:tcPr>
                <w:p w14:paraId="160F6867">
                  <w:pPr>
                    <w:adjustRightInd w:val="0"/>
                    <w:snapToGrid w:val="0"/>
                    <w:jc w:val="center"/>
                    <w:textAlignment w:val="baseline"/>
                    <w:rPr>
                      <w:b/>
                      <w:szCs w:val="21"/>
                    </w:rPr>
                  </w:pPr>
                  <w:r>
                    <w:rPr>
                      <w:b/>
                      <w:szCs w:val="21"/>
                    </w:rPr>
                    <w:t>相对厂址方向</w:t>
                  </w:r>
                </w:p>
              </w:tc>
              <w:tc>
                <w:tcPr>
                  <w:tcW w:w="1171" w:type="dxa"/>
                  <w:noWrap/>
                  <w:vAlign w:val="center"/>
                </w:tcPr>
                <w:p w14:paraId="6A496D5B">
                  <w:pPr>
                    <w:adjustRightInd w:val="0"/>
                    <w:snapToGrid w:val="0"/>
                    <w:jc w:val="center"/>
                    <w:textAlignment w:val="baseline"/>
                    <w:rPr>
                      <w:b/>
                      <w:szCs w:val="21"/>
                    </w:rPr>
                  </w:pPr>
                  <w:r>
                    <w:rPr>
                      <w:b/>
                      <w:szCs w:val="21"/>
                    </w:rPr>
                    <w:t>相对厂界距离/m</w:t>
                  </w:r>
                </w:p>
              </w:tc>
              <w:tc>
                <w:tcPr>
                  <w:tcW w:w="1187" w:type="dxa"/>
                  <w:vAlign w:val="center"/>
                </w:tcPr>
                <w:p w14:paraId="5EB9D2CB">
                  <w:pPr>
                    <w:adjustRightInd w:val="0"/>
                    <w:snapToGrid w:val="0"/>
                    <w:jc w:val="center"/>
                    <w:textAlignment w:val="baseline"/>
                    <w:rPr>
                      <w:b/>
                      <w:szCs w:val="21"/>
                    </w:rPr>
                  </w:pPr>
                  <w:r>
                    <w:rPr>
                      <w:b/>
                      <w:szCs w:val="21"/>
                    </w:rPr>
                    <w:t>保护级别</w:t>
                  </w:r>
                </w:p>
              </w:tc>
            </w:tr>
            <w:tr w14:paraId="6169F2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712" w:type="dxa"/>
                  <w:noWrap/>
                  <w:vAlign w:val="center"/>
                </w:tcPr>
                <w:p w14:paraId="05AB04E2">
                  <w:pPr>
                    <w:adjustRightInd w:val="0"/>
                    <w:snapToGrid w:val="0"/>
                    <w:jc w:val="center"/>
                    <w:textAlignment w:val="baseline"/>
                    <w:rPr>
                      <w:szCs w:val="21"/>
                    </w:rPr>
                  </w:pPr>
                  <w:r>
                    <w:rPr>
                      <w:rFonts w:hint="eastAsia"/>
                      <w:szCs w:val="21"/>
                    </w:rPr>
                    <w:t>1</w:t>
                  </w:r>
                </w:p>
              </w:tc>
              <w:tc>
                <w:tcPr>
                  <w:tcW w:w="1661" w:type="dxa"/>
                  <w:noWrap/>
                  <w:vAlign w:val="center"/>
                </w:tcPr>
                <w:p w14:paraId="5BBB0381">
                  <w:pPr>
                    <w:adjustRightInd w:val="0"/>
                    <w:snapToGrid w:val="0"/>
                    <w:jc w:val="center"/>
                    <w:textAlignment w:val="baseline"/>
                    <w:rPr>
                      <w:szCs w:val="21"/>
                    </w:rPr>
                  </w:pPr>
                  <w:r>
                    <w:rPr>
                      <w:rFonts w:hint="eastAsia"/>
                      <w:szCs w:val="21"/>
                    </w:rPr>
                    <w:t>后士子元村</w:t>
                  </w:r>
                </w:p>
              </w:tc>
              <w:tc>
                <w:tcPr>
                  <w:tcW w:w="1142" w:type="dxa"/>
                  <w:noWrap/>
                  <w:vAlign w:val="center"/>
                </w:tcPr>
                <w:p w14:paraId="40C79F67">
                  <w:pPr>
                    <w:adjustRightInd w:val="0"/>
                    <w:snapToGrid w:val="0"/>
                    <w:jc w:val="center"/>
                    <w:textAlignment w:val="baseline"/>
                    <w:rPr>
                      <w:szCs w:val="21"/>
                    </w:rPr>
                  </w:pPr>
                  <w:r>
                    <w:rPr>
                      <w:szCs w:val="21"/>
                    </w:rPr>
                    <w:t>居民区</w:t>
                  </w:r>
                </w:p>
              </w:tc>
              <w:tc>
                <w:tcPr>
                  <w:tcW w:w="1142" w:type="dxa"/>
                  <w:noWrap/>
                  <w:vAlign w:val="center"/>
                </w:tcPr>
                <w:p w14:paraId="375718D9">
                  <w:pPr>
                    <w:pStyle w:val="19"/>
                    <w:spacing w:before="0" w:after="0" w:line="240" w:lineRule="auto"/>
                    <w:ind w:right="0"/>
                    <w:jc w:val="center"/>
                    <w:rPr>
                      <w:sz w:val="21"/>
                      <w:szCs w:val="21"/>
                    </w:rPr>
                  </w:pPr>
                  <w:r>
                    <w:rPr>
                      <w:rFonts w:hint="eastAsia"/>
                      <w:sz w:val="21"/>
                      <w:szCs w:val="21"/>
                    </w:rPr>
                    <w:t>600人</w:t>
                  </w:r>
                </w:p>
              </w:tc>
              <w:tc>
                <w:tcPr>
                  <w:tcW w:w="999" w:type="dxa"/>
                  <w:noWrap/>
                  <w:vAlign w:val="center"/>
                </w:tcPr>
                <w:p w14:paraId="76763D0F">
                  <w:pPr>
                    <w:pStyle w:val="19"/>
                    <w:spacing w:before="0" w:after="0" w:line="240" w:lineRule="auto"/>
                    <w:ind w:right="0"/>
                    <w:jc w:val="center"/>
                    <w:rPr>
                      <w:sz w:val="21"/>
                      <w:szCs w:val="21"/>
                    </w:rPr>
                  </w:pPr>
                  <w:r>
                    <w:rPr>
                      <w:rFonts w:hint="eastAsia"/>
                      <w:sz w:val="21"/>
                      <w:szCs w:val="21"/>
                    </w:rPr>
                    <w:t>W</w:t>
                  </w:r>
                </w:p>
              </w:tc>
              <w:tc>
                <w:tcPr>
                  <w:tcW w:w="1171" w:type="dxa"/>
                  <w:noWrap/>
                  <w:vAlign w:val="center"/>
                </w:tcPr>
                <w:p w14:paraId="14337A9A">
                  <w:pPr>
                    <w:adjustRightInd w:val="0"/>
                    <w:snapToGrid w:val="0"/>
                    <w:jc w:val="center"/>
                    <w:textAlignment w:val="baseline"/>
                    <w:rPr>
                      <w:szCs w:val="21"/>
                    </w:rPr>
                  </w:pPr>
                  <w:r>
                    <w:rPr>
                      <w:rFonts w:hint="eastAsia"/>
                      <w:szCs w:val="21"/>
                    </w:rPr>
                    <w:t>430</w:t>
                  </w:r>
                </w:p>
              </w:tc>
              <w:tc>
                <w:tcPr>
                  <w:tcW w:w="1187" w:type="dxa"/>
                  <w:vMerge w:val="restart"/>
                  <w:vAlign w:val="center"/>
                </w:tcPr>
                <w:p w14:paraId="608B5E2D">
                  <w:pPr>
                    <w:adjustRightInd w:val="0"/>
                    <w:snapToGrid w:val="0"/>
                    <w:jc w:val="center"/>
                    <w:textAlignment w:val="baseline"/>
                    <w:rPr>
                      <w:szCs w:val="21"/>
                    </w:rPr>
                  </w:pPr>
                  <w:r>
                    <w:rPr>
                      <w:rFonts w:hint="eastAsia"/>
                      <w:szCs w:val="21"/>
                    </w:rPr>
                    <w:t>环境空气二类区</w:t>
                  </w:r>
                </w:p>
              </w:tc>
            </w:tr>
            <w:tr w14:paraId="442DFE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712" w:type="dxa"/>
                  <w:noWrap/>
                  <w:vAlign w:val="center"/>
                </w:tcPr>
                <w:p w14:paraId="4D1EA745">
                  <w:pPr>
                    <w:adjustRightInd w:val="0"/>
                    <w:snapToGrid w:val="0"/>
                    <w:jc w:val="center"/>
                    <w:textAlignment w:val="baseline"/>
                    <w:rPr>
                      <w:szCs w:val="21"/>
                    </w:rPr>
                  </w:pPr>
                  <w:r>
                    <w:rPr>
                      <w:rFonts w:hint="eastAsia"/>
                      <w:szCs w:val="21"/>
                    </w:rPr>
                    <w:t>2</w:t>
                  </w:r>
                </w:p>
              </w:tc>
              <w:tc>
                <w:tcPr>
                  <w:tcW w:w="1661" w:type="dxa"/>
                  <w:noWrap/>
                  <w:vAlign w:val="center"/>
                </w:tcPr>
                <w:p w14:paraId="1BDEB5BC">
                  <w:pPr>
                    <w:adjustRightInd w:val="0"/>
                    <w:snapToGrid w:val="0"/>
                    <w:jc w:val="center"/>
                    <w:textAlignment w:val="baseline"/>
                    <w:rPr>
                      <w:szCs w:val="21"/>
                    </w:rPr>
                  </w:pPr>
                  <w:r>
                    <w:rPr>
                      <w:rFonts w:hint="eastAsia" w:ascii="宋体" w:cs="宋体"/>
                      <w:kern w:val="0"/>
                      <w:szCs w:val="21"/>
                    </w:rPr>
                    <w:t>柳格镇</w:t>
                  </w:r>
                </w:p>
              </w:tc>
              <w:tc>
                <w:tcPr>
                  <w:tcW w:w="1142" w:type="dxa"/>
                  <w:noWrap/>
                  <w:vAlign w:val="center"/>
                </w:tcPr>
                <w:p w14:paraId="5B989C14">
                  <w:pPr>
                    <w:adjustRightInd w:val="0"/>
                    <w:snapToGrid w:val="0"/>
                    <w:jc w:val="center"/>
                    <w:textAlignment w:val="baseline"/>
                    <w:rPr>
                      <w:szCs w:val="21"/>
                    </w:rPr>
                  </w:pPr>
                  <w:r>
                    <w:rPr>
                      <w:szCs w:val="21"/>
                    </w:rPr>
                    <w:t>居民区</w:t>
                  </w:r>
                </w:p>
              </w:tc>
              <w:tc>
                <w:tcPr>
                  <w:tcW w:w="1142" w:type="dxa"/>
                  <w:noWrap/>
                  <w:vAlign w:val="center"/>
                </w:tcPr>
                <w:p w14:paraId="01436ECF">
                  <w:pPr>
                    <w:pStyle w:val="19"/>
                    <w:spacing w:before="0" w:after="0" w:line="240" w:lineRule="auto"/>
                    <w:ind w:right="0"/>
                    <w:jc w:val="center"/>
                    <w:rPr>
                      <w:sz w:val="21"/>
                      <w:szCs w:val="21"/>
                    </w:rPr>
                  </w:pPr>
                  <w:r>
                    <w:rPr>
                      <w:rFonts w:hint="eastAsia"/>
                      <w:sz w:val="21"/>
                      <w:szCs w:val="21"/>
                    </w:rPr>
                    <w:t>10000人</w:t>
                  </w:r>
                </w:p>
              </w:tc>
              <w:tc>
                <w:tcPr>
                  <w:tcW w:w="999" w:type="dxa"/>
                  <w:noWrap/>
                  <w:vAlign w:val="center"/>
                </w:tcPr>
                <w:p w14:paraId="26688F64">
                  <w:pPr>
                    <w:pStyle w:val="19"/>
                    <w:spacing w:before="0" w:after="0" w:line="240" w:lineRule="auto"/>
                    <w:ind w:right="0"/>
                    <w:jc w:val="center"/>
                    <w:rPr>
                      <w:sz w:val="21"/>
                      <w:szCs w:val="21"/>
                    </w:rPr>
                  </w:pPr>
                  <w:r>
                    <w:rPr>
                      <w:rFonts w:hint="eastAsia"/>
                      <w:sz w:val="21"/>
                      <w:szCs w:val="21"/>
                    </w:rPr>
                    <w:t>SE</w:t>
                  </w:r>
                </w:p>
              </w:tc>
              <w:tc>
                <w:tcPr>
                  <w:tcW w:w="1171" w:type="dxa"/>
                  <w:noWrap/>
                  <w:vAlign w:val="center"/>
                </w:tcPr>
                <w:p w14:paraId="0F7EDD66">
                  <w:pPr>
                    <w:adjustRightInd w:val="0"/>
                    <w:snapToGrid w:val="0"/>
                    <w:jc w:val="center"/>
                    <w:textAlignment w:val="baseline"/>
                    <w:rPr>
                      <w:szCs w:val="21"/>
                    </w:rPr>
                  </w:pPr>
                  <w:r>
                    <w:rPr>
                      <w:rFonts w:hint="eastAsia"/>
                      <w:szCs w:val="21"/>
                    </w:rPr>
                    <w:t>220</w:t>
                  </w:r>
                </w:p>
              </w:tc>
              <w:tc>
                <w:tcPr>
                  <w:tcW w:w="1187" w:type="dxa"/>
                  <w:vMerge w:val="continue"/>
                  <w:vAlign w:val="center"/>
                </w:tcPr>
                <w:p w14:paraId="5F4C45DD">
                  <w:pPr>
                    <w:adjustRightInd w:val="0"/>
                    <w:snapToGrid w:val="0"/>
                    <w:jc w:val="center"/>
                    <w:textAlignment w:val="baseline"/>
                    <w:rPr>
                      <w:szCs w:val="21"/>
                    </w:rPr>
                  </w:pPr>
                </w:p>
              </w:tc>
            </w:tr>
          </w:tbl>
          <w:p w14:paraId="1D693452">
            <w:pPr>
              <w:spacing w:line="360" w:lineRule="auto"/>
              <w:ind w:firstLine="482" w:firstLineChars="200"/>
              <w:rPr>
                <w:b/>
                <w:sz w:val="24"/>
              </w:rPr>
            </w:pPr>
            <w:r>
              <w:rPr>
                <w:rFonts w:hint="eastAsia"/>
                <w:b/>
                <w:sz w:val="24"/>
              </w:rPr>
              <w:t>2、</w:t>
            </w:r>
            <w:r>
              <w:rPr>
                <w:b/>
                <w:sz w:val="24"/>
              </w:rPr>
              <w:t>声环境</w:t>
            </w:r>
          </w:p>
          <w:p w14:paraId="4E262FC2">
            <w:pPr>
              <w:spacing w:line="360" w:lineRule="auto"/>
              <w:ind w:firstLine="480" w:firstLineChars="200"/>
              <w:rPr>
                <w:sz w:val="24"/>
              </w:rPr>
            </w:pPr>
            <w:r>
              <w:rPr>
                <w:sz w:val="24"/>
              </w:rPr>
              <w:t>项目厂界外50米范围内</w:t>
            </w:r>
            <w:r>
              <w:rPr>
                <w:rFonts w:hint="eastAsia"/>
                <w:sz w:val="24"/>
              </w:rPr>
              <w:t>无</w:t>
            </w:r>
            <w:r>
              <w:rPr>
                <w:sz w:val="24"/>
              </w:rPr>
              <w:t>声环境保护目标</w:t>
            </w:r>
            <w:r>
              <w:rPr>
                <w:rFonts w:hint="eastAsia"/>
                <w:sz w:val="24"/>
              </w:rPr>
              <w:t>。</w:t>
            </w:r>
          </w:p>
          <w:p w14:paraId="03A7BECB">
            <w:pPr>
              <w:spacing w:line="360" w:lineRule="auto"/>
              <w:ind w:firstLine="482" w:firstLineChars="200"/>
              <w:rPr>
                <w:b/>
                <w:sz w:val="24"/>
              </w:rPr>
            </w:pPr>
            <w:r>
              <w:rPr>
                <w:rFonts w:hint="eastAsia"/>
                <w:b/>
                <w:sz w:val="24"/>
              </w:rPr>
              <w:t>3、</w:t>
            </w:r>
            <w:r>
              <w:rPr>
                <w:b/>
                <w:sz w:val="24"/>
              </w:rPr>
              <w:t>地下水环境</w:t>
            </w:r>
          </w:p>
          <w:p w14:paraId="2DFA0EB7">
            <w:pPr>
              <w:spacing w:line="360" w:lineRule="auto"/>
              <w:ind w:firstLine="480" w:firstLineChars="200"/>
              <w:rPr>
                <w:sz w:val="24"/>
              </w:rPr>
            </w:pPr>
            <w:r>
              <w:rPr>
                <w:sz w:val="24"/>
              </w:rPr>
              <w:t>厂界外500米范围内无地下水集中式饮用水水源和热水、矿泉水、温泉等特殊地下水资源。</w:t>
            </w:r>
          </w:p>
          <w:p w14:paraId="13C1A2DC">
            <w:pPr>
              <w:spacing w:line="360" w:lineRule="auto"/>
              <w:ind w:firstLine="482" w:firstLineChars="200"/>
              <w:rPr>
                <w:b/>
                <w:sz w:val="24"/>
              </w:rPr>
            </w:pPr>
            <w:r>
              <w:rPr>
                <w:b/>
                <w:sz w:val="24"/>
              </w:rPr>
              <w:t>4、生态环境</w:t>
            </w:r>
          </w:p>
          <w:p w14:paraId="0506E96F">
            <w:pPr>
              <w:spacing w:line="360" w:lineRule="auto"/>
              <w:ind w:firstLine="480" w:firstLineChars="200"/>
              <w:rPr>
                <w:rFonts w:ascii="宋体" w:hAnsi="宋体" w:cs="宋体"/>
                <w:kern w:val="0"/>
                <w:szCs w:val="21"/>
              </w:rPr>
            </w:pPr>
            <w:r>
              <w:rPr>
                <w:sz w:val="24"/>
              </w:rPr>
              <w:t>项目用地范围内无生态环境保护目标。</w:t>
            </w:r>
          </w:p>
        </w:tc>
      </w:tr>
      <w:tr w14:paraId="06C63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640" w:type="dxa"/>
            <w:tcMar>
              <w:left w:w="28" w:type="dxa"/>
              <w:right w:w="28" w:type="dxa"/>
            </w:tcMar>
            <w:vAlign w:val="center"/>
          </w:tcPr>
          <w:p w14:paraId="75C27186">
            <w:pPr>
              <w:adjustRightInd w:val="0"/>
              <w:snapToGrid w:val="0"/>
              <w:jc w:val="center"/>
              <w:rPr>
                <w:rFonts w:ascii="宋体" w:hAnsi="宋体" w:cs="宋体"/>
                <w:b/>
                <w:kern w:val="0"/>
                <w:sz w:val="24"/>
                <w:szCs w:val="21"/>
              </w:rPr>
            </w:pPr>
            <w:r>
              <w:rPr>
                <w:rFonts w:hint="eastAsia" w:ascii="宋体" w:hAnsi="宋体" w:cs="宋体"/>
                <w:b/>
                <w:kern w:val="0"/>
                <w:sz w:val="24"/>
                <w:szCs w:val="21"/>
              </w:rPr>
              <w:t>污染</w:t>
            </w:r>
          </w:p>
          <w:p w14:paraId="24D89D72">
            <w:pPr>
              <w:adjustRightInd w:val="0"/>
              <w:snapToGrid w:val="0"/>
              <w:jc w:val="center"/>
              <w:rPr>
                <w:rFonts w:ascii="宋体" w:hAnsi="宋体" w:cs="宋体"/>
                <w:b/>
                <w:kern w:val="0"/>
                <w:sz w:val="24"/>
                <w:szCs w:val="21"/>
              </w:rPr>
            </w:pPr>
            <w:r>
              <w:rPr>
                <w:rFonts w:hint="eastAsia" w:ascii="宋体" w:hAnsi="宋体" w:cs="宋体"/>
                <w:b/>
                <w:kern w:val="0"/>
                <w:sz w:val="24"/>
                <w:szCs w:val="21"/>
              </w:rPr>
              <w:t>物排</w:t>
            </w:r>
          </w:p>
          <w:p w14:paraId="79EBBDDC">
            <w:pPr>
              <w:adjustRightInd w:val="0"/>
              <w:snapToGrid w:val="0"/>
              <w:jc w:val="center"/>
              <w:rPr>
                <w:rFonts w:ascii="宋体" w:hAnsi="宋体" w:cs="宋体"/>
                <w:b/>
                <w:kern w:val="0"/>
                <w:sz w:val="24"/>
                <w:szCs w:val="21"/>
              </w:rPr>
            </w:pPr>
            <w:r>
              <w:rPr>
                <w:rFonts w:hint="eastAsia" w:ascii="宋体" w:hAnsi="宋体" w:cs="宋体"/>
                <w:b/>
                <w:kern w:val="0"/>
                <w:sz w:val="24"/>
                <w:szCs w:val="21"/>
              </w:rPr>
              <w:t>放控</w:t>
            </w:r>
          </w:p>
          <w:p w14:paraId="68DC63D1">
            <w:pPr>
              <w:adjustRightInd w:val="0"/>
              <w:snapToGrid w:val="0"/>
              <w:jc w:val="center"/>
              <w:rPr>
                <w:rFonts w:ascii="宋体" w:hAnsi="宋体" w:cs="宋体"/>
                <w:b/>
                <w:kern w:val="0"/>
                <w:sz w:val="24"/>
                <w:szCs w:val="21"/>
              </w:rPr>
            </w:pPr>
            <w:r>
              <w:rPr>
                <w:rFonts w:hint="eastAsia" w:ascii="宋体" w:hAnsi="宋体" w:cs="宋体"/>
                <w:b/>
                <w:kern w:val="0"/>
                <w:sz w:val="24"/>
                <w:szCs w:val="21"/>
              </w:rPr>
              <w:t>制标</w:t>
            </w:r>
          </w:p>
          <w:p w14:paraId="2C36F654">
            <w:pPr>
              <w:adjustRightInd w:val="0"/>
              <w:snapToGrid w:val="0"/>
              <w:jc w:val="center"/>
              <w:rPr>
                <w:rFonts w:ascii="宋体" w:hAnsi="宋体" w:cs="宋体"/>
                <w:kern w:val="0"/>
                <w:szCs w:val="21"/>
              </w:rPr>
            </w:pPr>
            <w:r>
              <w:rPr>
                <w:rFonts w:hint="eastAsia" w:ascii="宋体" w:hAnsi="宋体" w:cs="宋体"/>
                <w:b/>
                <w:kern w:val="0"/>
                <w:sz w:val="24"/>
                <w:szCs w:val="21"/>
              </w:rPr>
              <w:t>准</w:t>
            </w:r>
          </w:p>
        </w:tc>
        <w:tc>
          <w:tcPr>
            <w:tcW w:w="8350" w:type="dxa"/>
            <w:vAlign w:val="center"/>
          </w:tcPr>
          <w:p w14:paraId="1731952D">
            <w:pPr>
              <w:spacing w:line="360" w:lineRule="auto"/>
              <w:ind w:firstLine="482" w:firstLineChars="200"/>
              <w:rPr>
                <w:b/>
                <w:sz w:val="24"/>
              </w:rPr>
            </w:pPr>
            <w:r>
              <w:rPr>
                <w:b/>
                <w:sz w:val="24"/>
              </w:rPr>
              <w:t>一、废</w:t>
            </w:r>
            <w:r>
              <w:rPr>
                <w:rFonts w:hint="eastAsia"/>
                <w:b/>
                <w:sz w:val="24"/>
              </w:rPr>
              <w:t>气</w:t>
            </w:r>
          </w:p>
          <w:p w14:paraId="10D7DD7C">
            <w:pPr>
              <w:pStyle w:val="14"/>
              <w:spacing w:line="360" w:lineRule="auto"/>
              <w:ind w:firstLine="480" w:firstLineChars="200"/>
              <w:rPr>
                <w:sz w:val="24"/>
                <w:szCs w:val="24"/>
              </w:rPr>
            </w:pPr>
            <w:r>
              <w:rPr>
                <w:rFonts w:hint="eastAsia"/>
                <w:sz w:val="24"/>
                <w:szCs w:val="24"/>
              </w:rPr>
              <w:t>本项目废气污染物主要为非甲烷总烃，非甲烷总烃排放执行《玻璃工业大气污染物排放标准》（GB26453-2022）及《关于全省开展工业企业挥发性有机物专项治理工作中排放建议值的通知》（豫环攻坚办〔2017〕162号）限值要求，同时满足《重污染天气重点行业应急减排措施制定技术指南（2020年修订版）》（环办大气函</w:t>
            </w:r>
            <w:r>
              <w:rPr>
                <w:rFonts w:hint="eastAsia"/>
                <w:bCs/>
                <w:sz w:val="24"/>
              </w:rPr>
              <w:t>〔2020〕</w:t>
            </w:r>
            <w:r>
              <w:rPr>
                <w:rFonts w:hint="eastAsia"/>
                <w:sz w:val="24"/>
                <w:szCs w:val="24"/>
              </w:rPr>
              <w:t>340号）玻璃后加工企业引领性指标要求</w:t>
            </w:r>
            <w:r>
              <w:rPr>
                <w:rFonts w:hint="eastAsia"/>
                <w:sz w:val="24"/>
                <w:szCs w:val="24"/>
                <w:lang w:eastAsia="zh-CN"/>
              </w:rPr>
              <w:t>（NMHC</w:t>
            </w:r>
            <w:r>
              <w:rPr>
                <w:rFonts w:hint="eastAsia" w:ascii="Times New Roman" w:hAnsi="Times New Roman" w:eastAsia="宋体" w:cs="Times New Roman"/>
                <w:color w:val="000000"/>
                <w:sz w:val="24"/>
                <w:szCs w:val="24"/>
                <w:highlight w:val="none"/>
                <w:lang w:val="en-US" w:eastAsia="zh-CN"/>
              </w:rPr>
              <w:t>≤60mg/m</w:t>
            </w:r>
            <w:r>
              <w:rPr>
                <w:rFonts w:hint="eastAsia" w:ascii="Times New Roman" w:hAnsi="Times New Roman" w:eastAsia="宋体" w:cs="Times New Roman"/>
                <w:color w:val="000000"/>
                <w:sz w:val="24"/>
                <w:szCs w:val="24"/>
                <w:highlight w:val="none"/>
                <w:vertAlign w:val="superscript"/>
                <w:lang w:val="en-US" w:eastAsia="zh-CN"/>
              </w:rPr>
              <w:t>3</w:t>
            </w:r>
            <w:r>
              <w:rPr>
                <w:rFonts w:hint="eastAsia"/>
                <w:sz w:val="24"/>
                <w:szCs w:val="24"/>
                <w:lang w:eastAsia="zh-CN"/>
              </w:rPr>
              <w:t>）</w:t>
            </w:r>
            <w:r>
              <w:rPr>
                <w:rFonts w:hint="eastAsia"/>
                <w:sz w:val="24"/>
                <w:szCs w:val="24"/>
              </w:rPr>
              <w:t>。</w:t>
            </w:r>
          </w:p>
          <w:p w14:paraId="1C13AEA2">
            <w:pPr>
              <w:pStyle w:val="19"/>
              <w:numPr>
                <w:ilvl w:val="0"/>
                <w:numId w:val="6"/>
              </w:numPr>
              <w:spacing w:before="0" w:after="0" w:line="360" w:lineRule="auto"/>
              <w:ind w:right="0"/>
              <w:jc w:val="center"/>
              <w:rPr>
                <w:sz w:val="21"/>
                <w:szCs w:val="21"/>
              </w:rPr>
            </w:pPr>
            <w:r>
              <w:rPr>
                <w:rFonts w:hint="eastAsia"/>
                <w:b/>
                <w:sz w:val="21"/>
                <w:szCs w:val="21"/>
              </w:rPr>
              <w:t>废气</w:t>
            </w:r>
            <w:r>
              <w:rPr>
                <w:b/>
                <w:sz w:val="21"/>
                <w:szCs w:val="21"/>
              </w:rPr>
              <w:t>污染物排放</w:t>
            </w:r>
            <w:r>
              <w:rPr>
                <w:rFonts w:hint="eastAsia"/>
                <w:b/>
                <w:sz w:val="21"/>
                <w:szCs w:val="21"/>
              </w:rPr>
              <w:t>标准</w:t>
            </w:r>
            <w:r>
              <w:rPr>
                <w:b/>
                <w:sz w:val="21"/>
                <w:szCs w:val="21"/>
              </w:rPr>
              <w:t>一览表</w:t>
            </w:r>
          </w:p>
          <w:tbl>
            <w:tblPr>
              <w:tblStyle w:val="38"/>
              <w:tblW w:w="790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88"/>
              <w:gridCol w:w="2552"/>
              <w:gridCol w:w="992"/>
              <w:gridCol w:w="1182"/>
              <w:gridCol w:w="1590"/>
              <w:gridCol w:w="1103"/>
            </w:tblGrid>
            <w:tr w14:paraId="47C80E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88" w:type="dxa"/>
                  <w:tcMar>
                    <w:top w:w="85" w:type="dxa"/>
                    <w:bottom w:w="85" w:type="dxa"/>
                  </w:tcMar>
                  <w:vAlign w:val="center"/>
                </w:tcPr>
                <w:p w14:paraId="67CBB223">
                  <w:pPr>
                    <w:snapToGrid w:val="0"/>
                    <w:jc w:val="center"/>
                    <w:rPr>
                      <w:b/>
                      <w:bCs/>
                      <w:szCs w:val="21"/>
                    </w:rPr>
                  </w:pPr>
                  <w:r>
                    <w:rPr>
                      <w:rFonts w:hint="eastAsia"/>
                      <w:b/>
                      <w:bCs/>
                      <w:szCs w:val="21"/>
                    </w:rPr>
                    <w:t>项目</w:t>
                  </w:r>
                </w:p>
              </w:tc>
              <w:tc>
                <w:tcPr>
                  <w:tcW w:w="2552" w:type="dxa"/>
                  <w:tcMar>
                    <w:top w:w="85" w:type="dxa"/>
                    <w:bottom w:w="85" w:type="dxa"/>
                  </w:tcMar>
                  <w:vAlign w:val="center"/>
                </w:tcPr>
                <w:p w14:paraId="3B714334">
                  <w:pPr>
                    <w:snapToGrid w:val="0"/>
                    <w:jc w:val="center"/>
                    <w:rPr>
                      <w:b/>
                      <w:bCs/>
                      <w:szCs w:val="21"/>
                    </w:rPr>
                  </w:pPr>
                  <w:r>
                    <w:rPr>
                      <w:b/>
                      <w:bCs/>
                      <w:szCs w:val="21"/>
                    </w:rPr>
                    <w:t>标准名称及级（类）别</w:t>
                  </w:r>
                </w:p>
              </w:tc>
              <w:tc>
                <w:tcPr>
                  <w:tcW w:w="992" w:type="dxa"/>
                  <w:tcMar>
                    <w:top w:w="85" w:type="dxa"/>
                    <w:bottom w:w="85" w:type="dxa"/>
                  </w:tcMar>
                  <w:vAlign w:val="center"/>
                </w:tcPr>
                <w:p w14:paraId="64F2182E">
                  <w:pPr>
                    <w:snapToGrid w:val="0"/>
                    <w:jc w:val="center"/>
                    <w:rPr>
                      <w:b/>
                      <w:bCs/>
                      <w:szCs w:val="21"/>
                    </w:rPr>
                  </w:pPr>
                  <w:r>
                    <w:rPr>
                      <w:b/>
                      <w:bCs/>
                      <w:szCs w:val="21"/>
                    </w:rPr>
                    <w:t>污染因子</w:t>
                  </w:r>
                </w:p>
              </w:tc>
              <w:tc>
                <w:tcPr>
                  <w:tcW w:w="3875" w:type="dxa"/>
                  <w:gridSpan w:val="3"/>
                  <w:tcMar>
                    <w:top w:w="85" w:type="dxa"/>
                    <w:bottom w:w="85" w:type="dxa"/>
                  </w:tcMar>
                  <w:vAlign w:val="center"/>
                </w:tcPr>
                <w:p w14:paraId="5D1816DC">
                  <w:pPr>
                    <w:snapToGrid w:val="0"/>
                    <w:jc w:val="center"/>
                    <w:rPr>
                      <w:b/>
                      <w:bCs/>
                      <w:szCs w:val="21"/>
                    </w:rPr>
                  </w:pPr>
                  <w:r>
                    <w:rPr>
                      <w:b/>
                      <w:bCs/>
                      <w:szCs w:val="21"/>
                    </w:rPr>
                    <w:t>标准限值</w:t>
                  </w:r>
                </w:p>
              </w:tc>
            </w:tr>
            <w:tr w14:paraId="236608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88" w:type="dxa"/>
                  <w:vMerge w:val="restart"/>
                  <w:tcMar>
                    <w:top w:w="85" w:type="dxa"/>
                    <w:bottom w:w="85" w:type="dxa"/>
                  </w:tcMar>
                  <w:vAlign w:val="center"/>
                </w:tcPr>
                <w:p w14:paraId="6DB7F4A6">
                  <w:pPr>
                    <w:snapToGrid w:val="0"/>
                    <w:jc w:val="center"/>
                    <w:rPr>
                      <w:szCs w:val="21"/>
                    </w:rPr>
                  </w:pPr>
                  <w:r>
                    <w:rPr>
                      <w:szCs w:val="21"/>
                    </w:rPr>
                    <w:t>废气</w:t>
                  </w:r>
                </w:p>
              </w:tc>
              <w:tc>
                <w:tcPr>
                  <w:tcW w:w="2552" w:type="dxa"/>
                  <w:vMerge w:val="restart"/>
                  <w:tcMar>
                    <w:top w:w="85" w:type="dxa"/>
                    <w:bottom w:w="85" w:type="dxa"/>
                  </w:tcMar>
                  <w:vAlign w:val="center"/>
                </w:tcPr>
                <w:p w14:paraId="7A518B48">
                  <w:pPr>
                    <w:snapToGrid w:val="0"/>
                    <w:jc w:val="center"/>
                    <w:rPr>
                      <w:szCs w:val="21"/>
                    </w:rPr>
                  </w:pPr>
                  <w:r>
                    <w:rPr>
                      <w:rFonts w:hint="eastAsia"/>
                      <w:szCs w:val="21"/>
                    </w:rPr>
                    <w:t>《玻璃工业大气污染物排放标准》（GB26453-2022）表1、表B.1</w:t>
                  </w:r>
                </w:p>
              </w:tc>
              <w:tc>
                <w:tcPr>
                  <w:tcW w:w="992" w:type="dxa"/>
                  <w:vMerge w:val="restart"/>
                  <w:tcMar>
                    <w:top w:w="85" w:type="dxa"/>
                    <w:bottom w:w="85" w:type="dxa"/>
                  </w:tcMar>
                  <w:vAlign w:val="center"/>
                </w:tcPr>
                <w:p w14:paraId="78E16CE6">
                  <w:pPr>
                    <w:snapToGrid w:val="0"/>
                    <w:jc w:val="center"/>
                    <w:rPr>
                      <w:szCs w:val="21"/>
                    </w:rPr>
                  </w:pPr>
                  <w:r>
                    <w:rPr>
                      <w:szCs w:val="21"/>
                    </w:rPr>
                    <w:t>非甲烷总烃</w:t>
                  </w:r>
                </w:p>
              </w:tc>
              <w:tc>
                <w:tcPr>
                  <w:tcW w:w="2772" w:type="dxa"/>
                  <w:gridSpan w:val="2"/>
                  <w:tcMar>
                    <w:top w:w="85" w:type="dxa"/>
                    <w:bottom w:w="85" w:type="dxa"/>
                  </w:tcMar>
                  <w:vAlign w:val="center"/>
                </w:tcPr>
                <w:p w14:paraId="23A00DBE">
                  <w:pPr>
                    <w:snapToGrid w:val="0"/>
                    <w:jc w:val="center"/>
                    <w:rPr>
                      <w:szCs w:val="21"/>
                    </w:rPr>
                  </w:pPr>
                  <w:r>
                    <w:rPr>
                      <w:szCs w:val="21"/>
                    </w:rPr>
                    <w:t>有组织排放浓度</w:t>
                  </w:r>
                </w:p>
              </w:tc>
              <w:tc>
                <w:tcPr>
                  <w:tcW w:w="1103" w:type="dxa"/>
                  <w:vAlign w:val="center"/>
                </w:tcPr>
                <w:p w14:paraId="2DBA463C">
                  <w:pPr>
                    <w:snapToGrid w:val="0"/>
                    <w:jc w:val="center"/>
                    <w:rPr>
                      <w:szCs w:val="21"/>
                    </w:rPr>
                  </w:pPr>
                  <w:r>
                    <w:rPr>
                      <w:rFonts w:hint="eastAsia"/>
                      <w:szCs w:val="21"/>
                    </w:rPr>
                    <w:t>8</w:t>
                  </w:r>
                  <w:r>
                    <w:rPr>
                      <w:szCs w:val="21"/>
                    </w:rPr>
                    <w:t>0mg/m</w:t>
                  </w:r>
                  <w:r>
                    <w:rPr>
                      <w:szCs w:val="21"/>
                      <w:vertAlign w:val="superscript"/>
                    </w:rPr>
                    <w:t>3</w:t>
                  </w:r>
                </w:p>
              </w:tc>
            </w:tr>
            <w:tr w14:paraId="0FE84F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4" w:hRule="atLeast"/>
                <w:jc w:val="center"/>
              </w:trPr>
              <w:tc>
                <w:tcPr>
                  <w:tcW w:w="488" w:type="dxa"/>
                  <w:vMerge w:val="continue"/>
                  <w:tcMar>
                    <w:top w:w="85" w:type="dxa"/>
                    <w:bottom w:w="85" w:type="dxa"/>
                  </w:tcMar>
                  <w:vAlign w:val="center"/>
                </w:tcPr>
                <w:p w14:paraId="7EFE2B64">
                  <w:pPr>
                    <w:snapToGrid w:val="0"/>
                    <w:jc w:val="center"/>
                    <w:rPr>
                      <w:szCs w:val="21"/>
                    </w:rPr>
                  </w:pPr>
                </w:p>
              </w:tc>
              <w:tc>
                <w:tcPr>
                  <w:tcW w:w="2552" w:type="dxa"/>
                  <w:vMerge w:val="continue"/>
                  <w:tcMar>
                    <w:top w:w="85" w:type="dxa"/>
                    <w:bottom w:w="85" w:type="dxa"/>
                  </w:tcMar>
                  <w:vAlign w:val="center"/>
                </w:tcPr>
                <w:p w14:paraId="17DD89B4">
                  <w:pPr>
                    <w:snapToGrid w:val="0"/>
                    <w:jc w:val="center"/>
                    <w:rPr>
                      <w:szCs w:val="21"/>
                    </w:rPr>
                  </w:pPr>
                </w:p>
              </w:tc>
              <w:tc>
                <w:tcPr>
                  <w:tcW w:w="992" w:type="dxa"/>
                  <w:vMerge w:val="continue"/>
                  <w:tcMar>
                    <w:top w:w="85" w:type="dxa"/>
                    <w:bottom w:w="85" w:type="dxa"/>
                  </w:tcMar>
                  <w:vAlign w:val="center"/>
                </w:tcPr>
                <w:p w14:paraId="50E65CC7">
                  <w:pPr>
                    <w:snapToGrid w:val="0"/>
                    <w:jc w:val="center"/>
                    <w:rPr>
                      <w:szCs w:val="21"/>
                    </w:rPr>
                  </w:pPr>
                </w:p>
              </w:tc>
              <w:tc>
                <w:tcPr>
                  <w:tcW w:w="2772" w:type="dxa"/>
                  <w:gridSpan w:val="2"/>
                  <w:tcMar>
                    <w:top w:w="85" w:type="dxa"/>
                    <w:bottom w:w="85" w:type="dxa"/>
                  </w:tcMar>
                  <w:vAlign w:val="center"/>
                </w:tcPr>
                <w:p w14:paraId="1321BEE4">
                  <w:pPr>
                    <w:snapToGrid w:val="0"/>
                    <w:jc w:val="center"/>
                    <w:rPr>
                      <w:szCs w:val="21"/>
                    </w:rPr>
                  </w:pPr>
                  <w:r>
                    <w:rPr>
                      <w:szCs w:val="21"/>
                    </w:rPr>
                    <w:t>处理效率</w:t>
                  </w:r>
                </w:p>
              </w:tc>
              <w:tc>
                <w:tcPr>
                  <w:tcW w:w="1103" w:type="dxa"/>
                  <w:vAlign w:val="center"/>
                </w:tcPr>
                <w:p w14:paraId="7AB68C4C">
                  <w:pPr>
                    <w:snapToGrid w:val="0"/>
                    <w:jc w:val="center"/>
                    <w:rPr>
                      <w:szCs w:val="21"/>
                    </w:rPr>
                  </w:pPr>
                  <w:r>
                    <w:rPr>
                      <w:szCs w:val="21"/>
                    </w:rPr>
                    <w:t>≥</w:t>
                  </w:r>
                  <w:r>
                    <w:rPr>
                      <w:rFonts w:hint="eastAsia"/>
                      <w:szCs w:val="21"/>
                    </w:rPr>
                    <w:t>80%</w:t>
                  </w:r>
                </w:p>
              </w:tc>
            </w:tr>
            <w:tr w14:paraId="484965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488" w:type="dxa"/>
                  <w:vMerge w:val="continue"/>
                  <w:tcMar>
                    <w:top w:w="85" w:type="dxa"/>
                    <w:bottom w:w="85" w:type="dxa"/>
                  </w:tcMar>
                  <w:vAlign w:val="center"/>
                </w:tcPr>
                <w:p w14:paraId="665AE34B">
                  <w:pPr>
                    <w:snapToGrid w:val="0"/>
                    <w:jc w:val="center"/>
                    <w:rPr>
                      <w:szCs w:val="21"/>
                    </w:rPr>
                  </w:pPr>
                </w:p>
              </w:tc>
              <w:tc>
                <w:tcPr>
                  <w:tcW w:w="2552" w:type="dxa"/>
                  <w:vMerge w:val="continue"/>
                  <w:tcMar>
                    <w:top w:w="85" w:type="dxa"/>
                    <w:bottom w:w="85" w:type="dxa"/>
                  </w:tcMar>
                  <w:vAlign w:val="center"/>
                </w:tcPr>
                <w:p w14:paraId="469C64A8">
                  <w:pPr>
                    <w:snapToGrid w:val="0"/>
                    <w:jc w:val="center"/>
                    <w:rPr>
                      <w:szCs w:val="21"/>
                    </w:rPr>
                  </w:pPr>
                </w:p>
              </w:tc>
              <w:tc>
                <w:tcPr>
                  <w:tcW w:w="992" w:type="dxa"/>
                  <w:vMerge w:val="continue"/>
                  <w:tcMar>
                    <w:top w:w="85" w:type="dxa"/>
                    <w:bottom w:w="85" w:type="dxa"/>
                  </w:tcMar>
                  <w:vAlign w:val="center"/>
                </w:tcPr>
                <w:p w14:paraId="436BAB8A">
                  <w:pPr>
                    <w:snapToGrid w:val="0"/>
                    <w:jc w:val="center"/>
                    <w:rPr>
                      <w:szCs w:val="21"/>
                    </w:rPr>
                  </w:pPr>
                </w:p>
              </w:tc>
              <w:tc>
                <w:tcPr>
                  <w:tcW w:w="1182" w:type="dxa"/>
                  <w:vMerge w:val="restart"/>
                  <w:tcMar>
                    <w:top w:w="85" w:type="dxa"/>
                    <w:bottom w:w="85" w:type="dxa"/>
                  </w:tcMar>
                  <w:vAlign w:val="center"/>
                </w:tcPr>
                <w:p w14:paraId="39E24AE0">
                  <w:pPr>
                    <w:snapToGrid w:val="0"/>
                    <w:jc w:val="center"/>
                    <w:rPr>
                      <w:szCs w:val="21"/>
                    </w:rPr>
                  </w:pPr>
                  <w:r>
                    <w:rPr>
                      <w:szCs w:val="21"/>
                    </w:rPr>
                    <w:t>无组织排放监控浓度限值</w:t>
                  </w:r>
                  <w:r>
                    <w:rPr>
                      <w:rFonts w:hint="eastAsia"/>
                      <w:szCs w:val="21"/>
                    </w:rPr>
                    <w:t>（在厂房外设置监控点）</w:t>
                  </w:r>
                </w:p>
              </w:tc>
              <w:tc>
                <w:tcPr>
                  <w:tcW w:w="1590" w:type="dxa"/>
                  <w:vAlign w:val="center"/>
                </w:tcPr>
                <w:p w14:paraId="3B363C64">
                  <w:pPr>
                    <w:snapToGrid w:val="0"/>
                    <w:jc w:val="center"/>
                    <w:rPr>
                      <w:szCs w:val="21"/>
                    </w:rPr>
                  </w:pPr>
                  <w:r>
                    <w:rPr>
                      <w:szCs w:val="21"/>
                    </w:rPr>
                    <w:t>监控点处</w:t>
                  </w:r>
                  <w:r>
                    <w:rPr>
                      <w:rFonts w:hint="eastAsia"/>
                      <w:szCs w:val="21"/>
                    </w:rPr>
                    <w:t>1h平均浓度值</w:t>
                  </w:r>
                </w:p>
              </w:tc>
              <w:tc>
                <w:tcPr>
                  <w:tcW w:w="1103" w:type="dxa"/>
                  <w:vAlign w:val="center"/>
                </w:tcPr>
                <w:p w14:paraId="18052954">
                  <w:pPr>
                    <w:snapToGrid w:val="0"/>
                    <w:jc w:val="center"/>
                    <w:rPr>
                      <w:szCs w:val="21"/>
                    </w:rPr>
                  </w:pPr>
                  <w:r>
                    <w:rPr>
                      <w:rFonts w:hint="eastAsia"/>
                      <w:szCs w:val="21"/>
                    </w:rPr>
                    <w:t>5</w:t>
                  </w:r>
                  <w:r>
                    <w:rPr>
                      <w:szCs w:val="21"/>
                    </w:rPr>
                    <w:t>mg/m</w:t>
                  </w:r>
                  <w:r>
                    <w:rPr>
                      <w:szCs w:val="21"/>
                      <w:vertAlign w:val="superscript"/>
                    </w:rPr>
                    <w:t>3</w:t>
                  </w:r>
                </w:p>
              </w:tc>
            </w:tr>
            <w:tr w14:paraId="3C8BD4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1" w:hRule="atLeast"/>
                <w:jc w:val="center"/>
              </w:trPr>
              <w:tc>
                <w:tcPr>
                  <w:tcW w:w="488" w:type="dxa"/>
                  <w:vMerge w:val="continue"/>
                  <w:tcMar>
                    <w:top w:w="85" w:type="dxa"/>
                    <w:bottom w:w="85" w:type="dxa"/>
                  </w:tcMar>
                  <w:vAlign w:val="center"/>
                </w:tcPr>
                <w:p w14:paraId="202B4204">
                  <w:pPr>
                    <w:snapToGrid w:val="0"/>
                    <w:jc w:val="center"/>
                    <w:rPr>
                      <w:szCs w:val="21"/>
                    </w:rPr>
                  </w:pPr>
                </w:p>
              </w:tc>
              <w:tc>
                <w:tcPr>
                  <w:tcW w:w="2552" w:type="dxa"/>
                  <w:vMerge w:val="continue"/>
                  <w:tcMar>
                    <w:top w:w="85" w:type="dxa"/>
                    <w:bottom w:w="85" w:type="dxa"/>
                  </w:tcMar>
                  <w:vAlign w:val="center"/>
                </w:tcPr>
                <w:p w14:paraId="5810D48D">
                  <w:pPr>
                    <w:snapToGrid w:val="0"/>
                    <w:jc w:val="center"/>
                    <w:rPr>
                      <w:szCs w:val="21"/>
                    </w:rPr>
                  </w:pPr>
                </w:p>
              </w:tc>
              <w:tc>
                <w:tcPr>
                  <w:tcW w:w="992" w:type="dxa"/>
                  <w:vMerge w:val="continue"/>
                  <w:tcMar>
                    <w:top w:w="85" w:type="dxa"/>
                    <w:bottom w:w="85" w:type="dxa"/>
                  </w:tcMar>
                  <w:vAlign w:val="center"/>
                </w:tcPr>
                <w:p w14:paraId="1C3367CB">
                  <w:pPr>
                    <w:snapToGrid w:val="0"/>
                    <w:jc w:val="center"/>
                    <w:rPr>
                      <w:szCs w:val="21"/>
                    </w:rPr>
                  </w:pPr>
                </w:p>
              </w:tc>
              <w:tc>
                <w:tcPr>
                  <w:tcW w:w="1182" w:type="dxa"/>
                  <w:vMerge w:val="continue"/>
                  <w:tcMar>
                    <w:top w:w="85" w:type="dxa"/>
                    <w:bottom w:w="85" w:type="dxa"/>
                  </w:tcMar>
                  <w:vAlign w:val="center"/>
                </w:tcPr>
                <w:p w14:paraId="72A57D33">
                  <w:pPr>
                    <w:snapToGrid w:val="0"/>
                    <w:jc w:val="center"/>
                    <w:rPr>
                      <w:szCs w:val="21"/>
                    </w:rPr>
                  </w:pPr>
                </w:p>
              </w:tc>
              <w:tc>
                <w:tcPr>
                  <w:tcW w:w="1590" w:type="dxa"/>
                  <w:vAlign w:val="center"/>
                </w:tcPr>
                <w:p w14:paraId="2813B652">
                  <w:pPr>
                    <w:snapToGrid w:val="0"/>
                    <w:jc w:val="center"/>
                    <w:rPr>
                      <w:szCs w:val="21"/>
                    </w:rPr>
                  </w:pPr>
                  <w:r>
                    <w:rPr>
                      <w:rFonts w:hint="eastAsia"/>
                      <w:szCs w:val="21"/>
                    </w:rPr>
                    <w:t>监控点处任意一次浓度值</w:t>
                  </w:r>
                </w:p>
              </w:tc>
              <w:tc>
                <w:tcPr>
                  <w:tcW w:w="1103" w:type="dxa"/>
                  <w:vAlign w:val="center"/>
                </w:tcPr>
                <w:p w14:paraId="20ECB619">
                  <w:pPr>
                    <w:snapToGrid w:val="0"/>
                    <w:jc w:val="center"/>
                    <w:rPr>
                      <w:szCs w:val="21"/>
                    </w:rPr>
                  </w:pPr>
                  <w:r>
                    <w:rPr>
                      <w:rFonts w:hint="eastAsia"/>
                      <w:szCs w:val="21"/>
                    </w:rPr>
                    <w:t>15</w:t>
                  </w:r>
                  <w:r>
                    <w:rPr>
                      <w:szCs w:val="21"/>
                    </w:rPr>
                    <w:t>mg/m</w:t>
                  </w:r>
                  <w:r>
                    <w:rPr>
                      <w:szCs w:val="21"/>
                      <w:vertAlign w:val="superscript"/>
                    </w:rPr>
                    <w:t>3</w:t>
                  </w:r>
                </w:p>
              </w:tc>
            </w:tr>
            <w:tr w14:paraId="7E9B7A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9" w:hRule="atLeast"/>
                <w:jc w:val="center"/>
              </w:trPr>
              <w:tc>
                <w:tcPr>
                  <w:tcW w:w="488" w:type="dxa"/>
                  <w:vMerge w:val="continue"/>
                  <w:tcMar>
                    <w:top w:w="85" w:type="dxa"/>
                    <w:bottom w:w="85" w:type="dxa"/>
                  </w:tcMar>
                  <w:vAlign w:val="center"/>
                </w:tcPr>
                <w:p w14:paraId="2CE51435">
                  <w:pPr>
                    <w:snapToGrid w:val="0"/>
                    <w:jc w:val="center"/>
                    <w:rPr>
                      <w:szCs w:val="21"/>
                    </w:rPr>
                  </w:pPr>
                </w:p>
              </w:tc>
              <w:tc>
                <w:tcPr>
                  <w:tcW w:w="2552" w:type="dxa"/>
                  <w:vMerge w:val="restart"/>
                  <w:tcMar>
                    <w:top w:w="85" w:type="dxa"/>
                    <w:bottom w:w="85" w:type="dxa"/>
                  </w:tcMar>
                  <w:vAlign w:val="center"/>
                </w:tcPr>
                <w:p w14:paraId="65D8E238">
                  <w:pPr>
                    <w:snapToGrid w:val="0"/>
                    <w:jc w:val="center"/>
                    <w:rPr>
                      <w:szCs w:val="21"/>
                    </w:rPr>
                  </w:pPr>
                  <w:r>
                    <w:rPr>
                      <w:rFonts w:hint="eastAsia"/>
                      <w:szCs w:val="21"/>
                    </w:rPr>
                    <w:t>《关于全省开展工业企业挥发性有机物专项治理工作中排放建议值的通知》（豫环攻坚办〔2017〕162号）</w:t>
                  </w:r>
                </w:p>
              </w:tc>
              <w:tc>
                <w:tcPr>
                  <w:tcW w:w="992" w:type="dxa"/>
                  <w:vMerge w:val="restart"/>
                  <w:tcMar>
                    <w:top w:w="85" w:type="dxa"/>
                    <w:bottom w:w="85" w:type="dxa"/>
                  </w:tcMar>
                  <w:vAlign w:val="center"/>
                </w:tcPr>
                <w:p w14:paraId="20A9CE2E">
                  <w:pPr>
                    <w:snapToGrid w:val="0"/>
                    <w:jc w:val="center"/>
                    <w:rPr>
                      <w:szCs w:val="21"/>
                    </w:rPr>
                  </w:pPr>
                  <w:r>
                    <w:rPr>
                      <w:rFonts w:hint="eastAsia"/>
                      <w:szCs w:val="21"/>
                    </w:rPr>
                    <w:t>非甲烷总烃</w:t>
                  </w:r>
                </w:p>
              </w:tc>
              <w:tc>
                <w:tcPr>
                  <w:tcW w:w="2772" w:type="dxa"/>
                  <w:gridSpan w:val="2"/>
                  <w:tcMar>
                    <w:top w:w="85" w:type="dxa"/>
                    <w:bottom w:w="85" w:type="dxa"/>
                  </w:tcMar>
                  <w:vAlign w:val="center"/>
                </w:tcPr>
                <w:p w14:paraId="7915B5DB">
                  <w:pPr>
                    <w:pStyle w:val="136"/>
                  </w:pPr>
                  <w:r>
                    <w:rPr>
                      <w:rFonts w:hint="eastAsia" w:ascii="宋体" w:hAnsi="宋体"/>
                      <w:color w:val="000000"/>
                    </w:rPr>
                    <w:t>有组织：其他行业有机废气排放口建议值</w:t>
                  </w:r>
                </w:p>
              </w:tc>
              <w:tc>
                <w:tcPr>
                  <w:tcW w:w="1103" w:type="dxa"/>
                  <w:vAlign w:val="center"/>
                </w:tcPr>
                <w:p w14:paraId="7CB51DE7">
                  <w:pPr>
                    <w:snapToGrid w:val="0"/>
                    <w:jc w:val="center"/>
                    <w:rPr>
                      <w:kern w:val="0"/>
                      <w:szCs w:val="21"/>
                    </w:rPr>
                  </w:pPr>
                  <w:r>
                    <w:rPr>
                      <w:rFonts w:hint="eastAsia"/>
                      <w:szCs w:val="21"/>
                    </w:rPr>
                    <w:t>8</w:t>
                  </w:r>
                  <w:r>
                    <w:rPr>
                      <w:szCs w:val="21"/>
                    </w:rPr>
                    <w:t>0mg/m</w:t>
                  </w:r>
                  <w:r>
                    <w:rPr>
                      <w:szCs w:val="21"/>
                      <w:vertAlign w:val="superscript"/>
                    </w:rPr>
                    <w:t>3</w:t>
                  </w:r>
                </w:p>
              </w:tc>
            </w:tr>
            <w:tr w14:paraId="1DDCF7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9" w:hRule="atLeast"/>
                <w:jc w:val="center"/>
              </w:trPr>
              <w:tc>
                <w:tcPr>
                  <w:tcW w:w="488" w:type="dxa"/>
                  <w:vMerge w:val="continue"/>
                  <w:tcMar>
                    <w:top w:w="85" w:type="dxa"/>
                    <w:bottom w:w="85" w:type="dxa"/>
                  </w:tcMar>
                  <w:vAlign w:val="center"/>
                </w:tcPr>
                <w:p w14:paraId="3EC0B613">
                  <w:pPr>
                    <w:snapToGrid w:val="0"/>
                    <w:jc w:val="center"/>
                    <w:rPr>
                      <w:szCs w:val="21"/>
                    </w:rPr>
                  </w:pPr>
                </w:p>
              </w:tc>
              <w:tc>
                <w:tcPr>
                  <w:tcW w:w="2552" w:type="dxa"/>
                  <w:vMerge w:val="continue"/>
                  <w:tcMar>
                    <w:top w:w="85" w:type="dxa"/>
                    <w:bottom w:w="85" w:type="dxa"/>
                  </w:tcMar>
                  <w:vAlign w:val="center"/>
                </w:tcPr>
                <w:p w14:paraId="30C98752">
                  <w:pPr>
                    <w:snapToGrid w:val="0"/>
                    <w:jc w:val="center"/>
                    <w:rPr>
                      <w:szCs w:val="21"/>
                    </w:rPr>
                  </w:pPr>
                </w:p>
              </w:tc>
              <w:tc>
                <w:tcPr>
                  <w:tcW w:w="992" w:type="dxa"/>
                  <w:vMerge w:val="continue"/>
                  <w:tcMar>
                    <w:top w:w="85" w:type="dxa"/>
                    <w:bottom w:w="85" w:type="dxa"/>
                  </w:tcMar>
                  <w:vAlign w:val="center"/>
                </w:tcPr>
                <w:p w14:paraId="3DD78183">
                  <w:pPr>
                    <w:snapToGrid w:val="0"/>
                    <w:jc w:val="center"/>
                    <w:rPr>
                      <w:szCs w:val="21"/>
                    </w:rPr>
                  </w:pPr>
                </w:p>
              </w:tc>
              <w:tc>
                <w:tcPr>
                  <w:tcW w:w="2772" w:type="dxa"/>
                  <w:gridSpan w:val="2"/>
                  <w:tcMar>
                    <w:top w:w="85" w:type="dxa"/>
                    <w:bottom w:w="85" w:type="dxa"/>
                  </w:tcMar>
                  <w:vAlign w:val="center"/>
                </w:tcPr>
                <w:p w14:paraId="13E2C9E8">
                  <w:pPr>
                    <w:snapToGrid w:val="0"/>
                    <w:jc w:val="center"/>
                    <w:rPr>
                      <w:kern w:val="0"/>
                      <w:szCs w:val="21"/>
                    </w:rPr>
                  </w:pPr>
                  <w:r>
                    <w:rPr>
                      <w:rFonts w:hint="eastAsia"/>
                      <w:kern w:val="0"/>
                      <w:szCs w:val="21"/>
                    </w:rPr>
                    <w:t>无组织：工业企业边界挥发性有机物排放建议值</w:t>
                  </w:r>
                </w:p>
              </w:tc>
              <w:tc>
                <w:tcPr>
                  <w:tcW w:w="1103" w:type="dxa"/>
                  <w:vAlign w:val="center"/>
                </w:tcPr>
                <w:p w14:paraId="53E07BD7">
                  <w:pPr>
                    <w:snapToGrid w:val="0"/>
                    <w:jc w:val="center"/>
                    <w:rPr>
                      <w:kern w:val="0"/>
                      <w:szCs w:val="21"/>
                    </w:rPr>
                  </w:pPr>
                  <w:r>
                    <w:rPr>
                      <w:rFonts w:hint="eastAsia"/>
                      <w:szCs w:val="21"/>
                    </w:rPr>
                    <w:t>2.0</w:t>
                  </w:r>
                  <w:r>
                    <w:rPr>
                      <w:szCs w:val="21"/>
                    </w:rPr>
                    <w:t>mg/m</w:t>
                  </w:r>
                  <w:r>
                    <w:rPr>
                      <w:szCs w:val="21"/>
                      <w:vertAlign w:val="superscript"/>
                    </w:rPr>
                    <w:t>3</w:t>
                  </w:r>
                </w:p>
              </w:tc>
            </w:tr>
            <w:tr w14:paraId="3BEAB1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79" w:hRule="atLeast"/>
                <w:jc w:val="center"/>
              </w:trPr>
              <w:tc>
                <w:tcPr>
                  <w:tcW w:w="488" w:type="dxa"/>
                  <w:vMerge w:val="continue"/>
                  <w:tcMar>
                    <w:top w:w="85" w:type="dxa"/>
                    <w:bottom w:w="85" w:type="dxa"/>
                  </w:tcMar>
                  <w:vAlign w:val="center"/>
                </w:tcPr>
                <w:p w14:paraId="2F259ED2">
                  <w:pPr>
                    <w:snapToGrid w:val="0"/>
                    <w:jc w:val="center"/>
                    <w:rPr>
                      <w:szCs w:val="21"/>
                    </w:rPr>
                  </w:pPr>
                </w:p>
              </w:tc>
              <w:tc>
                <w:tcPr>
                  <w:tcW w:w="2552" w:type="dxa"/>
                  <w:tcMar>
                    <w:top w:w="85" w:type="dxa"/>
                    <w:bottom w:w="85" w:type="dxa"/>
                  </w:tcMar>
                  <w:vAlign w:val="center"/>
                </w:tcPr>
                <w:p w14:paraId="507CF60F">
                  <w:pPr>
                    <w:snapToGrid w:val="0"/>
                    <w:jc w:val="center"/>
                    <w:rPr>
                      <w:szCs w:val="21"/>
                    </w:rPr>
                  </w:pPr>
                  <w:r>
                    <w:rPr>
                      <w:rFonts w:hint="eastAsia"/>
                      <w:szCs w:val="21"/>
                    </w:rPr>
                    <w:t>《重污染天气重点行业应急减排措施制定技术指南（2020年修订版）》（环办大气函〔2020〕340号）玻璃后加工企业引领性指标要求</w:t>
                  </w:r>
                </w:p>
              </w:tc>
              <w:tc>
                <w:tcPr>
                  <w:tcW w:w="992" w:type="dxa"/>
                  <w:tcMar>
                    <w:top w:w="85" w:type="dxa"/>
                    <w:bottom w:w="85" w:type="dxa"/>
                  </w:tcMar>
                  <w:vAlign w:val="center"/>
                </w:tcPr>
                <w:p w14:paraId="29F36DAB">
                  <w:pPr>
                    <w:snapToGrid w:val="0"/>
                    <w:jc w:val="center"/>
                    <w:rPr>
                      <w:szCs w:val="21"/>
                    </w:rPr>
                  </w:pPr>
                  <w:r>
                    <w:rPr>
                      <w:rFonts w:hint="eastAsia"/>
                      <w:szCs w:val="21"/>
                    </w:rPr>
                    <w:t>NMHC</w:t>
                  </w:r>
                </w:p>
              </w:tc>
              <w:tc>
                <w:tcPr>
                  <w:tcW w:w="3875" w:type="dxa"/>
                  <w:gridSpan w:val="3"/>
                  <w:tcMar>
                    <w:top w:w="85" w:type="dxa"/>
                    <w:bottom w:w="85" w:type="dxa"/>
                  </w:tcMar>
                  <w:vAlign w:val="center"/>
                </w:tcPr>
                <w:p w14:paraId="5036BB3F">
                  <w:pPr>
                    <w:snapToGrid w:val="0"/>
                    <w:jc w:val="center"/>
                    <w:rPr>
                      <w:kern w:val="0"/>
                      <w:szCs w:val="21"/>
                    </w:rPr>
                  </w:pPr>
                  <w:r>
                    <w:rPr>
                      <w:rFonts w:hint="eastAsia"/>
                      <w:kern w:val="0"/>
                      <w:szCs w:val="21"/>
                    </w:rPr>
                    <w:t>排放浓度不高于60</w:t>
                  </w:r>
                  <w:r>
                    <w:rPr>
                      <w:szCs w:val="21"/>
                    </w:rPr>
                    <w:t>mg/m</w:t>
                  </w:r>
                  <w:r>
                    <w:rPr>
                      <w:szCs w:val="21"/>
                      <w:vertAlign w:val="superscript"/>
                    </w:rPr>
                    <w:t>3</w:t>
                  </w:r>
                </w:p>
              </w:tc>
            </w:tr>
            <w:tr w14:paraId="5412E1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4" w:hRule="atLeast"/>
                <w:jc w:val="center"/>
              </w:trPr>
              <w:tc>
                <w:tcPr>
                  <w:tcW w:w="488" w:type="dxa"/>
                  <w:vMerge w:val="continue"/>
                  <w:tcMar>
                    <w:top w:w="85" w:type="dxa"/>
                    <w:bottom w:w="85" w:type="dxa"/>
                  </w:tcMar>
                  <w:vAlign w:val="center"/>
                </w:tcPr>
                <w:p w14:paraId="535D3A12">
                  <w:pPr>
                    <w:snapToGrid w:val="0"/>
                    <w:jc w:val="center"/>
                    <w:rPr>
                      <w:szCs w:val="21"/>
                    </w:rPr>
                  </w:pPr>
                </w:p>
              </w:tc>
              <w:tc>
                <w:tcPr>
                  <w:tcW w:w="2552" w:type="dxa"/>
                  <w:vMerge w:val="restart"/>
                  <w:tcMar>
                    <w:top w:w="85" w:type="dxa"/>
                    <w:bottom w:w="85" w:type="dxa"/>
                  </w:tcMar>
                  <w:vAlign w:val="center"/>
                </w:tcPr>
                <w:p w14:paraId="27B3FA36">
                  <w:pPr>
                    <w:snapToGrid w:val="0"/>
                    <w:jc w:val="center"/>
                    <w:rPr>
                      <w:rFonts w:hint="default" w:eastAsia="宋体"/>
                      <w:szCs w:val="21"/>
                      <w:u w:val="single"/>
                      <w:lang w:val="en-US" w:eastAsia="zh-CN"/>
                    </w:rPr>
                  </w:pPr>
                  <w:r>
                    <w:rPr>
                      <w:rFonts w:hint="eastAsia"/>
                      <w:szCs w:val="21"/>
                      <w:u w:val="single"/>
                      <w:lang w:val="en-US" w:eastAsia="zh-CN"/>
                    </w:rPr>
                    <w:t>本项目标准限值</w:t>
                  </w:r>
                </w:p>
              </w:tc>
              <w:tc>
                <w:tcPr>
                  <w:tcW w:w="992" w:type="dxa"/>
                  <w:vMerge w:val="restart"/>
                  <w:tcMar>
                    <w:top w:w="85" w:type="dxa"/>
                    <w:bottom w:w="85" w:type="dxa"/>
                  </w:tcMar>
                  <w:vAlign w:val="center"/>
                </w:tcPr>
                <w:p w14:paraId="64E91725">
                  <w:pPr>
                    <w:snapToGrid w:val="0"/>
                    <w:jc w:val="center"/>
                    <w:rPr>
                      <w:rFonts w:hint="eastAsia" w:eastAsia="宋体"/>
                      <w:szCs w:val="21"/>
                      <w:u w:val="single"/>
                      <w:lang w:val="en-US" w:eastAsia="zh-CN"/>
                    </w:rPr>
                  </w:pPr>
                  <w:r>
                    <w:rPr>
                      <w:rFonts w:hint="eastAsia"/>
                      <w:szCs w:val="21"/>
                      <w:u w:val="single"/>
                      <w:lang w:val="en-US" w:eastAsia="zh-CN"/>
                    </w:rPr>
                    <w:t>非甲烷总烃</w:t>
                  </w:r>
                </w:p>
              </w:tc>
              <w:tc>
                <w:tcPr>
                  <w:tcW w:w="1182" w:type="dxa"/>
                  <w:tcMar>
                    <w:top w:w="85" w:type="dxa"/>
                    <w:bottom w:w="85" w:type="dxa"/>
                  </w:tcMar>
                  <w:vAlign w:val="center"/>
                </w:tcPr>
                <w:p w14:paraId="19BFEC0A">
                  <w:pPr>
                    <w:snapToGrid w:val="0"/>
                    <w:jc w:val="center"/>
                    <w:rPr>
                      <w:rFonts w:hint="eastAsia" w:eastAsia="宋体"/>
                      <w:kern w:val="0"/>
                      <w:szCs w:val="21"/>
                      <w:u w:val="single"/>
                      <w:lang w:val="en-US" w:eastAsia="zh-CN"/>
                    </w:rPr>
                  </w:pPr>
                  <w:r>
                    <w:rPr>
                      <w:rFonts w:hint="eastAsia"/>
                      <w:kern w:val="0"/>
                      <w:szCs w:val="21"/>
                      <w:u w:val="single"/>
                      <w:lang w:val="en-US" w:eastAsia="zh-CN"/>
                    </w:rPr>
                    <w:t>有组织</w:t>
                  </w:r>
                </w:p>
              </w:tc>
              <w:tc>
                <w:tcPr>
                  <w:tcW w:w="2693" w:type="dxa"/>
                  <w:gridSpan w:val="2"/>
                  <w:tcMar>
                    <w:top w:w="85" w:type="dxa"/>
                    <w:bottom w:w="85" w:type="dxa"/>
                  </w:tcMar>
                  <w:vAlign w:val="center"/>
                </w:tcPr>
                <w:p w14:paraId="7A9D815F">
                  <w:pPr>
                    <w:snapToGrid w:val="0"/>
                    <w:jc w:val="center"/>
                    <w:rPr>
                      <w:rFonts w:hint="eastAsia" w:eastAsia="宋体"/>
                      <w:kern w:val="0"/>
                      <w:szCs w:val="21"/>
                      <w:u w:val="single"/>
                      <w:vertAlign w:val="baseline"/>
                      <w:lang w:eastAsia="zh-CN"/>
                    </w:rPr>
                  </w:pPr>
                  <w:r>
                    <w:rPr>
                      <w:rFonts w:hint="eastAsia"/>
                      <w:kern w:val="0"/>
                      <w:szCs w:val="21"/>
                      <w:u w:val="single"/>
                    </w:rPr>
                    <w:t>排放浓度不高于60</w:t>
                  </w:r>
                  <w:r>
                    <w:rPr>
                      <w:szCs w:val="21"/>
                      <w:u w:val="single"/>
                    </w:rPr>
                    <w:t>mg/m</w:t>
                  </w:r>
                  <w:r>
                    <w:rPr>
                      <w:szCs w:val="21"/>
                      <w:u w:val="single"/>
                      <w:vertAlign w:val="superscript"/>
                    </w:rPr>
                    <w:t>3</w:t>
                  </w:r>
                  <w:r>
                    <w:rPr>
                      <w:rFonts w:hint="eastAsia"/>
                      <w:szCs w:val="21"/>
                      <w:u w:val="single"/>
                      <w:vertAlign w:val="baseline"/>
                      <w:lang w:eastAsia="zh-CN"/>
                    </w:rPr>
                    <w:t>，</w:t>
                  </w:r>
                  <w:r>
                    <w:rPr>
                      <w:rFonts w:hint="eastAsia"/>
                      <w:szCs w:val="21"/>
                      <w:u w:val="single"/>
                      <w:vertAlign w:val="baseline"/>
                      <w:lang w:val="en-US" w:eastAsia="zh-CN"/>
                    </w:rPr>
                    <w:t>处理效率</w:t>
                  </w:r>
                  <w:r>
                    <w:rPr>
                      <w:szCs w:val="21"/>
                    </w:rPr>
                    <w:t>≥</w:t>
                  </w:r>
                  <w:r>
                    <w:rPr>
                      <w:rFonts w:hint="eastAsia"/>
                      <w:szCs w:val="21"/>
                    </w:rPr>
                    <w:t>80%</w:t>
                  </w:r>
                </w:p>
              </w:tc>
            </w:tr>
            <w:tr w14:paraId="6E30A4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4" w:hRule="atLeast"/>
                <w:jc w:val="center"/>
              </w:trPr>
              <w:tc>
                <w:tcPr>
                  <w:tcW w:w="488" w:type="dxa"/>
                  <w:vMerge w:val="continue"/>
                  <w:tcMar>
                    <w:top w:w="85" w:type="dxa"/>
                    <w:bottom w:w="85" w:type="dxa"/>
                  </w:tcMar>
                  <w:vAlign w:val="center"/>
                </w:tcPr>
                <w:p w14:paraId="5EEE8552">
                  <w:pPr>
                    <w:snapToGrid w:val="0"/>
                    <w:jc w:val="center"/>
                  </w:pPr>
                </w:p>
              </w:tc>
              <w:tc>
                <w:tcPr>
                  <w:tcW w:w="2552" w:type="dxa"/>
                  <w:vMerge w:val="continue"/>
                  <w:tcMar>
                    <w:top w:w="85" w:type="dxa"/>
                    <w:bottom w:w="85" w:type="dxa"/>
                  </w:tcMar>
                  <w:vAlign w:val="center"/>
                </w:tcPr>
                <w:p w14:paraId="79827E29">
                  <w:pPr>
                    <w:snapToGrid w:val="0"/>
                    <w:jc w:val="center"/>
                    <w:rPr>
                      <w:u w:val="single"/>
                    </w:rPr>
                  </w:pPr>
                </w:p>
              </w:tc>
              <w:tc>
                <w:tcPr>
                  <w:tcW w:w="992" w:type="dxa"/>
                  <w:vMerge w:val="continue"/>
                  <w:tcMar>
                    <w:top w:w="85" w:type="dxa"/>
                    <w:bottom w:w="85" w:type="dxa"/>
                  </w:tcMar>
                  <w:vAlign w:val="center"/>
                </w:tcPr>
                <w:p w14:paraId="5E3BDD6B">
                  <w:pPr>
                    <w:snapToGrid w:val="0"/>
                    <w:jc w:val="center"/>
                    <w:rPr>
                      <w:u w:val="single"/>
                    </w:rPr>
                  </w:pPr>
                </w:p>
              </w:tc>
              <w:tc>
                <w:tcPr>
                  <w:tcW w:w="1182" w:type="dxa"/>
                  <w:tcMar>
                    <w:top w:w="85" w:type="dxa"/>
                    <w:bottom w:w="85" w:type="dxa"/>
                  </w:tcMar>
                  <w:vAlign w:val="center"/>
                </w:tcPr>
                <w:p w14:paraId="0BD5F267">
                  <w:pPr>
                    <w:snapToGrid w:val="0"/>
                    <w:jc w:val="center"/>
                    <w:rPr>
                      <w:rFonts w:hint="eastAsia" w:eastAsia="宋体"/>
                      <w:u w:val="single"/>
                      <w:lang w:val="en-US" w:eastAsia="zh-CN"/>
                    </w:rPr>
                  </w:pPr>
                  <w:r>
                    <w:rPr>
                      <w:rFonts w:hint="eastAsia"/>
                      <w:u w:val="single"/>
                      <w:lang w:val="en-US" w:eastAsia="zh-CN"/>
                    </w:rPr>
                    <w:t>无组织</w:t>
                  </w:r>
                </w:p>
              </w:tc>
              <w:tc>
                <w:tcPr>
                  <w:tcW w:w="2693" w:type="dxa"/>
                  <w:gridSpan w:val="2"/>
                  <w:tcMar>
                    <w:top w:w="85" w:type="dxa"/>
                    <w:bottom w:w="85" w:type="dxa"/>
                  </w:tcMar>
                  <w:vAlign w:val="center"/>
                </w:tcPr>
                <w:p w14:paraId="2E977C34">
                  <w:pPr>
                    <w:snapToGrid w:val="0"/>
                    <w:jc w:val="center"/>
                    <w:rPr>
                      <w:u w:val="single"/>
                    </w:rPr>
                  </w:pPr>
                  <w:r>
                    <w:rPr>
                      <w:rFonts w:hint="eastAsia"/>
                      <w:kern w:val="0"/>
                      <w:szCs w:val="21"/>
                      <w:u w:val="single"/>
                    </w:rPr>
                    <w:t>工业企业边界挥发性有机物排放建议值</w:t>
                  </w:r>
                  <w:r>
                    <w:rPr>
                      <w:rFonts w:hint="eastAsia"/>
                      <w:szCs w:val="21"/>
                      <w:u w:val="single"/>
                    </w:rPr>
                    <w:t>2.0</w:t>
                  </w:r>
                  <w:r>
                    <w:rPr>
                      <w:rFonts w:hint="default"/>
                      <w:szCs w:val="21"/>
                      <w:u w:val="single"/>
                    </w:rPr>
                    <w:t>mg/m</w:t>
                  </w:r>
                  <w:r>
                    <w:rPr>
                      <w:rFonts w:hint="default"/>
                      <w:szCs w:val="21"/>
                      <w:u w:val="single"/>
                      <w:vertAlign w:val="superscript"/>
                    </w:rPr>
                    <w:t>3</w:t>
                  </w:r>
                  <w:r>
                    <w:rPr>
                      <w:rFonts w:hint="eastAsia"/>
                      <w:szCs w:val="21"/>
                      <w:u w:val="single"/>
                      <w:vertAlign w:val="baseline"/>
                      <w:lang w:eastAsia="zh-CN"/>
                    </w:rPr>
                    <w:t>；</w:t>
                  </w:r>
                  <w:r>
                    <w:rPr>
                      <w:rFonts w:hint="default"/>
                      <w:u w:val="single"/>
                    </w:rPr>
                    <w:t>厂区内无组织排放监控点NMHC的小时平均浓度值不超过</w:t>
                  </w:r>
                  <w:r>
                    <w:rPr>
                      <w:rFonts w:hint="eastAsia"/>
                      <w:u w:val="single"/>
                      <w:lang w:val="en-US" w:eastAsia="zh-CN"/>
                    </w:rPr>
                    <w:t>5</w:t>
                  </w:r>
                  <w:r>
                    <w:rPr>
                      <w:rFonts w:hint="default"/>
                      <w:u w:val="single"/>
                    </w:rPr>
                    <w:t>mg/m</w:t>
                  </w:r>
                  <w:r>
                    <w:rPr>
                      <w:rFonts w:hint="default"/>
                      <w:u w:val="single"/>
                      <w:vertAlign w:val="superscript"/>
                    </w:rPr>
                    <w:t>3</w:t>
                  </w:r>
                  <w:r>
                    <w:rPr>
                      <w:rFonts w:hint="default"/>
                      <w:u w:val="single"/>
                    </w:rPr>
                    <w:t>、任意一次浓度值不超过</w:t>
                  </w:r>
                  <w:r>
                    <w:rPr>
                      <w:rFonts w:hint="eastAsia"/>
                      <w:u w:val="single"/>
                      <w:lang w:val="en-US" w:eastAsia="zh-CN"/>
                    </w:rPr>
                    <w:t>15</w:t>
                  </w:r>
                  <w:r>
                    <w:rPr>
                      <w:rFonts w:hint="default"/>
                      <w:u w:val="single"/>
                    </w:rPr>
                    <w:t>mg/m</w:t>
                  </w:r>
                  <w:r>
                    <w:rPr>
                      <w:rFonts w:hint="default"/>
                      <w:u w:val="single"/>
                      <w:vertAlign w:val="superscript"/>
                    </w:rPr>
                    <w:t>3</w:t>
                  </w:r>
                </w:p>
              </w:tc>
            </w:tr>
          </w:tbl>
          <w:p w14:paraId="6A12C042">
            <w:pPr>
              <w:spacing w:line="360" w:lineRule="auto"/>
              <w:ind w:firstLine="482" w:firstLineChars="200"/>
              <w:rPr>
                <w:b/>
                <w:sz w:val="24"/>
              </w:rPr>
            </w:pPr>
            <w:r>
              <w:rPr>
                <w:rFonts w:hint="eastAsia"/>
                <w:b/>
                <w:sz w:val="24"/>
              </w:rPr>
              <w:t>二</w:t>
            </w:r>
            <w:r>
              <w:rPr>
                <w:b/>
                <w:sz w:val="24"/>
              </w:rPr>
              <w:t>、废水</w:t>
            </w:r>
          </w:p>
          <w:p w14:paraId="27A3905A">
            <w:pPr>
              <w:spacing w:line="360" w:lineRule="auto"/>
              <w:ind w:firstLine="480" w:firstLineChars="200"/>
              <w:rPr>
                <w:sz w:val="24"/>
              </w:rPr>
            </w:pPr>
            <w:r>
              <w:rPr>
                <w:rFonts w:hint="eastAsia"/>
                <w:sz w:val="24"/>
              </w:rPr>
              <w:t>项目废水排放执行《污水综合排放标准》（GB8978-1996）表4三级标准及清丰中州水务有限公司第二污水处理厂收水水质要求，具体如下：</w:t>
            </w:r>
          </w:p>
          <w:p w14:paraId="2B305FF9">
            <w:pPr>
              <w:pStyle w:val="19"/>
              <w:numPr>
                <w:ilvl w:val="0"/>
                <w:numId w:val="6"/>
              </w:numPr>
              <w:spacing w:before="0" w:after="0" w:line="360" w:lineRule="auto"/>
              <w:ind w:right="0"/>
              <w:jc w:val="center"/>
              <w:rPr>
                <w:b/>
                <w:sz w:val="21"/>
                <w:szCs w:val="21"/>
              </w:rPr>
            </w:pPr>
            <w:r>
              <w:rPr>
                <w:rFonts w:hint="eastAsia"/>
                <w:b/>
                <w:sz w:val="21"/>
                <w:szCs w:val="21"/>
              </w:rPr>
              <w:t>废水污染物排放标准一览表  单位</w:t>
            </w:r>
            <w:r>
              <w:rPr>
                <w:b/>
                <w:sz w:val="21"/>
                <w:szCs w:val="21"/>
              </w:rPr>
              <w:t>:mg/l</w:t>
            </w:r>
            <w:r>
              <w:rPr>
                <w:rFonts w:hint="eastAsia"/>
                <w:b/>
                <w:sz w:val="21"/>
                <w:szCs w:val="21"/>
              </w:rPr>
              <w:t>（</w:t>
            </w:r>
            <w:r>
              <w:rPr>
                <w:b/>
                <w:sz w:val="21"/>
                <w:szCs w:val="21"/>
              </w:rPr>
              <w:t xml:space="preserve">pH </w:t>
            </w:r>
            <w:r>
              <w:rPr>
                <w:rFonts w:hint="eastAsia"/>
                <w:b/>
                <w:sz w:val="21"/>
                <w:szCs w:val="21"/>
              </w:rPr>
              <w:t>除外）</w:t>
            </w:r>
          </w:p>
          <w:p w14:paraId="6C0EA62D">
            <w:pPr>
              <w:widowControl/>
              <w:kinsoku w:val="0"/>
              <w:autoSpaceDE w:val="0"/>
              <w:autoSpaceDN w:val="0"/>
              <w:adjustRightInd w:val="0"/>
              <w:snapToGrid w:val="0"/>
              <w:spacing w:line="28" w:lineRule="exact"/>
              <w:jc w:val="left"/>
              <w:textAlignment w:val="baseline"/>
              <w:rPr>
                <w:rFonts w:ascii="Arial" w:hAnsi="Arial" w:cs="Arial"/>
                <w:kern w:val="0"/>
                <w:szCs w:val="21"/>
              </w:rPr>
            </w:pPr>
            <w:r>
              <w:rPr>
                <w:rFonts w:ascii="Arial" w:hAnsi="Arial" w:cs="Arial"/>
                <w:kern w:val="0"/>
                <w:szCs w:val="21"/>
              </w:rPr>
              <w:t xml:space="preserve"> </w:t>
            </w:r>
          </w:p>
          <w:tbl>
            <w:tblPr>
              <w:tblStyle w:val="38"/>
              <w:tblW w:w="7941"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4049"/>
              <w:gridCol w:w="1950"/>
              <w:gridCol w:w="1942"/>
            </w:tblGrid>
            <w:tr w14:paraId="3C6C68B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9" w:hRule="atLeast"/>
                <w:jc w:val="center"/>
              </w:trPr>
              <w:tc>
                <w:tcPr>
                  <w:tcW w:w="4049" w:type="dxa"/>
                  <w:vAlign w:val="center"/>
                </w:tcPr>
                <w:p w14:paraId="55135A01">
                  <w:pPr>
                    <w:widowControl/>
                    <w:kinsoku w:val="0"/>
                    <w:autoSpaceDE w:val="0"/>
                    <w:autoSpaceDN w:val="0"/>
                    <w:adjustRightInd w:val="0"/>
                    <w:snapToGrid w:val="0"/>
                    <w:jc w:val="center"/>
                    <w:textAlignment w:val="baseline"/>
                    <w:rPr>
                      <w:rFonts w:ascii="宋体" w:hAnsi="宋体" w:eastAsia="Times New Roman"/>
                      <w:b/>
                      <w:kern w:val="0"/>
                      <w:szCs w:val="21"/>
                    </w:rPr>
                  </w:pPr>
                  <w:r>
                    <w:rPr>
                      <w:rFonts w:hint="eastAsia" w:ascii="宋体" w:hAnsi="宋体" w:eastAsia="Times New Roman"/>
                      <w:b/>
                      <w:kern w:val="0"/>
                      <w:szCs w:val="21"/>
                    </w:rPr>
                    <w:t>标准名称及级（类）别</w:t>
                  </w:r>
                </w:p>
              </w:tc>
              <w:tc>
                <w:tcPr>
                  <w:tcW w:w="1950" w:type="dxa"/>
                  <w:vAlign w:val="center"/>
                </w:tcPr>
                <w:p w14:paraId="2CCE3018">
                  <w:pPr>
                    <w:widowControl/>
                    <w:kinsoku w:val="0"/>
                    <w:autoSpaceDE w:val="0"/>
                    <w:autoSpaceDN w:val="0"/>
                    <w:adjustRightInd w:val="0"/>
                    <w:snapToGrid w:val="0"/>
                    <w:jc w:val="center"/>
                    <w:textAlignment w:val="baseline"/>
                    <w:rPr>
                      <w:rFonts w:ascii="宋体" w:hAnsi="宋体" w:eastAsia="Times New Roman"/>
                      <w:b/>
                      <w:kern w:val="0"/>
                      <w:szCs w:val="21"/>
                    </w:rPr>
                  </w:pPr>
                  <w:r>
                    <w:rPr>
                      <w:rFonts w:hint="eastAsia" w:ascii="宋体" w:hAnsi="宋体" w:eastAsia="Times New Roman"/>
                      <w:b/>
                      <w:kern w:val="0"/>
                      <w:szCs w:val="21"/>
                    </w:rPr>
                    <w:t>污染因子</w:t>
                  </w:r>
                </w:p>
              </w:tc>
              <w:tc>
                <w:tcPr>
                  <w:tcW w:w="1942" w:type="dxa"/>
                  <w:vAlign w:val="center"/>
                </w:tcPr>
                <w:p w14:paraId="319A7246">
                  <w:pPr>
                    <w:widowControl/>
                    <w:kinsoku w:val="0"/>
                    <w:autoSpaceDE w:val="0"/>
                    <w:autoSpaceDN w:val="0"/>
                    <w:adjustRightInd w:val="0"/>
                    <w:snapToGrid w:val="0"/>
                    <w:jc w:val="center"/>
                    <w:textAlignment w:val="baseline"/>
                    <w:rPr>
                      <w:rFonts w:ascii="宋体" w:hAnsi="宋体" w:eastAsia="Times New Roman"/>
                      <w:b/>
                      <w:kern w:val="0"/>
                      <w:szCs w:val="21"/>
                    </w:rPr>
                  </w:pPr>
                  <w:r>
                    <w:rPr>
                      <w:rFonts w:hint="eastAsia" w:ascii="宋体" w:hAnsi="宋体" w:eastAsia="Times New Roman"/>
                      <w:b/>
                      <w:kern w:val="0"/>
                      <w:szCs w:val="21"/>
                    </w:rPr>
                    <w:t>标准限值</w:t>
                  </w:r>
                </w:p>
              </w:tc>
            </w:tr>
            <w:tr w14:paraId="49FFB26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4049" w:type="dxa"/>
                  <w:vMerge w:val="restart"/>
                  <w:vAlign w:val="center"/>
                </w:tcPr>
                <w:p w14:paraId="37FB1326">
                  <w:pPr>
                    <w:widowControl/>
                    <w:kinsoku w:val="0"/>
                    <w:autoSpaceDE w:val="0"/>
                    <w:autoSpaceDN w:val="0"/>
                    <w:adjustRightInd w:val="0"/>
                    <w:snapToGrid w:val="0"/>
                    <w:jc w:val="center"/>
                    <w:textAlignment w:val="baseline"/>
                    <w:rPr>
                      <w:rFonts w:eastAsiaTheme="minorEastAsia"/>
                      <w:kern w:val="0"/>
                      <w:szCs w:val="21"/>
                    </w:rPr>
                  </w:pPr>
                  <w:r>
                    <w:rPr>
                      <w:rFonts w:hint="eastAsia" w:eastAsiaTheme="minorEastAsia"/>
                      <w:kern w:val="0"/>
                      <w:szCs w:val="21"/>
                    </w:rPr>
                    <w:t>《污水综合排放标准》（GB8978-1996）表4三级标准</w:t>
                  </w:r>
                </w:p>
              </w:tc>
              <w:tc>
                <w:tcPr>
                  <w:tcW w:w="1950" w:type="dxa"/>
                  <w:vAlign w:val="center"/>
                </w:tcPr>
                <w:p w14:paraId="0717AF3E">
                  <w:pPr>
                    <w:widowControl/>
                    <w:kinsoku w:val="0"/>
                    <w:autoSpaceDE w:val="0"/>
                    <w:autoSpaceDN w:val="0"/>
                    <w:adjustRightInd w:val="0"/>
                    <w:snapToGrid w:val="0"/>
                    <w:jc w:val="center"/>
                    <w:textAlignment w:val="baseline"/>
                    <w:rPr>
                      <w:kern w:val="0"/>
                      <w:szCs w:val="21"/>
                    </w:rPr>
                  </w:pPr>
                  <w:r>
                    <w:rPr>
                      <w:rFonts w:eastAsia="Times New Roman"/>
                      <w:kern w:val="0"/>
                      <w:szCs w:val="21"/>
                    </w:rPr>
                    <w:t>pH</w:t>
                  </w:r>
                </w:p>
              </w:tc>
              <w:tc>
                <w:tcPr>
                  <w:tcW w:w="1942" w:type="dxa"/>
                  <w:vAlign w:val="center"/>
                </w:tcPr>
                <w:p w14:paraId="2239CCE9">
                  <w:pPr>
                    <w:widowControl/>
                    <w:kinsoku w:val="0"/>
                    <w:autoSpaceDE w:val="0"/>
                    <w:autoSpaceDN w:val="0"/>
                    <w:adjustRightInd w:val="0"/>
                    <w:snapToGrid w:val="0"/>
                    <w:jc w:val="center"/>
                    <w:textAlignment w:val="baseline"/>
                    <w:rPr>
                      <w:rFonts w:eastAsia="Times New Roman"/>
                      <w:kern w:val="0"/>
                      <w:szCs w:val="21"/>
                    </w:rPr>
                  </w:pPr>
                  <w:r>
                    <w:rPr>
                      <w:rFonts w:eastAsia="Times New Roman"/>
                      <w:kern w:val="0"/>
                      <w:szCs w:val="21"/>
                    </w:rPr>
                    <w:t>6</w:t>
                  </w:r>
                  <w:r>
                    <w:rPr>
                      <w:rFonts w:hint="eastAsia" w:ascii="宋体" w:hAnsi="宋体" w:eastAsia="Times New Roman"/>
                      <w:kern w:val="0"/>
                      <w:szCs w:val="21"/>
                    </w:rPr>
                    <w:t>～</w:t>
                  </w:r>
                  <w:r>
                    <w:rPr>
                      <w:rFonts w:eastAsia="Times New Roman"/>
                      <w:kern w:val="0"/>
                      <w:szCs w:val="21"/>
                    </w:rPr>
                    <w:t>9</w:t>
                  </w:r>
                </w:p>
              </w:tc>
            </w:tr>
            <w:tr w14:paraId="61536A8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4049" w:type="dxa"/>
                  <w:vMerge w:val="continue"/>
                  <w:vAlign w:val="center"/>
                </w:tcPr>
                <w:p w14:paraId="2B0E7AFC">
                  <w:pPr>
                    <w:widowControl/>
                    <w:jc w:val="center"/>
                    <w:rPr>
                      <w:kern w:val="0"/>
                      <w:szCs w:val="21"/>
                    </w:rPr>
                  </w:pPr>
                </w:p>
              </w:tc>
              <w:tc>
                <w:tcPr>
                  <w:tcW w:w="1950" w:type="dxa"/>
                  <w:vAlign w:val="center"/>
                </w:tcPr>
                <w:p w14:paraId="5DFAEEE7">
                  <w:pPr>
                    <w:widowControl/>
                    <w:kinsoku w:val="0"/>
                    <w:autoSpaceDE w:val="0"/>
                    <w:autoSpaceDN w:val="0"/>
                    <w:adjustRightInd w:val="0"/>
                    <w:snapToGrid w:val="0"/>
                    <w:jc w:val="center"/>
                    <w:textAlignment w:val="baseline"/>
                    <w:rPr>
                      <w:kern w:val="0"/>
                      <w:szCs w:val="21"/>
                    </w:rPr>
                  </w:pPr>
                  <w:r>
                    <w:rPr>
                      <w:rFonts w:eastAsia="Times New Roman"/>
                      <w:kern w:val="0"/>
                      <w:szCs w:val="21"/>
                    </w:rPr>
                    <w:t>COD</w:t>
                  </w:r>
                </w:p>
              </w:tc>
              <w:tc>
                <w:tcPr>
                  <w:tcW w:w="1942" w:type="dxa"/>
                  <w:vAlign w:val="center"/>
                </w:tcPr>
                <w:p w14:paraId="1F52AE48">
                  <w:pPr>
                    <w:widowControl/>
                    <w:kinsoku w:val="0"/>
                    <w:autoSpaceDE w:val="0"/>
                    <w:autoSpaceDN w:val="0"/>
                    <w:adjustRightInd w:val="0"/>
                    <w:snapToGrid w:val="0"/>
                    <w:jc w:val="center"/>
                    <w:textAlignment w:val="baseline"/>
                    <w:rPr>
                      <w:kern w:val="0"/>
                      <w:szCs w:val="21"/>
                    </w:rPr>
                  </w:pPr>
                  <w:r>
                    <w:rPr>
                      <w:rFonts w:hint="eastAsia" w:eastAsiaTheme="minorEastAsia"/>
                      <w:kern w:val="0"/>
                      <w:szCs w:val="21"/>
                    </w:rPr>
                    <w:t>500</w:t>
                  </w:r>
                  <w:r>
                    <w:rPr>
                      <w:rFonts w:eastAsia="Times New Roman"/>
                      <w:kern w:val="0"/>
                      <w:szCs w:val="21"/>
                    </w:rPr>
                    <w:t>mg/L</w:t>
                  </w:r>
                </w:p>
              </w:tc>
            </w:tr>
            <w:tr w14:paraId="2A88DA8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4049" w:type="dxa"/>
                  <w:vMerge w:val="continue"/>
                  <w:vAlign w:val="center"/>
                </w:tcPr>
                <w:p w14:paraId="0E7E339C">
                  <w:pPr>
                    <w:widowControl/>
                    <w:jc w:val="center"/>
                    <w:rPr>
                      <w:kern w:val="0"/>
                      <w:szCs w:val="21"/>
                    </w:rPr>
                  </w:pPr>
                </w:p>
              </w:tc>
              <w:tc>
                <w:tcPr>
                  <w:tcW w:w="1950" w:type="dxa"/>
                  <w:vAlign w:val="center"/>
                </w:tcPr>
                <w:p w14:paraId="4BF4C727">
                  <w:pPr>
                    <w:widowControl/>
                    <w:kinsoku w:val="0"/>
                    <w:autoSpaceDE w:val="0"/>
                    <w:autoSpaceDN w:val="0"/>
                    <w:adjustRightInd w:val="0"/>
                    <w:snapToGrid w:val="0"/>
                    <w:jc w:val="center"/>
                    <w:textAlignment w:val="baseline"/>
                    <w:rPr>
                      <w:kern w:val="0"/>
                      <w:szCs w:val="21"/>
                    </w:rPr>
                  </w:pPr>
                  <w:r>
                    <w:rPr>
                      <w:rFonts w:eastAsia="Times New Roman"/>
                      <w:kern w:val="0"/>
                      <w:szCs w:val="21"/>
                    </w:rPr>
                    <w:t>BOD</w:t>
                  </w:r>
                  <w:r>
                    <w:rPr>
                      <w:rFonts w:eastAsia="Times New Roman"/>
                      <w:kern w:val="0"/>
                      <w:position w:val="-1"/>
                      <w:szCs w:val="21"/>
                      <w:vertAlign w:val="subscript"/>
                    </w:rPr>
                    <w:t>5</w:t>
                  </w:r>
                </w:p>
              </w:tc>
              <w:tc>
                <w:tcPr>
                  <w:tcW w:w="1942" w:type="dxa"/>
                  <w:vAlign w:val="center"/>
                </w:tcPr>
                <w:p w14:paraId="30F3BE2C">
                  <w:pPr>
                    <w:widowControl/>
                    <w:kinsoku w:val="0"/>
                    <w:autoSpaceDE w:val="0"/>
                    <w:autoSpaceDN w:val="0"/>
                    <w:adjustRightInd w:val="0"/>
                    <w:snapToGrid w:val="0"/>
                    <w:jc w:val="center"/>
                    <w:textAlignment w:val="baseline"/>
                    <w:rPr>
                      <w:kern w:val="0"/>
                      <w:szCs w:val="21"/>
                    </w:rPr>
                  </w:pPr>
                  <w:r>
                    <w:rPr>
                      <w:rFonts w:hint="eastAsia" w:eastAsiaTheme="minorEastAsia"/>
                      <w:kern w:val="0"/>
                      <w:szCs w:val="21"/>
                    </w:rPr>
                    <w:t>300</w:t>
                  </w:r>
                  <w:r>
                    <w:rPr>
                      <w:rFonts w:eastAsia="Times New Roman"/>
                      <w:kern w:val="0"/>
                      <w:szCs w:val="21"/>
                    </w:rPr>
                    <w:t>mg/L</w:t>
                  </w:r>
                </w:p>
              </w:tc>
            </w:tr>
            <w:tr w14:paraId="3000EC1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6" w:hRule="atLeast"/>
                <w:jc w:val="center"/>
              </w:trPr>
              <w:tc>
                <w:tcPr>
                  <w:tcW w:w="4049" w:type="dxa"/>
                  <w:vMerge w:val="continue"/>
                  <w:vAlign w:val="center"/>
                </w:tcPr>
                <w:p w14:paraId="66E7E10B">
                  <w:pPr>
                    <w:widowControl/>
                    <w:jc w:val="center"/>
                    <w:rPr>
                      <w:kern w:val="0"/>
                      <w:szCs w:val="21"/>
                    </w:rPr>
                  </w:pPr>
                </w:p>
              </w:tc>
              <w:tc>
                <w:tcPr>
                  <w:tcW w:w="1950" w:type="dxa"/>
                  <w:vAlign w:val="center"/>
                </w:tcPr>
                <w:p w14:paraId="155D630D">
                  <w:pPr>
                    <w:widowControl/>
                    <w:kinsoku w:val="0"/>
                    <w:autoSpaceDE w:val="0"/>
                    <w:autoSpaceDN w:val="0"/>
                    <w:adjustRightInd w:val="0"/>
                    <w:snapToGrid w:val="0"/>
                    <w:jc w:val="center"/>
                    <w:textAlignment w:val="baseline"/>
                    <w:rPr>
                      <w:rFonts w:ascii="宋体" w:hAnsi="宋体" w:eastAsia="Times New Roman"/>
                      <w:kern w:val="0"/>
                      <w:szCs w:val="21"/>
                    </w:rPr>
                  </w:pPr>
                  <w:r>
                    <w:rPr>
                      <w:rFonts w:hint="eastAsia" w:ascii="宋体" w:hAnsi="宋体" w:eastAsia="Times New Roman"/>
                      <w:kern w:val="0"/>
                      <w:szCs w:val="21"/>
                    </w:rPr>
                    <w:t>氨氮</w:t>
                  </w:r>
                </w:p>
              </w:tc>
              <w:tc>
                <w:tcPr>
                  <w:tcW w:w="1942" w:type="dxa"/>
                  <w:vAlign w:val="center"/>
                </w:tcPr>
                <w:p w14:paraId="4747FE1A">
                  <w:pPr>
                    <w:widowControl/>
                    <w:kinsoku w:val="0"/>
                    <w:autoSpaceDE w:val="0"/>
                    <w:autoSpaceDN w:val="0"/>
                    <w:adjustRightInd w:val="0"/>
                    <w:snapToGrid w:val="0"/>
                    <w:jc w:val="center"/>
                    <w:textAlignment w:val="baseline"/>
                    <w:rPr>
                      <w:rFonts w:eastAsiaTheme="minorEastAsia"/>
                      <w:kern w:val="0"/>
                      <w:szCs w:val="21"/>
                    </w:rPr>
                  </w:pPr>
                  <w:r>
                    <w:rPr>
                      <w:rFonts w:hint="eastAsia" w:eastAsiaTheme="minorEastAsia"/>
                      <w:kern w:val="0"/>
                      <w:szCs w:val="21"/>
                    </w:rPr>
                    <w:t>/</w:t>
                  </w:r>
                </w:p>
              </w:tc>
            </w:tr>
            <w:tr w14:paraId="58AFF1F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4049" w:type="dxa"/>
                  <w:vMerge w:val="continue"/>
                  <w:vAlign w:val="center"/>
                </w:tcPr>
                <w:p w14:paraId="1F4C16AA">
                  <w:pPr>
                    <w:widowControl/>
                    <w:jc w:val="center"/>
                    <w:rPr>
                      <w:kern w:val="0"/>
                      <w:szCs w:val="21"/>
                    </w:rPr>
                  </w:pPr>
                </w:p>
              </w:tc>
              <w:tc>
                <w:tcPr>
                  <w:tcW w:w="1950" w:type="dxa"/>
                  <w:vAlign w:val="center"/>
                </w:tcPr>
                <w:p w14:paraId="610CB7F5">
                  <w:pPr>
                    <w:widowControl/>
                    <w:kinsoku w:val="0"/>
                    <w:autoSpaceDE w:val="0"/>
                    <w:autoSpaceDN w:val="0"/>
                    <w:adjustRightInd w:val="0"/>
                    <w:snapToGrid w:val="0"/>
                    <w:jc w:val="center"/>
                    <w:textAlignment w:val="baseline"/>
                    <w:rPr>
                      <w:kern w:val="0"/>
                      <w:szCs w:val="21"/>
                    </w:rPr>
                  </w:pPr>
                  <w:r>
                    <w:rPr>
                      <w:rFonts w:eastAsia="Times New Roman"/>
                      <w:kern w:val="0"/>
                      <w:szCs w:val="21"/>
                    </w:rPr>
                    <w:t>SS</w:t>
                  </w:r>
                </w:p>
              </w:tc>
              <w:tc>
                <w:tcPr>
                  <w:tcW w:w="1942" w:type="dxa"/>
                  <w:vAlign w:val="center"/>
                </w:tcPr>
                <w:p w14:paraId="617F2DD0">
                  <w:pPr>
                    <w:widowControl/>
                    <w:kinsoku w:val="0"/>
                    <w:autoSpaceDE w:val="0"/>
                    <w:autoSpaceDN w:val="0"/>
                    <w:adjustRightInd w:val="0"/>
                    <w:snapToGrid w:val="0"/>
                    <w:jc w:val="center"/>
                    <w:textAlignment w:val="baseline"/>
                    <w:rPr>
                      <w:kern w:val="0"/>
                      <w:szCs w:val="21"/>
                    </w:rPr>
                  </w:pPr>
                  <w:r>
                    <w:rPr>
                      <w:rFonts w:hint="eastAsia" w:eastAsiaTheme="minorEastAsia"/>
                      <w:kern w:val="0"/>
                      <w:szCs w:val="21"/>
                    </w:rPr>
                    <w:t>400</w:t>
                  </w:r>
                  <w:r>
                    <w:rPr>
                      <w:rFonts w:eastAsia="Times New Roman"/>
                      <w:kern w:val="0"/>
                      <w:szCs w:val="21"/>
                    </w:rPr>
                    <w:t>mg/L</w:t>
                  </w:r>
                </w:p>
              </w:tc>
            </w:tr>
            <w:tr w14:paraId="03BFA3D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45" w:hRule="atLeast"/>
                <w:jc w:val="center"/>
              </w:trPr>
              <w:tc>
                <w:tcPr>
                  <w:tcW w:w="4049" w:type="dxa"/>
                  <w:vMerge w:val="restart"/>
                  <w:vAlign w:val="center"/>
                </w:tcPr>
                <w:p w14:paraId="56D38444">
                  <w:pPr>
                    <w:widowControl/>
                    <w:kinsoku w:val="0"/>
                    <w:autoSpaceDE w:val="0"/>
                    <w:autoSpaceDN w:val="0"/>
                    <w:adjustRightInd w:val="0"/>
                    <w:snapToGrid w:val="0"/>
                    <w:jc w:val="center"/>
                    <w:textAlignment w:val="baseline"/>
                    <w:rPr>
                      <w:rFonts w:ascii="宋体" w:hAnsi="宋体" w:eastAsia="Times New Roman"/>
                      <w:kern w:val="0"/>
                      <w:szCs w:val="21"/>
                    </w:rPr>
                  </w:pPr>
                  <w:r>
                    <w:rPr>
                      <w:rFonts w:hint="eastAsia" w:ascii="宋体" w:hAnsi="宋体" w:eastAsia="Times New Roman"/>
                      <w:kern w:val="0"/>
                      <w:szCs w:val="21"/>
                    </w:rPr>
                    <w:t>清丰中州水务有限公司第二污水处理厂收水水质要求</w:t>
                  </w:r>
                </w:p>
              </w:tc>
              <w:tc>
                <w:tcPr>
                  <w:tcW w:w="1950" w:type="dxa"/>
                  <w:vAlign w:val="center"/>
                </w:tcPr>
                <w:p w14:paraId="4CEC1573">
                  <w:pPr>
                    <w:widowControl/>
                    <w:kinsoku w:val="0"/>
                    <w:autoSpaceDE w:val="0"/>
                    <w:autoSpaceDN w:val="0"/>
                    <w:adjustRightInd w:val="0"/>
                    <w:snapToGrid w:val="0"/>
                    <w:jc w:val="center"/>
                    <w:textAlignment w:val="baseline"/>
                    <w:rPr>
                      <w:kern w:val="0"/>
                      <w:szCs w:val="21"/>
                    </w:rPr>
                  </w:pPr>
                  <w:r>
                    <w:rPr>
                      <w:rFonts w:eastAsia="Times New Roman"/>
                      <w:kern w:val="0"/>
                      <w:szCs w:val="21"/>
                    </w:rPr>
                    <w:t>pH</w:t>
                  </w:r>
                </w:p>
              </w:tc>
              <w:tc>
                <w:tcPr>
                  <w:tcW w:w="1942" w:type="dxa"/>
                  <w:vAlign w:val="center"/>
                </w:tcPr>
                <w:p w14:paraId="4A3C45CD">
                  <w:pPr>
                    <w:widowControl/>
                    <w:kinsoku w:val="0"/>
                    <w:autoSpaceDE w:val="0"/>
                    <w:autoSpaceDN w:val="0"/>
                    <w:adjustRightInd w:val="0"/>
                    <w:snapToGrid w:val="0"/>
                    <w:jc w:val="center"/>
                    <w:textAlignment w:val="baseline"/>
                    <w:rPr>
                      <w:rFonts w:eastAsia="Times New Roman"/>
                      <w:kern w:val="0"/>
                      <w:szCs w:val="21"/>
                    </w:rPr>
                  </w:pPr>
                  <w:r>
                    <w:rPr>
                      <w:rFonts w:eastAsia="Times New Roman"/>
                      <w:kern w:val="0"/>
                      <w:szCs w:val="21"/>
                    </w:rPr>
                    <w:t>6</w:t>
                  </w:r>
                  <w:r>
                    <w:rPr>
                      <w:rFonts w:hint="eastAsia" w:ascii="宋体" w:hAnsi="宋体" w:eastAsia="Times New Roman"/>
                      <w:kern w:val="0"/>
                      <w:szCs w:val="21"/>
                    </w:rPr>
                    <w:t>～</w:t>
                  </w:r>
                  <w:r>
                    <w:rPr>
                      <w:rFonts w:eastAsia="Times New Roman"/>
                      <w:kern w:val="0"/>
                      <w:szCs w:val="21"/>
                    </w:rPr>
                    <w:t>9</w:t>
                  </w:r>
                </w:p>
              </w:tc>
            </w:tr>
            <w:tr w14:paraId="636C8E5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4049" w:type="dxa"/>
                  <w:vMerge w:val="continue"/>
                  <w:vAlign w:val="center"/>
                </w:tcPr>
                <w:p w14:paraId="037D78C1">
                  <w:pPr>
                    <w:widowControl/>
                    <w:jc w:val="center"/>
                    <w:rPr>
                      <w:rFonts w:ascii="宋体" w:hAnsi="宋体"/>
                      <w:kern w:val="0"/>
                      <w:szCs w:val="21"/>
                    </w:rPr>
                  </w:pPr>
                </w:p>
              </w:tc>
              <w:tc>
                <w:tcPr>
                  <w:tcW w:w="1950" w:type="dxa"/>
                  <w:vAlign w:val="center"/>
                </w:tcPr>
                <w:p w14:paraId="67A58CD9">
                  <w:pPr>
                    <w:widowControl/>
                    <w:kinsoku w:val="0"/>
                    <w:autoSpaceDE w:val="0"/>
                    <w:autoSpaceDN w:val="0"/>
                    <w:adjustRightInd w:val="0"/>
                    <w:snapToGrid w:val="0"/>
                    <w:jc w:val="center"/>
                    <w:textAlignment w:val="baseline"/>
                    <w:rPr>
                      <w:kern w:val="0"/>
                      <w:szCs w:val="21"/>
                    </w:rPr>
                  </w:pPr>
                  <w:r>
                    <w:rPr>
                      <w:rFonts w:eastAsia="Times New Roman"/>
                      <w:kern w:val="0"/>
                      <w:szCs w:val="21"/>
                    </w:rPr>
                    <w:t>COD</w:t>
                  </w:r>
                </w:p>
              </w:tc>
              <w:tc>
                <w:tcPr>
                  <w:tcW w:w="1942" w:type="dxa"/>
                  <w:vAlign w:val="center"/>
                </w:tcPr>
                <w:p w14:paraId="6BBF918A">
                  <w:pPr>
                    <w:widowControl/>
                    <w:kinsoku w:val="0"/>
                    <w:autoSpaceDE w:val="0"/>
                    <w:autoSpaceDN w:val="0"/>
                    <w:adjustRightInd w:val="0"/>
                    <w:snapToGrid w:val="0"/>
                    <w:jc w:val="center"/>
                    <w:textAlignment w:val="baseline"/>
                    <w:rPr>
                      <w:kern w:val="0"/>
                      <w:szCs w:val="21"/>
                    </w:rPr>
                  </w:pPr>
                  <w:r>
                    <w:rPr>
                      <w:rFonts w:hint="eastAsia" w:eastAsiaTheme="minorEastAsia"/>
                      <w:kern w:val="0"/>
                      <w:szCs w:val="21"/>
                    </w:rPr>
                    <w:t>35</w:t>
                  </w:r>
                  <w:r>
                    <w:rPr>
                      <w:rFonts w:eastAsia="Times New Roman"/>
                      <w:kern w:val="0"/>
                      <w:szCs w:val="21"/>
                    </w:rPr>
                    <w:t>0mg/L</w:t>
                  </w:r>
                </w:p>
              </w:tc>
            </w:tr>
            <w:tr w14:paraId="7841610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4049" w:type="dxa"/>
                  <w:vMerge w:val="continue"/>
                  <w:vAlign w:val="center"/>
                </w:tcPr>
                <w:p w14:paraId="6E09FB4A">
                  <w:pPr>
                    <w:widowControl/>
                    <w:jc w:val="center"/>
                    <w:rPr>
                      <w:rFonts w:ascii="宋体" w:hAnsi="宋体"/>
                      <w:kern w:val="0"/>
                      <w:szCs w:val="21"/>
                    </w:rPr>
                  </w:pPr>
                </w:p>
              </w:tc>
              <w:tc>
                <w:tcPr>
                  <w:tcW w:w="1950" w:type="dxa"/>
                  <w:vAlign w:val="center"/>
                </w:tcPr>
                <w:p w14:paraId="4AB19698">
                  <w:pPr>
                    <w:widowControl/>
                    <w:kinsoku w:val="0"/>
                    <w:autoSpaceDE w:val="0"/>
                    <w:autoSpaceDN w:val="0"/>
                    <w:adjustRightInd w:val="0"/>
                    <w:snapToGrid w:val="0"/>
                    <w:jc w:val="center"/>
                    <w:textAlignment w:val="baseline"/>
                    <w:rPr>
                      <w:rFonts w:eastAsiaTheme="minorEastAsia"/>
                      <w:kern w:val="0"/>
                      <w:szCs w:val="21"/>
                    </w:rPr>
                  </w:pPr>
                  <w:r>
                    <w:rPr>
                      <w:rFonts w:eastAsia="Times New Roman"/>
                      <w:kern w:val="0"/>
                      <w:szCs w:val="21"/>
                    </w:rPr>
                    <w:t>BOD</w:t>
                  </w:r>
                  <w:r>
                    <w:rPr>
                      <w:rFonts w:hint="eastAsia" w:eastAsiaTheme="minorEastAsia"/>
                      <w:kern w:val="0"/>
                      <w:position w:val="-1"/>
                      <w:szCs w:val="21"/>
                      <w:vertAlign w:val="subscript"/>
                    </w:rPr>
                    <w:t>5</w:t>
                  </w:r>
                </w:p>
              </w:tc>
              <w:tc>
                <w:tcPr>
                  <w:tcW w:w="1942" w:type="dxa"/>
                  <w:vAlign w:val="center"/>
                </w:tcPr>
                <w:p w14:paraId="32C4A93B">
                  <w:pPr>
                    <w:widowControl/>
                    <w:kinsoku w:val="0"/>
                    <w:autoSpaceDE w:val="0"/>
                    <w:autoSpaceDN w:val="0"/>
                    <w:adjustRightInd w:val="0"/>
                    <w:snapToGrid w:val="0"/>
                    <w:jc w:val="center"/>
                    <w:textAlignment w:val="baseline"/>
                    <w:rPr>
                      <w:rFonts w:eastAsiaTheme="minorEastAsia"/>
                      <w:kern w:val="0"/>
                      <w:szCs w:val="21"/>
                    </w:rPr>
                  </w:pPr>
                  <w:r>
                    <w:rPr>
                      <w:rFonts w:hint="eastAsia" w:eastAsiaTheme="minorEastAsia"/>
                      <w:kern w:val="0"/>
                      <w:szCs w:val="21"/>
                    </w:rPr>
                    <w:t>170</w:t>
                  </w:r>
                  <w:r>
                    <w:rPr>
                      <w:rFonts w:eastAsia="Times New Roman"/>
                      <w:kern w:val="0"/>
                      <w:szCs w:val="21"/>
                    </w:rPr>
                    <w:t>mg/L</w:t>
                  </w:r>
                </w:p>
              </w:tc>
            </w:tr>
            <w:tr w14:paraId="29E3F34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45" w:hRule="atLeast"/>
                <w:jc w:val="center"/>
              </w:trPr>
              <w:tc>
                <w:tcPr>
                  <w:tcW w:w="4049" w:type="dxa"/>
                  <w:vMerge w:val="continue"/>
                  <w:vAlign w:val="center"/>
                </w:tcPr>
                <w:p w14:paraId="5FA26B93">
                  <w:pPr>
                    <w:widowControl/>
                    <w:jc w:val="center"/>
                    <w:rPr>
                      <w:rFonts w:ascii="宋体" w:hAnsi="宋体"/>
                      <w:kern w:val="0"/>
                      <w:szCs w:val="21"/>
                    </w:rPr>
                  </w:pPr>
                </w:p>
              </w:tc>
              <w:tc>
                <w:tcPr>
                  <w:tcW w:w="1950" w:type="dxa"/>
                  <w:vAlign w:val="center"/>
                </w:tcPr>
                <w:p w14:paraId="46D848E0">
                  <w:pPr>
                    <w:widowControl/>
                    <w:kinsoku w:val="0"/>
                    <w:autoSpaceDE w:val="0"/>
                    <w:autoSpaceDN w:val="0"/>
                    <w:adjustRightInd w:val="0"/>
                    <w:snapToGrid w:val="0"/>
                    <w:jc w:val="center"/>
                    <w:textAlignment w:val="baseline"/>
                    <w:rPr>
                      <w:rFonts w:ascii="宋体" w:hAnsi="宋体" w:eastAsia="Times New Roman"/>
                      <w:kern w:val="0"/>
                      <w:szCs w:val="21"/>
                    </w:rPr>
                  </w:pPr>
                  <w:r>
                    <w:rPr>
                      <w:rFonts w:hint="eastAsia" w:ascii="宋体" w:hAnsi="宋体" w:eastAsia="Times New Roman"/>
                      <w:kern w:val="0"/>
                      <w:szCs w:val="21"/>
                    </w:rPr>
                    <w:t>氨氮</w:t>
                  </w:r>
                </w:p>
              </w:tc>
              <w:tc>
                <w:tcPr>
                  <w:tcW w:w="1942" w:type="dxa"/>
                  <w:vAlign w:val="center"/>
                </w:tcPr>
                <w:p w14:paraId="76A47F38">
                  <w:pPr>
                    <w:widowControl/>
                    <w:kinsoku w:val="0"/>
                    <w:autoSpaceDE w:val="0"/>
                    <w:autoSpaceDN w:val="0"/>
                    <w:adjustRightInd w:val="0"/>
                    <w:snapToGrid w:val="0"/>
                    <w:jc w:val="center"/>
                    <w:textAlignment w:val="baseline"/>
                    <w:rPr>
                      <w:kern w:val="0"/>
                      <w:szCs w:val="21"/>
                    </w:rPr>
                  </w:pPr>
                  <w:r>
                    <w:rPr>
                      <w:rFonts w:eastAsia="Times New Roman"/>
                      <w:kern w:val="0"/>
                      <w:szCs w:val="21"/>
                    </w:rPr>
                    <w:t>30mg/L</w:t>
                  </w:r>
                </w:p>
              </w:tc>
            </w:tr>
            <w:tr w14:paraId="500E74E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9" w:hRule="atLeast"/>
                <w:jc w:val="center"/>
              </w:trPr>
              <w:tc>
                <w:tcPr>
                  <w:tcW w:w="4049" w:type="dxa"/>
                  <w:vMerge w:val="continue"/>
                  <w:vAlign w:val="center"/>
                </w:tcPr>
                <w:p w14:paraId="1618630B">
                  <w:pPr>
                    <w:widowControl/>
                    <w:jc w:val="center"/>
                    <w:rPr>
                      <w:rFonts w:ascii="宋体" w:hAnsi="宋体"/>
                      <w:kern w:val="0"/>
                      <w:szCs w:val="21"/>
                    </w:rPr>
                  </w:pPr>
                </w:p>
              </w:tc>
              <w:tc>
                <w:tcPr>
                  <w:tcW w:w="1950" w:type="dxa"/>
                  <w:vAlign w:val="center"/>
                </w:tcPr>
                <w:p w14:paraId="2F7ACCE3">
                  <w:pPr>
                    <w:widowControl/>
                    <w:kinsoku w:val="0"/>
                    <w:autoSpaceDE w:val="0"/>
                    <w:autoSpaceDN w:val="0"/>
                    <w:adjustRightInd w:val="0"/>
                    <w:snapToGrid w:val="0"/>
                    <w:jc w:val="center"/>
                    <w:textAlignment w:val="baseline"/>
                    <w:rPr>
                      <w:kern w:val="0"/>
                      <w:szCs w:val="21"/>
                    </w:rPr>
                  </w:pPr>
                  <w:r>
                    <w:rPr>
                      <w:rFonts w:eastAsia="Times New Roman"/>
                      <w:kern w:val="0"/>
                      <w:szCs w:val="21"/>
                    </w:rPr>
                    <w:t>SS</w:t>
                  </w:r>
                </w:p>
              </w:tc>
              <w:tc>
                <w:tcPr>
                  <w:tcW w:w="1942" w:type="dxa"/>
                  <w:vAlign w:val="center"/>
                </w:tcPr>
                <w:p w14:paraId="3637CA36">
                  <w:pPr>
                    <w:widowControl/>
                    <w:kinsoku w:val="0"/>
                    <w:autoSpaceDE w:val="0"/>
                    <w:autoSpaceDN w:val="0"/>
                    <w:adjustRightInd w:val="0"/>
                    <w:snapToGrid w:val="0"/>
                    <w:jc w:val="center"/>
                    <w:textAlignment w:val="baseline"/>
                    <w:rPr>
                      <w:rFonts w:eastAsiaTheme="minorEastAsia"/>
                      <w:kern w:val="0"/>
                      <w:szCs w:val="21"/>
                    </w:rPr>
                  </w:pPr>
                  <w:r>
                    <w:rPr>
                      <w:rFonts w:hint="eastAsia" w:eastAsiaTheme="minorEastAsia"/>
                      <w:kern w:val="0"/>
                      <w:szCs w:val="21"/>
                    </w:rPr>
                    <w:t>210</w:t>
                  </w:r>
                  <w:r>
                    <w:rPr>
                      <w:rFonts w:eastAsia="Times New Roman"/>
                      <w:kern w:val="0"/>
                      <w:szCs w:val="21"/>
                    </w:rPr>
                    <w:t>mg/L</w:t>
                  </w:r>
                </w:p>
              </w:tc>
            </w:tr>
          </w:tbl>
          <w:p w14:paraId="574A68F4">
            <w:pPr>
              <w:spacing w:line="360" w:lineRule="auto"/>
              <w:ind w:firstLine="482" w:firstLineChars="200"/>
              <w:rPr>
                <w:b/>
                <w:sz w:val="24"/>
              </w:rPr>
            </w:pPr>
            <w:r>
              <w:rPr>
                <w:rFonts w:hint="eastAsia"/>
                <w:b/>
                <w:sz w:val="24"/>
              </w:rPr>
              <w:t>三、</w:t>
            </w:r>
            <w:r>
              <w:rPr>
                <w:b/>
                <w:sz w:val="24"/>
              </w:rPr>
              <w:t>噪声</w:t>
            </w:r>
          </w:p>
          <w:p w14:paraId="701B8E52">
            <w:pPr>
              <w:pStyle w:val="25"/>
              <w:spacing w:after="0" w:line="360" w:lineRule="auto"/>
              <w:ind w:left="0" w:leftChars="0" w:firstLine="480" w:firstLineChars="200"/>
              <w:rPr>
                <w:kern w:val="2"/>
                <w:sz w:val="24"/>
                <w:szCs w:val="22"/>
              </w:rPr>
            </w:pPr>
            <w:r>
              <w:rPr>
                <w:rFonts w:hint="eastAsia"/>
                <w:kern w:val="2"/>
                <w:sz w:val="24"/>
                <w:szCs w:val="22"/>
              </w:rPr>
              <w:t>营运期厂界噪声执行《工业企业厂界环境噪声排放标准》（GB12348-2008）3类标准[昼间≤65dB(A)]。</w:t>
            </w:r>
          </w:p>
          <w:p w14:paraId="7C80CED1">
            <w:pPr>
              <w:spacing w:line="360" w:lineRule="auto"/>
              <w:ind w:firstLine="482" w:firstLineChars="200"/>
              <w:rPr>
                <w:b/>
                <w:sz w:val="24"/>
              </w:rPr>
            </w:pPr>
            <w:r>
              <w:rPr>
                <w:rFonts w:hint="eastAsia"/>
                <w:b/>
                <w:sz w:val="24"/>
              </w:rPr>
              <w:t>四</w:t>
            </w:r>
            <w:r>
              <w:rPr>
                <w:b/>
                <w:sz w:val="24"/>
              </w:rPr>
              <w:t>、固废</w:t>
            </w:r>
          </w:p>
          <w:p w14:paraId="63F5C9B5">
            <w:pPr>
              <w:spacing w:line="360" w:lineRule="auto"/>
              <w:ind w:firstLine="480" w:firstLineChars="200"/>
              <w:rPr>
                <w:sz w:val="24"/>
              </w:rPr>
            </w:pPr>
            <w:r>
              <w:rPr>
                <w:rFonts w:hint="eastAsia"/>
                <w:sz w:val="24"/>
              </w:rPr>
              <w:t>一般工业固体废物执行《一般工业固体废物贮存和填埋污染控制标准》（GB18599-2020）要求；</w:t>
            </w:r>
          </w:p>
          <w:p w14:paraId="3941CB03">
            <w:pPr>
              <w:spacing w:line="360" w:lineRule="auto"/>
              <w:ind w:firstLine="480" w:firstLineChars="200"/>
              <w:rPr>
                <w:sz w:val="24"/>
              </w:rPr>
            </w:pPr>
            <w:r>
              <w:rPr>
                <w:rFonts w:hint="eastAsia"/>
                <w:sz w:val="24"/>
              </w:rPr>
              <w:t>危险废物执行《危险废物贮存污染控制标准》（GB18597-2023）要求。</w:t>
            </w:r>
          </w:p>
        </w:tc>
      </w:tr>
      <w:tr w14:paraId="44877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40" w:type="dxa"/>
            <w:vAlign w:val="center"/>
          </w:tcPr>
          <w:p w14:paraId="705558AB">
            <w:pPr>
              <w:adjustRightInd w:val="0"/>
              <w:snapToGrid w:val="0"/>
              <w:jc w:val="center"/>
              <w:rPr>
                <w:rFonts w:ascii="宋体" w:hAnsi="宋体" w:cs="宋体"/>
                <w:b/>
                <w:kern w:val="0"/>
                <w:sz w:val="24"/>
                <w:szCs w:val="21"/>
              </w:rPr>
            </w:pPr>
            <w:r>
              <w:rPr>
                <w:rFonts w:hint="eastAsia" w:ascii="宋体" w:hAnsi="宋体" w:cs="宋体"/>
                <w:b/>
                <w:kern w:val="0"/>
                <w:sz w:val="24"/>
                <w:szCs w:val="21"/>
              </w:rPr>
              <w:t>总量</w:t>
            </w:r>
          </w:p>
          <w:p w14:paraId="03D46223">
            <w:pPr>
              <w:adjustRightInd w:val="0"/>
              <w:snapToGrid w:val="0"/>
              <w:jc w:val="center"/>
              <w:rPr>
                <w:rFonts w:ascii="宋体" w:hAnsi="宋体" w:cs="宋体"/>
                <w:b/>
                <w:kern w:val="0"/>
                <w:sz w:val="24"/>
                <w:szCs w:val="21"/>
              </w:rPr>
            </w:pPr>
            <w:r>
              <w:rPr>
                <w:rFonts w:hint="eastAsia" w:ascii="宋体" w:hAnsi="宋体" w:cs="宋体"/>
                <w:b/>
                <w:kern w:val="0"/>
                <w:sz w:val="24"/>
                <w:szCs w:val="21"/>
              </w:rPr>
              <w:t>控制</w:t>
            </w:r>
          </w:p>
          <w:p w14:paraId="2474C5C5">
            <w:pPr>
              <w:adjustRightInd w:val="0"/>
              <w:snapToGrid w:val="0"/>
              <w:jc w:val="center"/>
              <w:rPr>
                <w:rFonts w:ascii="宋体" w:hAnsi="宋体" w:cs="宋体"/>
                <w:kern w:val="0"/>
                <w:szCs w:val="21"/>
              </w:rPr>
            </w:pPr>
            <w:r>
              <w:rPr>
                <w:rFonts w:hint="eastAsia" w:ascii="宋体" w:hAnsi="宋体" w:cs="宋体"/>
                <w:b/>
                <w:kern w:val="0"/>
                <w:sz w:val="24"/>
                <w:szCs w:val="21"/>
              </w:rPr>
              <w:t>指标</w:t>
            </w:r>
          </w:p>
        </w:tc>
        <w:tc>
          <w:tcPr>
            <w:tcW w:w="8350" w:type="dxa"/>
            <w:vAlign w:val="center"/>
          </w:tcPr>
          <w:p w14:paraId="6507BC52">
            <w:pPr>
              <w:spacing w:line="360" w:lineRule="auto"/>
              <w:ind w:firstLine="482" w:firstLineChars="200"/>
              <w:rPr>
                <w:sz w:val="24"/>
                <w:u w:val="single"/>
              </w:rPr>
            </w:pPr>
            <w:r>
              <w:rPr>
                <w:rFonts w:hint="eastAsia"/>
                <w:b/>
                <w:sz w:val="24"/>
              </w:rPr>
              <w:t>废气：</w:t>
            </w:r>
            <w:r>
              <w:rPr>
                <w:rFonts w:hint="eastAsia"/>
                <w:bCs/>
                <w:sz w:val="24"/>
              </w:rPr>
              <w:t>本</w:t>
            </w:r>
            <w:r>
              <w:rPr>
                <w:rFonts w:hint="eastAsia"/>
                <w:sz w:val="24"/>
              </w:rPr>
              <w:t>项目废气污染物涉及的总量控制因子为非甲烷总烃，</w:t>
            </w:r>
            <w:r>
              <w:rPr>
                <w:rFonts w:hint="eastAsia"/>
                <w:sz w:val="24"/>
                <w:u w:val="single"/>
              </w:rPr>
              <w:t>经计算，本项目非甲烷总烃排放量为0.</w:t>
            </w:r>
            <w:r>
              <w:rPr>
                <w:rFonts w:hint="eastAsia"/>
                <w:sz w:val="24"/>
                <w:u w:val="single"/>
                <w:lang w:val="en-US" w:eastAsia="zh-CN"/>
              </w:rPr>
              <w:t>1677</w:t>
            </w:r>
            <w:r>
              <w:rPr>
                <w:rFonts w:hint="eastAsia"/>
                <w:sz w:val="24"/>
                <w:u w:val="single"/>
              </w:rPr>
              <w:t>t/a。</w:t>
            </w:r>
          </w:p>
          <w:p w14:paraId="2F59FFB4">
            <w:pPr>
              <w:spacing w:line="360" w:lineRule="auto"/>
              <w:ind w:firstLine="482" w:firstLineChars="200"/>
              <w:rPr>
                <w:sz w:val="24"/>
                <w:u w:val="single"/>
              </w:rPr>
            </w:pPr>
            <w:r>
              <w:rPr>
                <w:rFonts w:hint="eastAsia"/>
                <w:b/>
                <w:sz w:val="24"/>
              </w:rPr>
              <w:t>废水：</w:t>
            </w:r>
            <w:r>
              <w:rPr>
                <w:rFonts w:hint="eastAsia"/>
                <w:bCs/>
                <w:sz w:val="24"/>
                <w:u w:val="single"/>
              </w:rPr>
              <w:t>本</w:t>
            </w:r>
            <w:r>
              <w:rPr>
                <w:rFonts w:hint="eastAsia"/>
                <w:sz w:val="24"/>
                <w:u w:val="single"/>
              </w:rPr>
              <w:t>项目废水排放量为6</w:t>
            </w:r>
            <w:r>
              <w:rPr>
                <w:rFonts w:hint="eastAsia"/>
                <w:sz w:val="24"/>
                <w:u w:val="single"/>
                <w:lang w:val="en-US" w:eastAsia="zh-CN"/>
              </w:rPr>
              <w:t>60</w:t>
            </w:r>
            <w:r>
              <w:rPr>
                <w:rFonts w:hint="eastAsia"/>
                <w:sz w:val="24"/>
                <w:u w:val="single"/>
              </w:rPr>
              <w:t>m</w:t>
            </w:r>
            <w:r>
              <w:rPr>
                <w:rFonts w:hint="eastAsia"/>
                <w:sz w:val="24"/>
                <w:u w:val="single"/>
                <w:vertAlign w:val="superscript"/>
              </w:rPr>
              <w:t>3</w:t>
            </w:r>
            <w:r>
              <w:rPr>
                <w:rFonts w:hint="eastAsia"/>
                <w:sz w:val="24"/>
                <w:u w:val="single"/>
              </w:rPr>
              <w:t>/a，废水最终进入清丰县中州水务第二污水处理厂进行处理，污水处理厂排放废水主要污染因子COD、NH</w:t>
            </w:r>
            <w:r>
              <w:rPr>
                <w:rFonts w:hint="eastAsia"/>
                <w:sz w:val="24"/>
                <w:u w:val="single"/>
                <w:vertAlign w:val="subscript"/>
              </w:rPr>
              <w:t>3</w:t>
            </w:r>
            <w:r>
              <w:rPr>
                <w:rFonts w:hint="eastAsia"/>
                <w:sz w:val="24"/>
                <w:u w:val="single"/>
              </w:rPr>
              <w:t>-N排放浓度分别为COD≤40mg/L，NH</w:t>
            </w:r>
            <w:r>
              <w:rPr>
                <w:rFonts w:hint="eastAsia"/>
                <w:sz w:val="24"/>
                <w:u w:val="single"/>
                <w:vertAlign w:val="subscript"/>
              </w:rPr>
              <w:t>3</w:t>
            </w:r>
            <w:r>
              <w:rPr>
                <w:rFonts w:hint="eastAsia"/>
                <w:sz w:val="24"/>
                <w:u w:val="single"/>
              </w:rPr>
              <w:t>-N≤2mg/L。经计算，本项目废水排入外环境总量控制指标为COD：0.02</w:t>
            </w:r>
            <w:r>
              <w:rPr>
                <w:rFonts w:hint="eastAsia"/>
                <w:sz w:val="24"/>
                <w:u w:val="single"/>
                <w:lang w:val="en-US" w:eastAsia="zh-CN"/>
              </w:rPr>
              <w:t>64</w:t>
            </w:r>
            <w:r>
              <w:rPr>
                <w:rFonts w:hint="eastAsia"/>
                <w:sz w:val="24"/>
                <w:u w:val="single"/>
              </w:rPr>
              <w:t>t/a、氨氮：0.0013t/a。</w:t>
            </w:r>
          </w:p>
          <w:p w14:paraId="6949A747">
            <w:pPr>
              <w:spacing w:line="360" w:lineRule="auto"/>
              <w:ind w:firstLine="480" w:firstLineChars="200"/>
              <w:rPr>
                <w:sz w:val="24"/>
              </w:rPr>
            </w:pPr>
            <w:r>
              <w:rPr>
                <w:rFonts w:hint="eastAsia"/>
                <w:sz w:val="24"/>
              </w:rPr>
              <w:t>本项目总量控制指标如下：</w:t>
            </w:r>
          </w:p>
          <w:p w14:paraId="286C9916">
            <w:pPr>
              <w:pStyle w:val="19"/>
              <w:numPr>
                <w:ilvl w:val="0"/>
                <w:numId w:val="6"/>
              </w:numPr>
              <w:spacing w:before="0" w:after="0" w:line="360" w:lineRule="auto"/>
              <w:ind w:right="0"/>
              <w:jc w:val="center"/>
              <w:rPr>
                <w:b/>
                <w:sz w:val="21"/>
                <w:szCs w:val="21"/>
              </w:rPr>
            </w:pPr>
            <w:r>
              <w:rPr>
                <w:rFonts w:hint="eastAsia"/>
                <w:b/>
                <w:sz w:val="21"/>
                <w:szCs w:val="21"/>
              </w:rPr>
              <w:t>本项目总量控制指标一览表</w:t>
            </w:r>
          </w:p>
          <w:tbl>
            <w:tblPr>
              <w:tblStyle w:val="39"/>
              <w:tblW w:w="7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554"/>
              <w:gridCol w:w="1618"/>
              <w:gridCol w:w="1696"/>
              <w:gridCol w:w="1761"/>
            </w:tblGrid>
            <w:tr w14:paraId="5387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0" w:type="dxa"/>
                  <w:vMerge w:val="restart"/>
                  <w:tcBorders>
                    <w:tl2br w:val="nil"/>
                    <w:tr2bl w:val="nil"/>
                  </w:tcBorders>
                  <w:vAlign w:val="center"/>
                </w:tcPr>
                <w:p w14:paraId="44035DA7">
                  <w:pPr>
                    <w:jc w:val="center"/>
                    <w:rPr>
                      <w:szCs w:val="21"/>
                    </w:rPr>
                  </w:pPr>
                  <w:r>
                    <w:rPr>
                      <w:rFonts w:hint="eastAsia"/>
                      <w:szCs w:val="21"/>
                    </w:rPr>
                    <w:t>项目</w:t>
                  </w:r>
                </w:p>
              </w:tc>
              <w:tc>
                <w:tcPr>
                  <w:tcW w:w="1554" w:type="dxa"/>
                  <w:vMerge w:val="restart"/>
                  <w:tcBorders>
                    <w:tl2br w:val="nil"/>
                    <w:tr2bl w:val="nil"/>
                  </w:tcBorders>
                  <w:vAlign w:val="center"/>
                </w:tcPr>
                <w:p w14:paraId="1FDCD52E">
                  <w:pPr>
                    <w:jc w:val="center"/>
                    <w:rPr>
                      <w:szCs w:val="21"/>
                    </w:rPr>
                  </w:pPr>
                  <w:r>
                    <w:rPr>
                      <w:rFonts w:hint="eastAsia"/>
                      <w:szCs w:val="21"/>
                    </w:rPr>
                    <w:t>污染物</w:t>
                  </w:r>
                </w:p>
              </w:tc>
              <w:tc>
                <w:tcPr>
                  <w:tcW w:w="5075" w:type="dxa"/>
                  <w:gridSpan w:val="3"/>
                  <w:tcBorders>
                    <w:tl2br w:val="nil"/>
                    <w:tr2bl w:val="nil"/>
                  </w:tcBorders>
                  <w:vAlign w:val="center"/>
                </w:tcPr>
                <w:p w14:paraId="356E56B2">
                  <w:pPr>
                    <w:jc w:val="center"/>
                    <w:rPr>
                      <w:szCs w:val="21"/>
                    </w:rPr>
                  </w:pPr>
                  <w:r>
                    <w:rPr>
                      <w:rFonts w:hint="eastAsia"/>
                      <w:szCs w:val="21"/>
                    </w:rPr>
                    <w:t>总量控制指标</w:t>
                  </w:r>
                </w:p>
              </w:tc>
            </w:tr>
            <w:tr w14:paraId="183F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70" w:type="dxa"/>
                  <w:vMerge w:val="continue"/>
                  <w:tcBorders>
                    <w:tl2br w:val="nil"/>
                    <w:tr2bl w:val="nil"/>
                  </w:tcBorders>
                  <w:vAlign w:val="center"/>
                </w:tcPr>
                <w:p w14:paraId="47BBC8F3">
                  <w:pPr>
                    <w:jc w:val="center"/>
                    <w:rPr>
                      <w:szCs w:val="21"/>
                    </w:rPr>
                  </w:pPr>
                </w:p>
              </w:tc>
              <w:tc>
                <w:tcPr>
                  <w:tcW w:w="1554" w:type="dxa"/>
                  <w:vMerge w:val="continue"/>
                  <w:tcBorders>
                    <w:tl2br w:val="nil"/>
                    <w:tr2bl w:val="nil"/>
                  </w:tcBorders>
                  <w:vAlign w:val="center"/>
                </w:tcPr>
                <w:p w14:paraId="4DC07699">
                  <w:pPr>
                    <w:jc w:val="center"/>
                    <w:rPr>
                      <w:szCs w:val="21"/>
                    </w:rPr>
                  </w:pPr>
                </w:p>
              </w:tc>
              <w:tc>
                <w:tcPr>
                  <w:tcW w:w="1618" w:type="dxa"/>
                  <w:tcBorders>
                    <w:tl2br w:val="nil"/>
                    <w:tr2bl w:val="nil"/>
                  </w:tcBorders>
                  <w:vAlign w:val="center"/>
                </w:tcPr>
                <w:p w14:paraId="2BC2E2B6">
                  <w:pPr>
                    <w:jc w:val="center"/>
                    <w:rPr>
                      <w:rFonts w:hint="eastAsia" w:eastAsia="宋体"/>
                      <w:szCs w:val="21"/>
                      <w:lang w:val="en-US" w:eastAsia="zh-CN"/>
                    </w:rPr>
                  </w:pPr>
                  <w:r>
                    <w:rPr>
                      <w:rFonts w:hint="eastAsia"/>
                      <w:szCs w:val="21"/>
                      <w:lang w:val="en-US" w:eastAsia="zh-CN"/>
                    </w:rPr>
                    <w:t>现有工程</w:t>
                  </w:r>
                  <w:r>
                    <w:rPr>
                      <w:rFonts w:hint="eastAsia"/>
                      <w:szCs w:val="21"/>
                    </w:rPr>
                    <w:t>环评审批</w:t>
                  </w:r>
                  <w:r>
                    <w:rPr>
                      <w:rFonts w:hint="eastAsia"/>
                      <w:szCs w:val="21"/>
                      <w:lang w:val="en-US" w:eastAsia="zh-CN"/>
                    </w:rPr>
                    <w:t>量</w:t>
                  </w:r>
                </w:p>
              </w:tc>
              <w:tc>
                <w:tcPr>
                  <w:tcW w:w="1696" w:type="dxa"/>
                  <w:tcBorders>
                    <w:tl2br w:val="nil"/>
                    <w:tr2bl w:val="nil"/>
                  </w:tcBorders>
                  <w:vAlign w:val="center"/>
                </w:tcPr>
                <w:p w14:paraId="51A8E75D">
                  <w:pPr>
                    <w:jc w:val="center"/>
                    <w:rPr>
                      <w:rFonts w:hint="eastAsia" w:eastAsia="宋体"/>
                      <w:szCs w:val="21"/>
                      <w:u w:val="single"/>
                      <w:lang w:val="en-US" w:eastAsia="zh-CN"/>
                    </w:rPr>
                  </w:pPr>
                  <w:r>
                    <w:rPr>
                      <w:rFonts w:hint="eastAsia"/>
                      <w:szCs w:val="21"/>
                      <w:u w:val="single"/>
                    </w:rPr>
                    <w:t>本项目</w:t>
                  </w:r>
                  <w:r>
                    <w:rPr>
                      <w:rFonts w:hint="eastAsia"/>
                      <w:szCs w:val="21"/>
                      <w:u w:val="single"/>
                      <w:lang w:val="en-US" w:eastAsia="zh-CN"/>
                    </w:rPr>
                    <w:t>排放量</w:t>
                  </w:r>
                </w:p>
              </w:tc>
              <w:tc>
                <w:tcPr>
                  <w:tcW w:w="1761" w:type="dxa"/>
                  <w:tcBorders>
                    <w:tl2br w:val="nil"/>
                    <w:tr2bl w:val="nil"/>
                  </w:tcBorders>
                  <w:vAlign w:val="center"/>
                </w:tcPr>
                <w:p w14:paraId="14A0585F">
                  <w:pPr>
                    <w:jc w:val="center"/>
                    <w:rPr>
                      <w:szCs w:val="21"/>
                      <w:u w:val="single"/>
                    </w:rPr>
                  </w:pPr>
                  <w:r>
                    <w:rPr>
                      <w:rFonts w:hint="eastAsia"/>
                      <w:szCs w:val="21"/>
                      <w:u w:val="single"/>
                    </w:rPr>
                    <w:t>变化量</w:t>
                  </w:r>
                </w:p>
              </w:tc>
            </w:tr>
            <w:tr w14:paraId="6260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0" w:type="dxa"/>
                  <w:tcBorders>
                    <w:tl2br w:val="nil"/>
                    <w:tr2bl w:val="nil"/>
                  </w:tcBorders>
                  <w:vAlign w:val="center"/>
                </w:tcPr>
                <w:p w14:paraId="2B114B32">
                  <w:pPr>
                    <w:jc w:val="center"/>
                    <w:rPr>
                      <w:szCs w:val="21"/>
                    </w:rPr>
                  </w:pPr>
                  <w:r>
                    <w:rPr>
                      <w:rFonts w:hint="eastAsia"/>
                      <w:szCs w:val="21"/>
                    </w:rPr>
                    <w:t>废气</w:t>
                  </w:r>
                </w:p>
              </w:tc>
              <w:tc>
                <w:tcPr>
                  <w:tcW w:w="1554" w:type="dxa"/>
                  <w:tcBorders>
                    <w:tl2br w:val="nil"/>
                    <w:tr2bl w:val="nil"/>
                  </w:tcBorders>
                  <w:vAlign w:val="center"/>
                </w:tcPr>
                <w:p w14:paraId="34FCE150">
                  <w:pPr>
                    <w:jc w:val="center"/>
                    <w:rPr>
                      <w:szCs w:val="21"/>
                    </w:rPr>
                  </w:pPr>
                  <w:r>
                    <w:rPr>
                      <w:szCs w:val="21"/>
                    </w:rPr>
                    <w:t>非甲烷总烃</w:t>
                  </w:r>
                </w:p>
              </w:tc>
              <w:tc>
                <w:tcPr>
                  <w:tcW w:w="1618" w:type="dxa"/>
                  <w:tcBorders>
                    <w:tl2br w:val="nil"/>
                    <w:tr2bl w:val="nil"/>
                  </w:tcBorders>
                  <w:vAlign w:val="center"/>
                </w:tcPr>
                <w:p w14:paraId="5D9A5419">
                  <w:pPr>
                    <w:jc w:val="center"/>
                    <w:rPr>
                      <w:szCs w:val="21"/>
                    </w:rPr>
                  </w:pPr>
                  <w:r>
                    <w:rPr>
                      <w:rFonts w:hint="eastAsia"/>
                      <w:szCs w:val="21"/>
                    </w:rPr>
                    <w:t>0.182</w:t>
                  </w:r>
                </w:p>
              </w:tc>
              <w:tc>
                <w:tcPr>
                  <w:tcW w:w="1696" w:type="dxa"/>
                  <w:tcBorders>
                    <w:tl2br w:val="nil"/>
                    <w:tr2bl w:val="nil"/>
                  </w:tcBorders>
                  <w:vAlign w:val="center"/>
                </w:tcPr>
                <w:p w14:paraId="560CE075">
                  <w:pPr>
                    <w:jc w:val="center"/>
                    <w:rPr>
                      <w:rFonts w:hint="default" w:eastAsia="宋体"/>
                      <w:szCs w:val="21"/>
                      <w:u w:val="single"/>
                      <w:lang w:val="en-US" w:eastAsia="zh-CN"/>
                    </w:rPr>
                  </w:pPr>
                  <w:r>
                    <w:rPr>
                      <w:rFonts w:hint="eastAsia"/>
                      <w:szCs w:val="21"/>
                      <w:u w:val="single"/>
                      <w:lang w:val="en-US" w:eastAsia="zh-CN"/>
                    </w:rPr>
                    <w:t>0.1677</w:t>
                  </w:r>
                </w:p>
              </w:tc>
              <w:tc>
                <w:tcPr>
                  <w:tcW w:w="1761" w:type="dxa"/>
                  <w:tcBorders>
                    <w:tl2br w:val="nil"/>
                    <w:tr2bl w:val="nil"/>
                  </w:tcBorders>
                  <w:vAlign w:val="center"/>
                </w:tcPr>
                <w:p w14:paraId="1DE313CA">
                  <w:pPr>
                    <w:jc w:val="center"/>
                    <w:rPr>
                      <w:rFonts w:hint="default" w:eastAsia="宋体"/>
                      <w:szCs w:val="21"/>
                      <w:u w:val="single"/>
                      <w:lang w:val="en-US" w:eastAsia="zh-CN"/>
                    </w:rPr>
                  </w:pPr>
                  <w:r>
                    <w:rPr>
                      <w:rFonts w:hint="eastAsia"/>
                      <w:szCs w:val="21"/>
                      <w:u w:val="single"/>
                      <w:lang w:val="en-US" w:eastAsia="zh-CN"/>
                    </w:rPr>
                    <w:t>-</w:t>
                  </w:r>
                  <w:r>
                    <w:rPr>
                      <w:rFonts w:hint="eastAsia"/>
                      <w:szCs w:val="21"/>
                      <w:u w:val="single"/>
                    </w:rPr>
                    <w:t>0</w:t>
                  </w:r>
                  <w:r>
                    <w:rPr>
                      <w:rFonts w:hint="eastAsia"/>
                      <w:szCs w:val="21"/>
                      <w:u w:val="single"/>
                      <w:lang w:val="en-US" w:eastAsia="zh-CN"/>
                    </w:rPr>
                    <w:t>.0143</w:t>
                  </w:r>
                </w:p>
              </w:tc>
            </w:tr>
            <w:tr w14:paraId="0ADB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70" w:type="dxa"/>
                  <w:vMerge w:val="restart"/>
                  <w:tcBorders>
                    <w:tl2br w:val="nil"/>
                    <w:tr2bl w:val="nil"/>
                  </w:tcBorders>
                  <w:vAlign w:val="center"/>
                </w:tcPr>
                <w:p w14:paraId="072F6678">
                  <w:pPr>
                    <w:jc w:val="center"/>
                    <w:rPr>
                      <w:szCs w:val="21"/>
                    </w:rPr>
                  </w:pPr>
                  <w:r>
                    <w:rPr>
                      <w:rFonts w:hint="eastAsia"/>
                      <w:szCs w:val="21"/>
                    </w:rPr>
                    <w:t>废水</w:t>
                  </w:r>
                </w:p>
              </w:tc>
              <w:tc>
                <w:tcPr>
                  <w:tcW w:w="1554" w:type="dxa"/>
                  <w:tcBorders>
                    <w:tl2br w:val="nil"/>
                    <w:tr2bl w:val="nil"/>
                  </w:tcBorders>
                  <w:vAlign w:val="center"/>
                </w:tcPr>
                <w:p w14:paraId="59EB20CD">
                  <w:pPr>
                    <w:jc w:val="center"/>
                    <w:rPr>
                      <w:szCs w:val="21"/>
                    </w:rPr>
                  </w:pPr>
                  <w:r>
                    <w:rPr>
                      <w:rFonts w:hint="eastAsia"/>
                      <w:szCs w:val="21"/>
                    </w:rPr>
                    <w:t>COD</w:t>
                  </w:r>
                </w:p>
              </w:tc>
              <w:tc>
                <w:tcPr>
                  <w:tcW w:w="1618" w:type="dxa"/>
                  <w:tcBorders>
                    <w:tl2br w:val="nil"/>
                    <w:tr2bl w:val="nil"/>
                  </w:tcBorders>
                  <w:vAlign w:val="center"/>
                </w:tcPr>
                <w:p w14:paraId="55CB841B">
                  <w:pPr>
                    <w:jc w:val="center"/>
                    <w:rPr>
                      <w:szCs w:val="21"/>
                    </w:rPr>
                  </w:pPr>
                  <w:r>
                    <w:rPr>
                      <w:rFonts w:hint="eastAsia"/>
                      <w:szCs w:val="21"/>
                    </w:rPr>
                    <w:t>0.0319</w:t>
                  </w:r>
                </w:p>
              </w:tc>
              <w:tc>
                <w:tcPr>
                  <w:tcW w:w="1696" w:type="dxa"/>
                  <w:tcBorders>
                    <w:tl2br w:val="nil"/>
                    <w:tr2bl w:val="nil"/>
                  </w:tcBorders>
                  <w:vAlign w:val="center"/>
                </w:tcPr>
                <w:p w14:paraId="40C30A19">
                  <w:pPr>
                    <w:jc w:val="center"/>
                    <w:rPr>
                      <w:rFonts w:hint="default" w:eastAsia="宋体"/>
                      <w:szCs w:val="21"/>
                      <w:u w:val="single"/>
                      <w:lang w:val="en-US" w:eastAsia="zh-CN"/>
                    </w:rPr>
                  </w:pPr>
                  <w:r>
                    <w:rPr>
                      <w:rFonts w:hint="eastAsia"/>
                      <w:szCs w:val="21"/>
                      <w:u w:val="single"/>
                    </w:rPr>
                    <w:t>0.0</w:t>
                  </w:r>
                  <w:r>
                    <w:rPr>
                      <w:rFonts w:hint="eastAsia"/>
                      <w:szCs w:val="21"/>
                      <w:u w:val="single"/>
                      <w:lang w:val="en-US" w:eastAsia="zh-CN"/>
                    </w:rPr>
                    <w:t>264</w:t>
                  </w:r>
                </w:p>
              </w:tc>
              <w:tc>
                <w:tcPr>
                  <w:tcW w:w="1761" w:type="dxa"/>
                  <w:tcBorders>
                    <w:tl2br w:val="nil"/>
                    <w:tr2bl w:val="nil"/>
                  </w:tcBorders>
                  <w:vAlign w:val="center"/>
                </w:tcPr>
                <w:p w14:paraId="474ACCB5">
                  <w:pPr>
                    <w:widowControl/>
                    <w:jc w:val="center"/>
                    <w:textAlignment w:val="center"/>
                    <w:rPr>
                      <w:rFonts w:hint="default" w:eastAsia="宋体"/>
                      <w:szCs w:val="21"/>
                      <w:u w:val="single"/>
                      <w:lang w:val="en-US" w:eastAsia="zh-CN"/>
                    </w:rPr>
                  </w:pPr>
                  <w:r>
                    <w:rPr>
                      <w:rFonts w:hint="eastAsia"/>
                      <w:szCs w:val="21"/>
                      <w:u w:val="single"/>
                    </w:rPr>
                    <w:t>-0.00</w:t>
                  </w:r>
                  <w:r>
                    <w:rPr>
                      <w:rFonts w:hint="eastAsia"/>
                      <w:szCs w:val="21"/>
                      <w:u w:val="single"/>
                      <w:lang w:val="en-US" w:eastAsia="zh-CN"/>
                    </w:rPr>
                    <w:t>55</w:t>
                  </w:r>
                </w:p>
              </w:tc>
            </w:tr>
            <w:tr w14:paraId="3E18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70" w:type="dxa"/>
                  <w:vMerge w:val="continue"/>
                  <w:tcBorders>
                    <w:tl2br w:val="nil"/>
                    <w:tr2bl w:val="nil"/>
                  </w:tcBorders>
                  <w:vAlign w:val="center"/>
                </w:tcPr>
                <w:p w14:paraId="34E8B93B">
                  <w:pPr>
                    <w:jc w:val="center"/>
                    <w:rPr>
                      <w:szCs w:val="21"/>
                    </w:rPr>
                  </w:pPr>
                </w:p>
              </w:tc>
              <w:tc>
                <w:tcPr>
                  <w:tcW w:w="1554" w:type="dxa"/>
                  <w:tcBorders>
                    <w:tl2br w:val="nil"/>
                    <w:tr2bl w:val="nil"/>
                  </w:tcBorders>
                  <w:vAlign w:val="center"/>
                </w:tcPr>
                <w:p w14:paraId="60DD19B9">
                  <w:pPr>
                    <w:jc w:val="center"/>
                    <w:rPr>
                      <w:szCs w:val="21"/>
                    </w:rPr>
                  </w:pPr>
                  <w:r>
                    <w:rPr>
                      <w:rFonts w:hint="eastAsia"/>
                      <w:szCs w:val="21"/>
                    </w:rPr>
                    <w:t>NH</w:t>
                  </w:r>
                  <w:r>
                    <w:rPr>
                      <w:rFonts w:hint="eastAsia"/>
                      <w:szCs w:val="21"/>
                      <w:vertAlign w:val="subscript"/>
                    </w:rPr>
                    <w:t>3</w:t>
                  </w:r>
                  <w:r>
                    <w:rPr>
                      <w:rFonts w:hint="eastAsia"/>
                      <w:szCs w:val="21"/>
                    </w:rPr>
                    <w:t>-N</w:t>
                  </w:r>
                </w:p>
              </w:tc>
              <w:tc>
                <w:tcPr>
                  <w:tcW w:w="1618" w:type="dxa"/>
                  <w:tcBorders>
                    <w:tl2br w:val="nil"/>
                    <w:tr2bl w:val="nil"/>
                  </w:tcBorders>
                  <w:vAlign w:val="center"/>
                </w:tcPr>
                <w:p w14:paraId="16E21D35">
                  <w:pPr>
                    <w:jc w:val="center"/>
                    <w:rPr>
                      <w:szCs w:val="21"/>
                    </w:rPr>
                  </w:pPr>
                  <w:r>
                    <w:rPr>
                      <w:rFonts w:hint="eastAsia"/>
                      <w:szCs w:val="21"/>
                    </w:rPr>
                    <w:t>0.0016</w:t>
                  </w:r>
                </w:p>
              </w:tc>
              <w:tc>
                <w:tcPr>
                  <w:tcW w:w="1696" w:type="dxa"/>
                  <w:tcBorders>
                    <w:tl2br w:val="nil"/>
                    <w:tr2bl w:val="nil"/>
                  </w:tcBorders>
                  <w:vAlign w:val="center"/>
                </w:tcPr>
                <w:p w14:paraId="641669C1">
                  <w:pPr>
                    <w:jc w:val="center"/>
                    <w:rPr>
                      <w:szCs w:val="21"/>
                      <w:u w:val="single"/>
                    </w:rPr>
                  </w:pPr>
                  <w:r>
                    <w:rPr>
                      <w:rFonts w:hint="eastAsia"/>
                      <w:szCs w:val="21"/>
                      <w:u w:val="single"/>
                    </w:rPr>
                    <w:t>0.0013</w:t>
                  </w:r>
                </w:p>
              </w:tc>
              <w:tc>
                <w:tcPr>
                  <w:tcW w:w="1761" w:type="dxa"/>
                  <w:tcBorders>
                    <w:tl2br w:val="nil"/>
                    <w:tr2bl w:val="nil"/>
                  </w:tcBorders>
                  <w:vAlign w:val="center"/>
                </w:tcPr>
                <w:p w14:paraId="2C2840CA">
                  <w:pPr>
                    <w:widowControl/>
                    <w:jc w:val="center"/>
                    <w:textAlignment w:val="center"/>
                    <w:rPr>
                      <w:szCs w:val="21"/>
                      <w:u w:val="single"/>
                    </w:rPr>
                  </w:pPr>
                  <w:r>
                    <w:rPr>
                      <w:rFonts w:hint="eastAsia"/>
                      <w:szCs w:val="21"/>
                      <w:u w:val="single"/>
                    </w:rPr>
                    <w:t>-0.0003</w:t>
                  </w:r>
                </w:p>
              </w:tc>
            </w:tr>
          </w:tbl>
          <w:p w14:paraId="340DE2E8">
            <w:pPr>
              <w:spacing w:line="360" w:lineRule="auto"/>
              <w:ind w:firstLine="480" w:firstLineChars="200"/>
              <w:rPr>
                <w:sz w:val="24"/>
                <w:u w:val="single"/>
              </w:rPr>
            </w:pPr>
            <w:r>
              <w:rPr>
                <w:sz w:val="24"/>
                <w:u w:val="single"/>
              </w:rPr>
              <w:t>由上表可知</w:t>
            </w:r>
            <w:r>
              <w:rPr>
                <w:rFonts w:hint="eastAsia"/>
                <w:sz w:val="24"/>
                <w:u w:val="single"/>
              </w:rPr>
              <w:t>，</w:t>
            </w:r>
            <w:r>
              <w:rPr>
                <w:sz w:val="24"/>
                <w:u w:val="single"/>
              </w:rPr>
              <w:t>本项目污染物排放总量未超出原有项目环评审批总量</w:t>
            </w:r>
            <w:r>
              <w:rPr>
                <w:rFonts w:hint="eastAsia"/>
                <w:sz w:val="24"/>
                <w:u w:val="single"/>
              </w:rPr>
              <w:t>，</w:t>
            </w:r>
            <w:r>
              <w:rPr>
                <w:sz w:val="24"/>
                <w:u w:val="single"/>
              </w:rPr>
              <w:t>故本项目未新增污染物总量</w:t>
            </w:r>
            <w:r>
              <w:rPr>
                <w:rFonts w:hint="eastAsia"/>
                <w:sz w:val="24"/>
                <w:u w:val="single"/>
              </w:rPr>
              <w:t>。</w:t>
            </w:r>
          </w:p>
          <w:p w14:paraId="75E6F55F">
            <w:pPr>
              <w:spacing w:line="360" w:lineRule="auto"/>
              <w:ind w:firstLine="480" w:firstLineChars="200"/>
              <w:rPr>
                <w:sz w:val="24"/>
              </w:rPr>
            </w:pPr>
          </w:p>
          <w:p w14:paraId="50833B1F">
            <w:pPr>
              <w:spacing w:line="360" w:lineRule="auto"/>
              <w:ind w:firstLine="480" w:firstLineChars="200"/>
              <w:rPr>
                <w:sz w:val="24"/>
              </w:rPr>
            </w:pPr>
          </w:p>
        </w:tc>
      </w:tr>
    </w:tbl>
    <w:p w14:paraId="43112A15">
      <w:pPr>
        <w:pStyle w:val="34"/>
      </w:pPr>
      <w:r>
        <w:rPr>
          <w:sz w:val="36"/>
          <w:szCs w:val="36"/>
        </w:rPr>
        <w:br w:type="page"/>
      </w:r>
      <w:bookmarkStart w:id="6" w:name="_Toc157673389"/>
      <w:r>
        <w:rPr>
          <w:rFonts w:hint="eastAsia"/>
        </w:rPr>
        <w:t>四、主要环境影响和保护措施</w:t>
      </w:r>
      <w:bookmarkEnd w:id="6"/>
    </w:p>
    <w:tbl>
      <w:tblPr>
        <w:tblStyle w:val="3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309"/>
      </w:tblGrid>
      <w:tr w14:paraId="2F5D1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950" w:hRule="atLeast"/>
          <w:jc w:val="center"/>
        </w:trPr>
        <w:tc>
          <w:tcPr>
            <w:tcW w:w="599" w:type="dxa"/>
            <w:tcMar>
              <w:left w:w="28" w:type="dxa"/>
              <w:right w:w="28" w:type="dxa"/>
            </w:tcMar>
            <w:vAlign w:val="center"/>
          </w:tcPr>
          <w:p w14:paraId="407A85E9">
            <w:pPr>
              <w:pStyle w:val="33"/>
            </w:pPr>
            <w:bookmarkStart w:id="7" w:name="_Toc157673390"/>
            <w:r>
              <w:rPr>
                <w:rFonts w:hint="eastAsia"/>
              </w:rPr>
              <w:t>施工</w:t>
            </w:r>
            <w:bookmarkEnd w:id="7"/>
          </w:p>
          <w:p w14:paraId="67785C9A">
            <w:pPr>
              <w:pStyle w:val="33"/>
            </w:pPr>
            <w:bookmarkStart w:id="8" w:name="_Toc157673391"/>
            <w:r>
              <w:rPr>
                <w:rFonts w:hint="eastAsia"/>
              </w:rPr>
              <w:t>期环</w:t>
            </w:r>
            <w:bookmarkEnd w:id="8"/>
          </w:p>
          <w:p w14:paraId="3BFAF010">
            <w:pPr>
              <w:pStyle w:val="33"/>
            </w:pPr>
            <w:bookmarkStart w:id="9" w:name="_Toc157673392"/>
            <w:r>
              <w:rPr>
                <w:rFonts w:hint="eastAsia"/>
              </w:rPr>
              <w:t>境保</w:t>
            </w:r>
            <w:bookmarkEnd w:id="9"/>
          </w:p>
          <w:p w14:paraId="5F49EA16">
            <w:pPr>
              <w:pStyle w:val="33"/>
            </w:pPr>
            <w:bookmarkStart w:id="10" w:name="_Toc157673393"/>
            <w:r>
              <w:rPr>
                <w:rFonts w:hint="eastAsia"/>
              </w:rPr>
              <w:t>护措</w:t>
            </w:r>
            <w:bookmarkEnd w:id="10"/>
          </w:p>
          <w:p w14:paraId="469F7831">
            <w:pPr>
              <w:pStyle w:val="33"/>
            </w:pPr>
            <w:bookmarkStart w:id="11" w:name="_Toc157673394"/>
            <w:r>
              <w:rPr>
                <w:rFonts w:hint="eastAsia"/>
              </w:rPr>
              <w:t>施</w:t>
            </w:r>
            <w:bookmarkEnd w:id="11"/>
          </w:p>
        </w:tc>
        <w:tc>
          <w:tcPr>
            <w:tcW w:w="8309" w:type="dxa"/>
            <w:vAlign w:val="center"/>
          </w:tcPr>
          <w:p w14:paraId="7141CC68">
            <w:pPr>
              <w:adjustRightInd w:val="0"/>
              <w:snapToGrid w:val="0"/>
              <w:spacing w:line="360" w:lineRule="auto"/>
              <w:ind w:firstLine="480" w:firstLineChars="200"/>
              <w:rPr>
                <w:sz w:val="24"/>
              </w:rPr>
            </w:pPr>
            <w:r>
              <w:rPr>
                <w:rFonts w:hint="eastAsia"/>
                <w:sz w:val="24"/>
              </w:rPr>
              <w:t>本项目为</w:t>
            </w:r>
            <w:r>
              <w:rPr>
                <w:rFonts w:hint="eastAsia"/>
                <w:sz w:val="24"/>
                <w:lang w:eastAsia="zh-CN"/>
              </w:rPr>
              <w:t>因厂址变化导致重大变动后重新报批项目</w:t>
            </w:r>
            <w:r>
              <w:rPr>
                <w:rFonts w:hint="eastAsia"/>
                <w:sz w:val="24"/>
              </w:rPr>
              <w:t>，</w:t>
            </w:r>
            <w:r>
              <w:rPr>
                <w:rFonts w:hint="eastAsia"/>
                <w:sz w:val="24"/>
                <w:lang w:val="en-US" w:eastAsia="zh-CN"/>
              </w:rPr>
              <w:t>本</w:t>
            </w:r>
            <w:r>
              <w:rPr>
                <w:rFonts w:hint="eastAsia"/>
                <w:sz w:val="24"/>
              </w:rPr>
              <w:t>项目租用1座单层厂房作为本项目生产车间，施工期主要为生产设备的安装、调试。施工量较少，施工期较短，因此，本次评价不再对施工期环境影响进行分析。</w:t>
            </w:r>
          </w:p>
        </w:tc>
      </w:tr>
      <w:tr w14:paraId="54350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9" w:hRule="atLeast"/>
          <w:jc w:val="center"/>
        </w:trPr>
        <w:tc>
          <w:tcPr>
            <w:tcW w:w="599" w:type="dxa"/>
            <w:tcMar>
              <w:left w:w="28" w:type="dxa"/>
              <w:right w:w="28" w:type="dxa"/>
            </w:tcMar>
            <w:vAlign w:val="center"/>
          </w:tcPr>
          <w:p w14:paraId="62B77EE9">
            <w:pPr>
              <w:pStyle w:val="33"/>
            </w:pPr>
            <w:bookmarkStart w:id="12" w:name="_Toc157673395"/>
            <w:r>
              <w:rPr>
                <w:rFonts w:hint="eastAsia"/>
              </w:rPr>
              <w:t>营运期环境影响和保护措施</w:t>
            </w:r>
            <w:bookmarkEnd w:id="12"/>
          </w:p>
        </w:tc>
        <w:tc>
          <w:tcPr>
            <w:tcW w:w="8309" w:type="dxa"/>
            <w:vAlign w:val="center"/>
          </w:tcPr>
          <w:p w14:paraId="50D1EC29">
            <w:pPr>
              <w:adjustRightInd w:val="0"/>
              <w:snapToGrid w:val="0"/>
              <w:spacing w:line="360" w:lineRule="auto"/>
              <w:ind w:firstLine="482" w:firstLineChars="200"/>
              <w:rPr>
                <w:b/>
                <w:sz w:val="24"/>
              </w:rPr>
            </w:pPr>
            <w:r>
              <w:rPr>
                <w:rFonts w:hint="eastAsia"/>
                <w:b/>
                <w:sz w:val="24"/>
              </w:rPr>
              <w:t>1、营运期</w:t>
            </w:r>
            <w:r>
              <w:rPr>
                <w:b/>
                <w:sz w:val="24"/>
              </w:rPr>
              <w:t>废气环境影响和保护措施</w:t>
            </w:r>
          </w:p>
          <w:p w14:paraId="01AC5555">
            <w:pPr>
              <w:spacing w:line="360" w:lineRule="auto"/>
              <w:ind w:firstLine="480" w:firstLineChars="200"/>
              <w:rPr>
                <w:rFonts w:cs="宋体"/>
                <w:sz w:val="24"/>
              </w:rPr>
            </w:pPr>
            <w:r>
              <w:rPr>
                <w:rFonts w:hint="eastAsia" w:cs="宋体"/>
                <w:sz w:val="24"/>
              </w:rPr>
              <w:t>本项目营运期废气污染源主要为中空工序有机废气。</w:t>
            </w:r>
          </w:p>
          <w:p w14:paraId="5498D57F">
            <w:pPr>
              <w:spacing w:line="360" w:lineRule="auto"/>
              <w:ind w:firstLine="472" w:firstLineChars="196"/>
              <w:rPr>
                <w:b/>
                <w:sz w:val="24"/>
              </w:rPr>
            </w:pPr>
            <w:r>
              <w:rPr>
                <w:rFonts w:hint="eastAsia"/>
                <w:b/>
                <w:sz w:val="24"/>
              </w:rPr>
              <w:t>1.1废气污染物源强分析</w:t>
            </w:r>
          </w:p>
          <w:p w14:paraId="3A6ABF7A">
            <w:pPr>
              <w:spacing w:line="360" w:lineRule="auto"/>
              <w:ind w:firstLine="480" w:firstLineChars="200"/>
              <w:rPr>
                <w:sz w:val="24"/>
              </w:rPr>
            </w:pPr>
            <w:r>
              <w:rPr>
                <w:rFonts w:hint="eastAsia"/>
                <w:sz w:val="24"/>
              </w:rPr>
              <w:t>本项目</w:t>
            </w:r>
            <w:r>
              <w:rPr>
                <w:sz w:val="24"/>
              </w:rPr>
              <w:t>废气污染源强核算结果、排放形式及污染防治设施见表4-</w:t>
            </w:r>
            <w:r>
              <w:rPr>
                <w:rFonts w:hint="eastAsia"/>
                <w:sz w:val="24"/>
              </w:rPr>
              <w:t>1</w:t>
            </w:r>
            <w:r>
              <w:rPr>
                <w:sz w:val="24"/>
              </w:rPr>
              <w:t>。</w:t>
            </w:r>
            <w:r>
              <w:rPr>
                <w:rFonts w:hint="eastAsia"/>
                <w:sz w:val="24"/>
              </w:rPr>
              <w:t>本项目废气排放口基本情况见表4-2。</w:t>
            </w:r>
          </w:p>
          <w:p w14:paraId="0CDDEAF0">
            <w:pPr>
              <w:spacing w:line="360" w:lineRule="auto"/>
              <w:ind w:firstLine="480" w:firstLineChars="200"/>
              <w:rPr>
                <w:sz w:val="24"/>
              </w:rPr>
            </w:pPr>
          </w:p>
          <w:p w14:paraId="5DA709BF">
            <w:pPr>
              <w:spacing w:line="360" w:lineRule="auto"/>
              <w:ind w:firstLine="480" w:firstLineChars="200"/>
              <w:rPr>
                <w:sz w:val="24"/>
              </w:rPr>
            </w:pPr>
          </w:p>
          <w:p w14:paraId="34F57295">
            <w:pPr>
              <w:spacing w:line="360" w:lineRule="auto"/>
              <w:ind w:firstLine="480" w:firstLineChars="200"/>
              <w:rPr>
                <w:sz w:val="24"/>
              </w:rPr>
            </w:pPr>
          </w:p>
          <w:p w14:paraId="34B0BCE5">
            <w:pPr>
              <w:spacing w:line="360" w:lineRule="auto"/>
              <w:ind w:firstLine="480" w:firstLineChars="200"/>
              <w:rPr>
                <w:sz w:val="24"/>
              </w:rPr>
            </w:pPr>
          </w:p>
          <w:p w14:paraId="7CB3CBDC">
            <w:pPr>
              <w:spacing w:line="360" w:lineRule="auto"/>
              <w:ind w:firstLine="480" w:firstLineChars="200"/>
              <w:rPr>
                <w:sz w:val="24"/>
              </w:rPr>
            </w:pPr>
          </w:p>
          <w:p w14:paraId="28AA41EE">
            <w:pPr>
              <w:spacing w:line="360" w:lineRule="auto"/>
              <w:ind w:firstLine="480" w:firstLineChars="200"/>
              <w:rPr>
                <w:sz w:val="24"/>
              </w:rPr>
            </w:pPr>
          </w:p>
          <w:p w14:paraId="73694C19">
            <w:pPr>
              <w:spacing w:line="360" w:lineRule="auto"/>
              <w:ind w:firstLine="480" w:firstLineChars="200"/>
              <w:rPr>
                <w:sz w:val="24"/>
              </w:rPr>
            </w:pPr>
          </w:p>
          <w:p w14:paraId="70F23336">
            <w:pPr>
              <w:spacing w:line="360" w:lineRule="auto"/>
              <w:ind w:firstLine="480" w:firstLineChars="200"/>
              <w:rPr>
                <w:sz w:val="24"/>
              </w:rPr>
            </w:pPr>
          </w:p>
          <w:p w14:paraId="36959D5B">
            <w:pPr>
              <w:spacing w:line="360" w:lineRule="auto"/>
              <w:ind w:firstLine="480" w:firstLineChars="200"/>
              <w:rPr>
                <w:sz w:val="24"/>
              </w:rPr>
            </w:pPr>
          </w:p>
          <w:p w14:paraId="5075E44B">
            <w:pPr>
              <w:spacing w:line="360" w:lineRule="auto"/>
              <w:ind w:firstLine="480" w:firstLineChars="200"/>
              <w:rPr>
                <w:sz w:val="24"/>
              </w:rPr>
            </w:pPr>
          </w:p>
          <w:p w14:paraId="1F5DD057">
            <w:pPr>
              <w:spacing w:line="360" w:lineRule="auto"/>
              <w:ind w:firstLine="480" w:firstLineChars="200"/>
              <w:rPr>
                <w:sz w:val="24"/>
              </w:rPr>
            </w:pPr>
          </w:p>
          <w:p w14:paraId="7DF0670D">
            <w:pPr>
              <w:spacing w:line="360" w:lineRule="auto"/>
              <w:ind w:firstLine="480" w:firstLineChars="200"/>
              <w:rPr>
                <w:sz w:val="24"/>
              </w:rPr>
            </w:pPr>
          </w:p>
          <w:p w14:paraId="35FF85BA">
            <w:pPr>
              <w:spacing w:line="360" w:lineRule="auto"/>
              <w:ind w:firstLine="480" w:firstLineChars="200"/>
              <w:rPr>
                <w:sz w:val="24"/>
              </w:rPr>
            </w:pPr>
          </w:p>
          <w:p w14:paraId="20CBBE66">
            <w:pPr>
              <w:spacing w:line="360" w:lineRule="auto"/>
              <w:ind w:firstLine="480" w:firstLineChars="200"/>
              <w:rPr>
                <w:sz w:val="24"/>
              </w:rPr>
            </w:pPr>
          </w:p>
          <w:p w14:paraId="22DAD9E3">
            <w:pPr>
              <w:spacing w:line="360" w:lineRule="auto"/>
              <w:ind w:firstLine="480" w:firstLineChars="200"/>
              <w:rPr>
                <w:sz w:val="24"/>
              </w:rPr>
            </w:pPr>
          </w:p>
          <w:p w14:paraId="5A88B0D0">
            <w:pPr>
              <w:spacing w:line="360" w:lineRule="auto"/>
              <w:ind w:firstLine="480" w:firstLineChars="200"/>
              <w:rPr>
                <w:sz w:val="24"/>
              </w:rPr>
            </w:pPr>
          </w:p>
          <w:p w14:paraId="0658961B">
            <w:pPr>
              <w:pStyle w:val="37"/>
              <w:jc w:val="both"/>
            </w:pPr>
          </w:p>
        </w:tc>
      </w:tr>
    </w:tbl>
    <w:p w14:paraId="0BAC12EA">
      <w:pPr>
        <w:pStyle w:val="33"/>
        <w:sectPr>
          <w:pgSz w:w="11907" w:h="16840"/>
          <w:pgMar w:top="1701" w:right="1531" w:bottom="2127" w:left="1531" w:header="851" w:footer="1134" w:gutter="0"/>
          <w:cols w:space="720" w:num="1"/>
          <w:docGrid w:linePitch="312" w:charSpace="0"/>
        </w:sectPr>
      </w:pPr>
    </w:p>
    <w:tbl>
      <w:tblPr>
        <w:tblStyle w:val="38"/>
        <w:tblW w:w="134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2857"/>
      </w:tblGrid>
      <w:tr w14:paraId="189C1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95" w:hRule="atLeast"/>
          <w:jc w:val="center"/>
        </w:trPr>
        <w:tc>
          <w:tcPr>
            <w:tcW w:w="581" w:type="dxa"/>
            <w:tcMar>
              <w:left w:w="28" w:type="dxa"/>
              <w:right w:w="28" w:type="dxa"/>
            </w:tcMar>
            <w:vAlign w:val="center"/>
          </w:tcPr>
          <w:p w14:paraId="3E0C3908">
            <w:pPr>
              <w:adjustRightInd w:val="0"/>
              <w:snapToGrid w:val="0"/>
              <w:spacing w:line="360" w:lineRule="auto"/>
              <w:jc w:val="center"/>
              <w:rPr>
                <w:rFonts w:ascii="宋体" w:hAnsi="宋体" w:cs="宋体"/>
                <w:b/>
                <w:bCs/>
                <w:sz w:val="24"/>
              </w:rPr>
            </w:pPr>
            <w:r>
              <w:rPr>
                <w:rFonts w:hint="eastAsia" w:ascii="宋体" w:hAnsi="宋体" w:cs="宋体"/>
                <w:b/>
                <w:bCs/>
                <w:sz w:val="24"/>
              </w:rPr>
              <w:t>运营</w:t>
            </w:r>
          </w:p>
          <w:p w14:paraId="5227B907">
            <w:pPr>
              <w:adjustRightInd w:val="0"/>
              <w:snapToGrid w:val="0"/>
              <w:spacing w:line="360" w:lineRule="auto"/>
              <w:jc w:val="center"/>
              <w:rPr>
                <w:rFonts w:ascii="宋体" w:hAnsi="宋体" w:cs="宋体"/>
                <w:b/>
                <w:bCs/>
                <w:sz w:val="24"/>
              </w:rPr>
            </w:pPr>
            <w:r>
              <w:rPr>
                <w:rFonts w:hint="eastAsia" w:ascii="宋体" w:hAnsi="宋体" w:cs="宋体"/>
                <w:b/>
                <w:bCs/>
                <w:sz w:val="24"/>
              </w:rPr>
              <w:t>期环</w:t>
            </w:r>
          </w:p>
          <w:p w14:paraId="4BC01839">
            <w:pPr>
              <w:adjustRightInd w:val="0"/>
              <w:snapToGrid w:val="0"/>
              <w:spacing w:line="360" w:lineRule="auto"/>
              <w:jc w:val="center"/>
              <w:rPr>
                <w:rFonts w:ascii="宋体" w:hAnsi="宋体" w:cs="宋体"/>
                <w:b/>
                <w:bCs/>
                <w:sz w:val="24"/>
              </w:rPr>
            </w:pPr>
            <w:r>
              <w:rPr>
                <w:rFonts w:hint="eastAsia" w:ascii="宋体" w:hAnsi="宋体" w:cs="宋体"/>
                <w:b/>
                <w:bCs/>
                <w:sz w:val="24"/>
              </w:rPr>
              <w:t>境影</w:t>
            </w:r>
          </w:p>
          <w:p w14:paraId="05EF986C">
            <w:pPr>
              <w:adjustRightInd w:val="0"/>
              <w:snapToGrid w:val="0"/>
              <w:spacing w:line="360" w:lineRule="auto"/>
              <w:jc w:val="center"/>
              <w:rPr>
                <w:rFonts w:ascii="宋体" w:hAnsi="宋体" w:cs="宋体"/>
                <w:b/>
                <w:bCs/>
                <w:sz w:val="24"/>
              </w:rPr>
            </w:pPr>
            <w:r>
              <w:rPr>
                <w:rFonts w:hint="eastAsia" w:ascii="宋体" w:hAnsi="宋体" w:cs="宋体"/>
                <w:b/>
                <w:bCs/>
                <w:sz w:val="24"/>
              </w:rPr>
              <w:t>响和</w:t>
            </w:r>
          </w:p>
          <w:p w14:paraId="5A4A19E7">
            <w:pPr>
              <w:adjustRightInd w:val="0"/>
              <w:snapToGrid w:val="0"/>
              <w:spacing w:line="360" w:lineRule="auto"/>
              <w:jc w:val="center"/>
              <w:rPr>
                <w:rFonts w:ascii="宋体" w:hAnsi="宋体" w:cs="宋体"/>
                <w:b/>
                <w:bCs/>
                <w:sz w:val="24"/>
              </w:rPr>
            </w:pPr>
            <w:r>
              <w:rPr>
                <w:rFonts w:hint="eastAsia" w:ascii="宋体" w:hAnsi="宋体" w:cs="宋体"/>
                <w:b/>
                <w:bCs/>
                <w:sz w:val="24"/>
              </w:rPr>
              <w:t>保护</w:t>
            </w:r>
          </w:p>
          <w:p w14:paraId="3BDB5347">
            <w:pPr>
              <w:adjustRightInd w:val="0"/>
              <w:snapToGrid w:val="0"/>
              <w:spacing w:line="360" w:lineRule="auto"/>
              <w:jc w:val="center"/>
              <w:rPr>
                <w:rFonts w:ascii="宋体" w:hAnsi="宋体" w:cs="宋体"/>
                <w:bCs/>
                <w:szCs w:val="21"/>
              </w:rPr>
            </w:pPr>
            <w:r>
              <w:rPr>
                <w:rFonts w:hint="eastAsia" w:ascii="宋体" w:hAnsi="宋体" w:cs="宋体"/>
                <w:b/>
                <w:bCs/>
                <w:sz w:val="24"/>
              </w:rPr>
              <w:t>措施</w:t>
            </w:r>
          </w:p>
        </w:tc>
        <w:tc>
          <w:tcPr>
            <w:tcW w:w="12857" w:type="dxa"/>
            <w:vAlign w:val="center"/>
          </w:tcPr>
          <w:p w14:paraId="7C88D629">
            <w:pPr>
              <w:pStyle w:val="137"/>
              <w:numPr>
                <w:ilvl w:val="0"/>
                <w:numId w:val="7"/>
              </w:numPr>
              <w:adjustRightInd w:val="0"/>
              <w:snapToGrid w:val="0"/>
              <w:ind w:firstLineChars="0"/>
              <w:jc w:val="center"/>
              <w:rPr>
                <w:b/>
                <w:szCs w:val="21"/>
              </w:rPr>
            </w:pPr>
            <w:r>
              <w:rPr>
                <w:rFonts w:hint="eastAsia"/>
                <w:b/>
                <w:szCs w:val="21"/>
              </w:rPr>
              <w:t>本</w:t>
            </w:r>
            <w:r>
              <w:rPr>
                <w:b/>
                <w:szCs w:val="21"/>
              </w:rPr>
              <w:t>项目废气污染源强核算结果</w:t>
            </w:r>
            <w:r>
              <w:rPr>
                <w:rFonts w:hint="eastAsia"/>
                <w:b/>
                <w:szCs w:val="21"/>
              </w:rPr>
              <w:t>、</w:t>
            </w:r>
            <w:r>
              <w:rPr>
                <w:b/>
                <w:szCs w:val="21"/>
              </w:rPr>
              <w:t>排放形式及污染防治设施一览表</w:t>
            </w:r>
          </w:p>
          <w:tbl>
            <w:tblPr>
              <w:tblStyle w:val="38"/>
              <w:tblW w:w="12720"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41"/>
              <w:gridCol w:w="375"/>
              <w:gridCol w:w="350"/>
              <w:gridCol w:w="300"/>
              <w:gridCol w:w="375"/>
              <w:gridCol w:w="700"/>
              <w:gridCol w:w="762"/>
              <w:gridCol w:w="738"/>
              <w:gridCol w:w="712"/>
              <w:gridCol w:w="891"/>
              <w:gridCol w:w="476"/>
              <w:gridCol w:w="764"/>
              <w:gridCol w:w="385"/>
              <w:gridCol w:w="712"/>
              <w:gridCol w:w="863"/>
              <w:gridCol w:w="860"/>
              <w:gridCol w:w="850"/>
              <w:gridCol w:w="960"/>
              <w:gridCol w:w="806"/>
            </w:tblGrid>
            <w:tr w14:paraId="63061EE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0" w:hRule="atLeast"/>
                <w:jc w:val="center"/>
              </w:trPr>
              <w:tc>
                <w:tcPr>
                  <w:tcW w:w="841" w:type="dxa"/>
                  <w:vMerge w:val="restart"/>
                  <w:vAlign w:val="center"/>
                </w:tcPr>
                <w:p w14:paraId="20BD06DD">
                  <w:pPr>
                    <w:widowControl/>
                    <w:jc w:val="center"/>
                    <w:textAlignment w:val="center"/>
                    <w:rPr>
                      <w:b/>
                      <w:bCs/>
                      <w:sz w:val="18"/>
                      <w:szCs w:val="18"/>
                    </w:rPr>
                  </w:pPr>
                  <w:r>
                    <w:rPr>
                      <w:b/>
                      <w:bCs/>
                      <w:kern w:val="0"/>
                      <w:sz w:val="18"/>
                      <w:szCs w:val="18"/>
                      <w:lang w:bidi="ar"/>
                    </w:rPr>
                    <w:t>工序</w:t>
                  </w:r>
                  <w:r>
                    <w:rPr>
                      <w:rStyle w:val="115"/>
                      <w:color w:val="auto"/>
                      <w:lang w:bidi="ar"/>
                    </w:rPr>
                    <w:t>/</w:t>
                  </w:r>
                  <w:r>
                    <w:rPr>
                      <w:b/>
                      <w:bCs/>
                      <w:kern w:val="0"/>
                      <w:sz w:val="18"/>
                      <w:szCs w:val="18"/>
                      <w:lang w:bidi="ar"/>
                    </w:rPr>
                    <w:t>生产线</w:t>
                  </w:r>
                </w:p>
              </w:tc>
              <w:tc>
                <w:tcPr>
                  <w:tcW w:w="375" w:type="dxa"/>
                  <w:vMerge w:val="restart"/>
                  <w:vAlign w:val="center"/>
                </w:tcPr>
                <w:p w14:paraId="218558C1">
                  <w:pPr>
                    <w:widowControl/>
                    <w:jc w:val="center"/>
                    <w:textAlignment w:val="center"/>
                    <w:rPr>
                      <w:b/>
                      <w:bCs/>
                      <w:sz w:val="18"/>
                      <w:szCs w:val="18"/>
                    </w:rPr>
                  </w:pPr>
                  <w:r>
                    <w:rPr>
                      <w:b/>
                      <w:bCs/>
                      <w:kern w:val="0"/>
                      <w:sz w:val="18"/>
                      <w:szCs w:val="18"/>
                      <w:lang w:bidi="ar"/>
                    </w:rPr>
                    <w:t>装置</w:t>
                  </w:r>
                </w:p>
              </w:tc>
              <w:tc>
                <w:tcPr>
                  <w:tcW w:w="350" w:type="dxa"/>
                  <w:vMerge w:val="restart"/>
                  <w:vAlign w:val="center"/>
                </w:tcPr>
                <w:p w14:paraId="3650B106">
                  <w:pPr>
                    <w:widowControl/>
                    <w:jc w:val="center"/>
                    <w:textAlignment w:val="center"/>
                    <w:rPr>
                      <w:b/>
                      <w:bCs/>
                      <w:sz w:val="18"/>
                      <w:szCs w:val="18"/>
                    </w:rPr>
                  </w:pPr>
                  <w:r>
                    <w:rPr>
                      <w:rFonts w:hint="eastAsia"/>
                      <w:b/>
                      <w:bCs/>
                      <w:kern w:val="0"/>
                      <w:sz w:val="18"/>
                      <w:szCs w:val="18"/>
                      <w:lang w:bidi="ar"/>
                    </w:rPr>
                    <w:t>排放形式</w:t>
                  </w:r>
                </w:p>
              </w:tc>
              <w:tc>
                <w:tcPr>
                  <w:tcW w:w="300" w:type="dxa"/>
                  <w:vMerge w:val="restart"/>
                  <w:vAlign w:val="center"/>
                </w:tcPr>
                <w:p w14:paraId="1A8D3329">
                  <w:pPr>
                    <w:widowControl/>
                    <w:jc w:val="center"/>
                    <w:textAlignment w:val="center"/>
                    <w:rPr>
                      <w:b/>
                      <w:bCs/>
                      <w:sz w:val="18"/>
                      <w:szCs w:val="18"/>
                    </w:rPr>
                  </w:pPr>
                  <w:r>
                    <w:rPr>
                      <w:b/>
                      <w:bCs/>
                      <w:kern w:val="0"/>
                      <w:sz w:val="18"/>
                      <w:szCs w:val="18"/>
                      <w:lang w:bidi="ar"/>
                    </w:rPr>
                    <w:t>污染物</w:t>
                  </w:r>
                </w:p>
              </w:tc>
              <w:tc>
                <w:tcPr>
                  <w:tcW w:w="3287" w:type="dxa"/>
                  <w:gridSpan w:val="5"/>
                  <w:vAlign w:val="center"/>
                </w:tcPr>
                <w:p w14:paraId="37FF5EBB">
                  <w:pPr>
                    <w:widowControl/>
                    <w:jc w:val="center"/>
                    <w:textAlignment w:val="center"/>
                    <w:rPr>
                      <w:b/>
                      <w:bCs/>
                      <w:kern w:val="0"/>
                      <w:sz w:val="18"/>
                      <w:szCs w:val="18"/>
                      <w:lang w:bidi="ar"/>
                    </w:rPr>
                  </w:pPr>
                  <w:r>
                    <w:rPr>
                      <w:b/>
                      <w:bCs/>
                      <w:kern w:val="0"/>
                      <w:sz w:val="18"/>
                      <w:szCs w:val="18"/>
                      <w:lang w:bidi="ar"/>
                    </w:rPr>
                    <w:t>污染物产生</w:t>
                  </w:r>
                </w:p>
              </w:tc>
              <w:tc>
                <w:tcPr>
                  <w:tcW w:w="2516" w:type="dxa"/>
                  <w:gridSpan w:val="4"/>
                  <w:vAlign w:val="center"/>
                </w:tcPr>
                <w:p w14:paraId="2AEBD7FA">
                  <w:pPr>
                    <w:widowControl/>
                    <w:jc w:val="center"/>
                    <w:textAlignment w:val="center"/>
                    <w:rPr>
                      <w:b/>
                      <w:bCs/>
                      <w:sz w:val="18"/>
                      <w:szCs w:val="18"/>
                    </w:rPr>
                  </w:pPr>
                  <w:r>
                    <w:rPr>
                      <w:b/>
                      <w:bCs/>
                      <w:kern w:val="0"/>
                      <w:sz w:val="18"/>
                      <w:szCs w:val="18"/>
                      <w:lang w:bidi="ar"/>
                    </w:rPr>
                    <w:t>治理措施</w:t>
                  </w:r>
                </w:p>
              </w:tc>
              <w:tc>
                <w:tcPr>
                  <w:tcW w:w="3285" w:type="dxa"/>
                  <w:gridSpan w:val="4"/>
                  <w:vAlign w:val="center"/>
                </w:tcPr>
                <w:p w14:paraId="4A8C4942">
                  <w:pPr>
                    <w:widowControl/>
                    <w:jc w:val="center"/>
                    <w:textAlignment w:val="center"/>
                    <w:rPr>
                      <w:b/>
                      <w:bCs/>
                      <w:sz w:val="18"/>
                      <w:szCs w:val="18"/>
                    </w:rPr>
                  </w:pPr>
                  <w:r>
                    <w:rPr>
                      <w:rFonts w:hint="eastAsia"/>
                      <w:b/>
                      <w:bCs/>
                      <w:sz w:val="18"/>
                      <w:szCs w:val="18"/>
                    </w:rPr>
                    <w:t>污染物排放</w:t>
                  </w:r>
                </w:p>
              </w:tc>
              <w:tc>
                <w:tcPr>
                  <w:tcW w:w="960" w:type="dxa"/>
                  <w:vMerge w:val="restart"/>
                  <w:vAlign w:val="center"/>
                </w:tcPr>
                <w:p w14:paraId="5D48A906">
                  <w:pPr>
                    <w:widowControl/>
                    <w:jc w:val="center"/>
                    <w:textAlignment w:val="center"/>
                    <w:rPr>
                      <w:b/>
                      <w:bCs/>
                      <w:sz w:val="18"/>
                      <w:szCs w:val="18"/>
                    </w:rPr>
                  </w:pPr>
                  <w:r>
                    <w:rPr>
                      <w:b/>
                      <w:bCs/>
                      <w:kern w:val="0"/>
                      <w:sz w:val="18"/>
                      <w:szCs w:val="18"/>
                      <w:lang w:bidi="ar"/>
                    </w:rPr>
                    <w:t>排放时间</w:t>
                  </w:r>
                  <w:r>
                    <w:rPr>
                      <w:rStyle w:val="115"/>
                      <w:color w:val="auto"/>
                      <w:lang w:bidi="ar"/>
                    </w:rPr>
                    <w:t>/h</w:t>
                  </w:r>
                </w:p>
              </w:tc>
              <w:tc>
                <w:tcPr>
                  <w:tcW w:w="806" w:type="dxa"/>
                  <w:vMerge w:val="restart"/>
                  <w:vAlign w:val="center"/>
                </w:tcPr>
                <w:p w14:paraId="70D18947">
                  <w:pPr>
                    <w:widowControl/>
                    <w:jc w:val="center"/>
                    <w:textAlignment w:val="center"/>
                    <w:rPr>
                      <w:b/>
                      <w:bCs/>
                      <w:sz w:val="18"/>
                      <w:szCs w:val="18"/>
                    </w:rPr>
                  </w:pPr>
                  <w:r>
                    <w:rPr>
                      <w:b/>
                      <w:bCs/>
                      <w:kern w:val="0"/>
                      <w:sz w:val="18"/>
                      <w:szCs w:val="18"/>
                      <w:lang w:bidi="ar"/>
                    </w:rPr>
                    <w:t>排气筒编号</w:t>
                  </w:r>
                </w:p>
              </w:tc>
            </w:tr>
            <w:tr w14:paraId="2B80574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163" w:hRule="atLeast"/>
                <w:jc w:val="center"/>
              </w:trPr>
              <w:tc>
                <w:tcPr>
                  <w:tcW w:w="841" w:type="dxa"/>
                  <w:vMerge w:val="continue"/>
                  <w:vAlign w:val="center"/>
                </w:tcPr>
                <w:p w14:paraId="67D8289E">
                  <w:pPr>
                    <w:jc w:val="center"/>
                    <w:rPr>
                      <w:b/>
                      <w:bCs/>
                      <w:sz w:val="18"/>
                      <w:szCs w:val="18"/>
                    </w:rPr>
                  </w:pPr>
                </w:p>
              </w:tc>
              <w:tc>
                <w:tcPr>
                  <w:tcW w:w="375" w:type="dxa"/>
                  <w:vMerge w:val="continue"/>
                  <w:vAlign w:val="center"/>
                </w:tcPr>
                <w:p w14:paraId="28D3FE99">
                  <w:pPr>
                    <w:jc w:val="center"/>
                    <w:rPr>
                      <w:b/>
                      <w:bCs/>
                      <w:sz w:val="18"/>
                      <w:szCs w:val="18"/>
                    </w:rPr>
                  </w:pPr>
                </w:p>
              </w:tc>
              <w:tc>
                <w:tcPr>
                  <w:tcW w:w="350" w:type="dxa"/>
                  <w:vMerge w:val="continue"/>
                  <w:vAlign w:val="center"/>
                </w:tcPr>
                <w:p w14:paraId="50ABEE74">
                  <w:pPr>
                    <w:jc w:val="center"/>
                    <w:rPr>
                      <w:b/>
                      <w:bCs/>
                      <w:sz w:val="18"/>
                      <w:szCs w:val="18"/>
                    </w:rPr>
                  </w:pPr>
                </w:p>
              </w:tc>
              <w:tc>
                <w:tcPr>
                  <w:tcW w:w="300" w:type="dxa"/>
                  <w:vMerge w:val="continue"/>
                  <w:vAlign w:val="center"/>
                </w:tcPr>
                <w:p w14:paraId="64449C60">
                  <w:pPr>
                    <w:jc w:val="center"/>
                    <w:rPr>
                      <w:b/>
                      <w:bCs/>
                      <w:sz w:val="18"/>
                      <w:szCs w:val="18"/>
                    </w:rPr>
                  </w:pPr>
                </w:p>
              </w:tc>
              <w:tc>
                <w:tcPr>
                  <w:tcW w:w="375" w:type="dxa"/>
                  <w:vAlign w:val="center"/>
                </w:tcPr>
                <w:p w14:paraId="06B5226A">
                  <w:pPr>
                    <w:widowControl/>
                    <w:jc w:val="center"/>
                    <w:textAlignment w:val="center"/>
                    <w:rPr>
                      <w:b/>
                      <w:bCs/>
                      <w:sz w:val="18"/>
                      <w:szCs w:val="18"/>
                    </w:rPr>
                  </w:pPr>
                  <w:r>
                    <w:rPr>
                      <w:b/>
                      <w:bCs/>
                      <w:kern w:val="0"/>
                      <w:sz w:val="18"/>
                      <w:szCs w:val="18"/>
                      <w:lang w:bidi="ar"/>
                    </w:rPr>
                    <w:t>核算方法</w:t>
                  </w:r>
                </w:p>
              </w:tc>
              <w:tc>
                <w:tcPr>
                  <w:tcW w:w="700" w:type="dxa"/>
                  <w:vAlign w:val="center"/>
                </w:tcPr>
                <w:p w14:paraId="1E01CFF5">
                  <w:pPr>
                    <w:widowControl/>
                    <w:jc w:val="center"/>
                    <w:textAlignment w:val="center"/>
                    <w:rPr>
                      <w:b/>
                      <w:bCs/>
                      <w:sz w:val="18"/>
                      <w:szCs w:val="18"/>
                    </w:rPr>
                  </w:pPr>
                  <w:r>
                    <w:rPr>
                      <w:b/>
                      <w:bCs/>
                      <w:sz w:val="18"/>
                      <w:szCs w:val="18"/>
                    </w:rPr>
                    <w:t>废气量m</w:t>
                  </w:r>
                  <w:r>
                    <w:rPr>
                      <w:b/>
                      <w:bCs/>
                      <w:sz w:val="18"/>
                      <w:szCs w:val="18"/>
                      <w:vertAlign w:val="superscript"/>
                    </w:rPr>
                    <w:t>3</w:t>
                  </w:r>
                  <w:r>
                    <w:rPr>
                      <w:b/>
                      <w:bCs/>
                      <w:sz w:val="18"/>
                      <w:szCs w:val="18"/>
                    </w:rPr>
                    <w:t>/h</w:t>
                  </w:r>
                </w:p>
              </w:tc>
              <w:tc>
                <w:tcPr>
                  <w:tcW w:w="762" w:type="dxa"/>
                  <w:vAlign w:val="center"/>
                </w:tcPr>
                <w:p w14:paraId="2A10C11D">
                  <w:pPr>
                    <w:widowControl/>
                    <w:jc w:val="center"/>
                    <w:textAlignment w:val="center"/>
                    <w:rPr>
                      <w:b/>
                      <w:bCs/>
                      <w:sz w:val="18"/>
                      <w:szCs w:val="18"/>
                    </w:rPr>
                  </w:pPr>
                  <w:r>
                    <w:rPr>
                      <w:b/>
                      <w:bCs/>
                      <w:kern w:val="0"/>
                      <w:sz w:val="18"/>
                      <w:szCs w:val="18"/>
                      <w:lang w:bidi="ar"/>
                    </w:rPr>
                    <w:t>浓度</w:t>
                  </w:r>
                  <w:r>
                    <w:rPr>
                      <w:rStyle w:val="115"/>
                      <w:color w:val="auto"/>
                      <w:lang w:bidi="ar"/>
                    </w:rPr>
                    <w:t>mg/m³</w:t>
                  </w:r>
                </w:p>
              </w:tc>
              <w:tc>
                <w:tcPr>
                  <w:tcW w:w="738" w:type="dxa"/>
                  <w:vAlign w:val="center"/>
                </w:tcPr>
                <w:p w14:paraId="70E6FCF1">
                  <w:pPr>
                    <w:widowControl/>
                    <w:jc w:val="center"/>
                    <w:textAlignment w:val="center"/>
                    <w:rPr>
                      <w:b/>
                      <w:bCs/>
                      <w:kern w:val="0"/>
                      <w:sz w:val="18"/>
                      <w:szCs w:val="18"/>
                      <w:lang w:bidi="ar"/>
                    </w:rPr>
                  </w:pPr>
                  <w:r>
                    <w:rPr>
                      <w:rFonts w:hint="eastAsia"/>
                      <w:b/>
                      <w:bCs/>
                      <w:kern w:val="0"/>
                      <w:sz w:val="18"/>
                      <w:szCs w:val="18"/>
                      <w:lang w:bidi="ar"/>
                    </w:rPr>
                    <w:t>速率</w:t>
                  </w:r>
                  <w:r>
                    <w:rPr>
                      <w:b/>
                      <w:bCs/>
                      <w:kern w:val="0"/>
                      <w:sz w:val="18"/>
                      <w:szCs w:val="18"/>
                      <w:lang w:bidi="ar"/>
                    </w:rPr>
                    <w:t>kg/h</w:t>
                  </w:r>
                </w:p>
              </w:tc>
              <w:tc>
                <w:tcPr>
                  <w:tcW w:w="712" w:type="dxa"/>
                  <w:vAlign w:val="center"/>
                </w:tcPr>
                <w:p w14:paraId="041C3E28">
                  <w:pPr>
                    <w:widowControl/>
                    <w:jc w:val="center"/>
                    <w:textAlignment w:val="center"/>
                    <w:rPr>
                      <w:b/>
                      <w:bCs/>
                      <w:sz w:val="18"/>
                      <w:szCs w:val="18"/>
                    </w:rPr>
                  </w:pPr>
                  <w:r>
                    <w:rPr>
                      <w:b/>
                      <w:bCs/>
                      <w:kern w:val="0"/>
                      <w:sz w:val="18"/>
                      <w:szCs w:val="18"/>
                      <w:lang w:bidi="ar"/>
                    </w:rPr>
                    <w:t>产生量</w:t>
                  </w:r>
                  <w:r>
                    <w:rPr>
                      <w:rStyle w:val="115"/>
                      <w:color w:val="auto"/>
                      <w:lang w:bidi="ar"/>
                    </w:rPr>
                    <w:t>t/a</w:t>
                  </w:r>
                </w:p>
              </w:tc>
              <w:tc>
                <w:tcPr>
                  <w:tcW w:w="891" w:type="dxa"/>
                  <w:vAlign w:val="center"/>
                </w:tcPr>
                <w:p w14:paraId="17FEE114">
                  <w:pPr>
                    <w:widowControl/>
                    <w:jc w:val="center"/>
                    <w:textAlignment w:val="center"/>
                    <w:rPr>
                      <w:b/>
                      <w:bCs/>
                      <w:sz w:val="18"/>
                      <w:szCs w:val="18"/>
                    </w:rPr>
                  </w:pPr>
                  <w:r>
                    <w:rPr>
                      <w:b/>
                      <w:bCs/>
                      <w:kern w:val="0"/>
                      <w:sz w:val="18"/>
                      <w:szCs w:val="18"/>
                      <w:lang w:bidi="ar"/>
                    </w:rPr>
                    <w:t>工艺</w:t>
                  </w:r>
                </w:p>
              </w:tc>
              <w:tc>
                <w:tcPr>
                  <w:tcW w:w="476" w:type="dxa"/>
                  <w:vAlign w:val="center"/>
                </w:tcPr>
                <w:p w14:paraId="0F3553D6">
                  <w:pPr>
                    <w:widowControl/>
                    <w:jc w:val="center"/>
                    <w:textAlignment w:val="center"/>
                    <w:rPr>
                      <w:rStyle w:val="115"/>
                      <w:color w:val="auto"/>
                      <w:lang w:bidi="ar"/>
                    </w:rPr>
                  </w:pPr>
                  <w:r>
                    <w:rPr>
                      <w:rStyle w:val="115"/>
                      <w:rFonts w:hint="eastAsia"/>
                      <w:color w:val="auto"/>
                      <w:lang w:bidi="ar"/>
                    </w:rPr>
                    <w:t>收集效率%</w:t>
                  </w:r>
                </w:p>
              </w:tc>
              <w:tc>
                <w:tcPr>
                  <w:tcW w:w="764" w:type="dxa"/>
                  <w:vAlign w:val="center"/>
                </w:tcPr>
                <w:p w14:paraId="7EB577AC">
                  <w:pPr>
                    <w:widowControl/>
                    <w:jc w:val="center"/>
                    <w:textAlignment w:val="center"/>
                    <w:rPr>
                      <w:b/>
                      <w:bCs/>
                      <w:sz w:val="18"/>
                      <w:szCs w:val="18"/>
                    </w:rPr>
                  </w:pPr>
                  <w:r>
                    <w:rPr>
                      <w:rFonts w:hint="eastAsia"/>
                      <w:b/>
                      <w:bCs/>
                      <w:kern w:val="0"/>
                      <w:sz w:val="18"/>
                      <w:szCs w:val="18"/>
                      <w:lang w:bidi="ar"/>
                    </w:rPr>
                    <w:t>处理</w:t>
                  </w:r>
                  <w:r>
                    <w:rPr>
                      <w:b/>
                      <w:bCs/>
                      <w:kern w:val="0"/>
                      <w:sz w:val="18"/>
                      <w:szCs w:val="18"/>
                      <w:lang w:bidi="ar"/>
                    </w:rPr>
                    <w:t>效率</w:t>
                  </w:r>
                  <w:r>
                    <w:rPr>
                      <w:rStyle w:val="115"/>
                      <w:color w:val="auto"/>
                      <w:lang w:bidi="ar"/>
                    </w:rPr>
                    <w:t>%</w:t>
                  </w:r>
                </w:p>
              </w:tc>
              <w:tc>
                <w:tcPr>
                  <w:tcW w:w="385" w:type="dxa"/>
                  <w:vAlign w:val="center"/>
                </w:tcPr>
                <w:p w14:paraId="7AB3A5E1">
                  <w:pPr>
                    <w:widowControl/>
                    <w:jc w:val="center"/>
                    <w:textAlignment w:val="center"/>
                    <w:rPr>
                      <w:b/>
                      <w:bCs/>
                      <w:kern w:val="0"/>
                      <w:sz w:val="18"/>
                      <w:szCs w:val="18"/>
                      <w:lang w:bidi="ar"/>
                    </w:rPr>
                  </w:pPr>
                  <w:r>
                    <w:rPr>
                      <w:b/>
                      <w:bCs/>
                      <w:kern w:val="0"/>
                      <w:sz w:val="18"/>
                      <w:szCs w:val="18"/>
                      <w:lang w:bidi="ar"/>
                    </w:rPr>
                    <w:t>是否可行技术</w:t>
                  </w:r>
                </w:p>
              </w:tc>
              <w:tc>
                <w:tcPr>
                  <w:tcW w:w="712" w:type="dxa"/>
                  <w:vAlign w:val="center"/>
                </w:tcPr>
                <w:p w14:paraId="63AB01E3">
                  <w:pPr>
                    <w:widowControl/>
                    <w:jc w:val="center"/>
                    <w:textAlignment w:val="center"/>
                    <w:rPr>
                      <w:b/>
                      <w:bCs/>
                      <w:kern w:val="0"/>
                      <w:sz w:val="18"/>
                      <w:szCs w:val="18"/>
                      <w:lang w:bidi="ar"/>
                    </w:rPr>
                  </w:pPr>
                  <w:r>
                    <w:rPr>
                      <w:rFonts w:hint="eastAsia"/>
                      <w:b/>
                      <w:bCs/>
                      <w:kern w:val="0"/>
                      <w:sz w:val="18"/>
                      <w:szCs w:val="18"/>
                      <w:lang w:bidi="ar"/>
                    </w:rPr>
                    <w:t>废气量</w:t>
                  </w:r>
                </w:p>
              </w:tc>
              <w:tc>
                <w:tcPr>
                  <w:tcW w:w="863" w:type="dxa"/>
                  <w:vAlign w:val="center"/>
                </w:tcPr>
                <w:p w14:paraId="25801EE1">
                  <w:pPr>
                    <w:widowControl/>
                    <w:jc w:val="center"/>
                    <w:textAlignment w:val="center"/>
                    <w:rPr>
                      <w:b/>
                      <w:bCs/>
                      <w:sz w:val="18"/>
                      <w:szCs w:val="18"/>
                    </w:rPr>
                  </w:pPr>
                  <w:r>
                    <w:rPr>
                      <w:b/>
                      <w:bCs/>
                      <w:kern w:val="0"/>
                      <w:sz w:val="18"/>
                      <w:szCs w:val="18"/>
                      <w:lang w:bidi="ar"/>
                    </w:rPr>
                    <w:t>浓度</w:t>
                  </w:r>
                  <w:r>
                    <w:rPr>
                      <w:rStyle w:val="115"/>
                      <w:color w:val="auto"/>
                      <w:lang w:bidi="ar"/>
                    </w:rPr>
                    <w:t>mg/m³</w:t>
                  </w:r>
                </w:p>
              </w:tc>
              <w:tc>
                <w:tcPr>
                  <w:tcW w:w="860" w:type="dxa"/>
                  <w:vAlign w:val="center"/>
                </w:tcPr>
                <w:p w14:paraId="08E3D845">
                  <w:pPr>
                    <w:jc w:val="center"/>
                    <w:textAlignment w:val="center"/>
                    <w:rPr>
                      <w:b/>
                      <w:bCs/>
                      <w:sz w:val="18"/>
                      <w:szCs w:val="18"/>
                    </w:rPr>
                  </w:pPr>
                  <w:r>
                    <w:rPr>
                      <w:rFonts w:hint="eastAsia"/>
                      <w:b/>
                      <w:bCs/>
                      <w:kern w:val="0"/>
                      <w:sz w:val="18"/>
                      <w:szCs w:val="18"/>
                      <w:lang w:bidi="ar"/>
                    </w:rPr>
                    <w:t>速率</w:t>
                  </w:r>
                  <w:r>
                    <w:rPr>
                      <w:b/>
                      <w:bCs/>
                      <w:kern w:val="0"/>
                      <w:sz w:val="18"/>
                      <w:szCs w:val="18"/>
                      <w:lang w:bidi="ar"/>
                    </w:rPr>
                    <w:t>kg/h</w:t>
                  </w:r>
                </w:p>
              </w:tc>
              <w:tc>
                <w:tcPr>
                  <w:tcW w:w="850" w:type="dxa"/>
                  <w:vAlign w:val="center"/>
                </w:tcPr>
                <w:p w14:paraId="75C7FAAF">
                  <w:pPr>
                    <w:widowControl/>
                    <w:jc w:val="center"/>
                    <w:textAlignment w:val="center"/>
                    <w:rPr>
                      <w:b/>
                      <w:bCs/>
                      <w:sz w:val="18"/>
                      <w:szCs w:val="18"/>
                    </w:rPr>
                  </w:pPr>
                  <w:r>
                    <w:rPr>
                      <w:b/>
                      <w:bCs/>
                      <w:kern w:val="0"/>
                      <w:sz w:val="18"/>
                      <w:szCs w:val="18"/>
                      <w:lang w:bidi="ar"/>
                    </w:rPr>
                    <w:t>排放量</w:t>
                  </w:r>
                </w:p>
                <w:p w14:paraId="3D26EA39">
                  <w:pPr>
                    <w:widowControl/>
                    <w:jc w:val="center"/>
                    <w:textAlignment w:val="center"/>
                    <w:rPr>
                      <w:b/>
                      <w:bCs/>
                      <w:sz w:val="18"/>
                      <w:szCs w:val="18"/>
                    </w:rPr>
                  </w:pPr>
                  <w:r>
                    <w:rPr>
                      <w:b/>
                      <w:bCs/>
                      <w:kern w:val="0"/>
                      <w:sz w:val="18"/>
                      <w:szCs w:val="18"/>
                      <w:lang w:bidi="ar"/>
                    </w:rPr>
                    <w:t>t/a</w:t>
                  </w:r>
                </w:p>
              </w:tc>
              <w:tc>
                <w:tcPr>
                  <w:tcW w:w="960" w:type="dxa"/>
                  <w:vMerge w:val="continue"/>
                  <w:vAlign w:val="center"/>
                </w:tcPr>
                <w:p w14:paraId="0C4F9291">
                  <w:pPr>
                    <w:jc w:val="center"/>
                    <w:rPr>
                      <w:b/>
                      <w:bCs/>
                      <w:sz w:val="18"/>
                      <w:szCs w:val="18"/>
                    </w:rPr>
                  </w:pPr>
                </w:p>
              </w:tc>
              <w:tc>
                <w:tcPr>
                  <w:tcW w:w="806" w:type="dxa"/>
                  <w:vMerge w:val="continue"/>
                  <w:vAlign w:val="center"/>
                </w:tcPr>
                <w:p w14:paraId="72793E99">
                  <w:pPr>
                    <w:jc w:val="center"/>
                    <w:rPr>
                      <w:b/>
                      <w:bCs/>
                      <w:sz w:val="18"/>
                      <w:szCs w:val="18"/>
                    </w:rPr>
                  </w:pPr>
                </w:p>
              </w:tc>
            </w:tr>
            <w:tr w14:paraId="41D5DD9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66" w:hRule="atLeast"/>
                <w:jc w:val="center"/>
              </w:trPr>
              <w:tc>
                <w:tcPr>
                  <w:tcW w:w="841" w:type="dxa"/>
                  <w:vMerge w:val="restart"/>
                  <w:vAlign w:val="center"/>
                </w:tcPr>
                <w:p w14:paraId="309069B5">
                  <w:pPr>
                    <w:widowControl/>
                    <w:jc w:val="center"/>
                    <w:textAlignment w:val="center"/>
                    <w:rPr>
                      <w:rFonts w:hint="default" w:eastAsia="宋体"/>
                      <w:sz w:val="18"/>
                      <w:szCs w:val="18"/>
                      <w:lang w:val="en-US" w:eastAsia="zh-CN"/>
                    </w:rPr>
                  </w:pPr>
                  <w:r>
                    <w:rPr>
                      <w:rFonts w:hint="eastAsia"/>
                      <w:sz w:val="18"/>
                      <w:szCs w:val="18"/>
                    </w:rPr>
                    <w:t>中空工艺（涂胶、固定、硅酮胶搅拌混合以及封胶过程）</w:t>
                  </w:r>
                  <w:r>
                    <w:rPr>
                      <w:rFonts w:hint="eastAsia"/>
                      <w:sz w:val="18"/>
                      <w:szCs w:val="18"/>
                      <w:lang w:val="en-US" w:eastAsia="zh-CN"/>
                    </w:rPr>
                    <w:t>及危废间废气</w:t>
                  </w:r>
                </w:p>
              </w:tc>
              <w:tc>
                <w:tcPr>
                  <w:tcW w:w="375" w:type="dxa"/>
                  <w:vMerge w:val="restart"/>
                  <w:vAlign w:val="center"/>
                </w:tcPr>
                <w:p w14:paraId="36089E54">
                  <w:pPr>
                    <w:widowControl/>
                    <w:jc w:val="center"/>
                    <w:textAlignment w:val="center"/>
                    <w:rPr>
                      <w:rFonts w:hint="default" w:eastAsia="宋体"/>
                      <w:sz w:val="18"/>
                      <w:szCs w:val="18"/>
                      <w:lang w:val="en-US" w:eastAsia="zh-CN"/>
                    </w:rPr>
                  </w:pPr>
                  <w:r>
                    <w:rPr>
                      <w:rFonts w:hint="eastAsia"/>
                      <w:sz w:val="18"/>
                      <w:szCs w:val="18"/>
                    </w:rPr>
                    <w:t>全自动</w:t>
                  </w:r>
                  <w:r>
                    <w:rPr>
                      <w:sz w:val="18"/>
                      <w:szCs w:val="18"/>
                    </w:rPr>
                    <w:t>中空玻璃机</w:t>
                  </w:r>
                  <w:r>
                    <w:rPr>
                      <w:rFonts w:hint="eastAsia"/>
                      <w:sz w:val="18"/>
                      <w:szCs w:val="18"/>
                      <w:lang w:eastAsia="zh-CN"/>
                    </w:rPr>
                    <w:t>、</w:t>
                  </w:r>
                  <w:r>
                    <w:rPr>
                      <w:rFonts w:hint="eastAsia"/>
                      <w:sz w:val="18"/>
                      <w:szCs w:val="18"/>
                      <w:lang w:val="en-US" w:eastAsia="zh-CN"/>
                    </w:rPr>
                    <w:t>危废间</w:t>
                  </w:r>
                </w:p>
              </w:tc>
              <w:tc>
                <w:tcPr>
                  <w:tcW w:w="350" w:type="dxa"/>
                  <w:vMerge w:val="restart"/>
                  <w:vAlign w:val="center"/>
                </w:tcPr>
                <w:p w14:paraId="0CDAE318">
                  <w:pPr>
                    <w:jc w:val="center"/>
                    <w:textAlignment w:val="center"/>
                    <w:rPr>
                      <w:sz w:val="18"/>
                      <w:szCs w:val="18"/>
                    </w:rPr>
                  </w:pPr>
                  <w:r>
                    <w:rPr>
                      <w:sz w:val="18"/>
                      <w:szCs w:val="18"/>
                    </w:rPr>
                    <w:t>有组织</w:t>
                  </w:r>
                </w:p>
              </w:tc>
              <w:tc>
                <w:tcPr>
                  <w:tcW w:w="300" w:type="dxa"/>
                  <w:vMerge w:val="restart"/>
                  <w:vAlign w:val="center"/>
                </w:tcPr>
                <w:p w14:paraId="7A09FF2E">
                  <w:pPr>
                    <w:jc w:val="center"/>
                    <w:textAlignment w:val="center"/>
                    <w:rPr>
                      <w:sz w:val="18"/>
                      <w:szCs w:val="18"/>
                    </w:rPr>
                  </w:pPr>
                  <w:r>
                    <w:rPr>
                      <w:rFonts w:hint="eastAsia"/>
                      <w:sz w:val="18"/>
                      <w:szCs w:val="18"/>
                    </w:rPr>
                    <w:t>非甲烷总烃</w:t>
                  </w:r>
                </w:p>
              </w:tc>
              <w:tc>
                <w:tcPr>
                  <w:tcW w:w="375" w:type="dxa"/>
                  <w:vMerge w:val="restart"/>
                  <w:vAlign w:val="center"/>
                </w:tcPr>
                <w:p w14:paraId="5983FA41">
                  <w:pPr>
                    <w:widowControl/>
                    <w:jc w:val="center"/>
                    <w:textAlignment w:val="center"/>
                    <w:rPr>
                      <w:sz w:val="18"/>
                      <w:szCs w:val="18"/>
                    </w:rPr>
                  </w:pPr>
                  <w:r>
                    <w:rPr>
                      <w:rFonts w:hint="eastAsia"/>
                      <w:sz w:val="18"/>
                      <w:szCs w:val="18"/>
                    </w:rPr>
                    <w:t>物料衡算法</w:t>
                  </w:r>
                </w:p>
              </w:tc>
              <w:tc>
                <w:tcPr>
                  <w:tcW w:w="700" w:type="dxa"/>
                  <w:vMerge w:val="restart"/>
                  <w:vAlign w:val="center"/>
                </w:tcPr>
                <w:p w14:paraId="4F85396A">
                  <w:pPr>
                    <w:jc w:val="center"/>
                    <w:textAlignment w:val="center"/>
                    <w:rPr>
                      <w:sz w:val="18"/>
                      <w:szCs w:val="18"/>
                      <w:u w:val="single"/>
                    </w:rPr>
                  </w:pPr>
                  <w:r>
                    <w:rPr>
                      <w:rFonts w:hint="eastAsia"/>
                      <w:sz w:val="18"/>
                      <w:szCs w:val="18"/>
                      <w:u w:val="single"/>
                      <w:lang w:val="en-US" w:eastAsia="zh-CN"/>
                    </w:rPr>
                    <w:t>13</w:t>
                  </w:r>
                  <w:r>
                    <w:rPr>
                      <w:rFonts w:hint="eastAsia"/>
                      <w:sz w:val="18"/>
                      <w:szCs w:val="18"/>
                      <w:u w:val="single"/>
                    </w:rPr>
                    <w:t>000</w:t>
                  </w:r>
                </w:p>
              </w:tc>
              <w:tc>
                <w:tcPr>
                  <w:tcW w:w="762" w:type="dxa"/>
                  <w:vMerge w:val="restart"/>
                  <w:vAlign w:val="center"/>
                </w:tcPr>
                <w:p w14:paraId="440A195F">
                  <w:pPr>
                    <w:widowControl/>
                    <w:jc w:val="center"/>
                    <w:textAlignment w:val="center"/>
                    <w:rPr>
                      <w:rFonts w:hint="default" w:eastAsia="宋体"/>
                      <w:sz w:val="18"/>
                      <w:szCs w:val="18"/>
                      <w:u w:val="single"/>
                      <w:lang w:val="en-US" w:eastAsia="zh-CN"/>
                    </w:rPr>
                  </w:pPr>
                  <w:r>
                    <w:rPr>
                      <w:rFonts w:hint="eastAsia"/>
                      <w:sz w:val="18"/>
                      <w:szCs w:val="18"/>
                      <w:u w:val="single"/>
                      <w:lang w:val="en-US" w:eastAsia="zh-CN"/>
                    </w:rPr>
                    <w:t>17.71</w:t>
                  </w:r>
                </w:p>
              </w:tc>
              <w:tc>
                <w:tcPr>
                  <w:tcW w:w="738" w:type="dxa"/>
                  <w:vMerge w:val="restart"/>
                  <w:vAlign w:val="center"/>
                </w:tcPr>
                <w:p w14:paraId="44577E4E">
                  <w:pPr>
                    <w:widowControl/>
                    <w:jc w:val="center"/>
                    <w:textAlignment w:val="center"/>
                    <w:rPr>
                      <w:rFonts w:hint="default" w:eastAsia="宋体"/>
                      <w:sz w:val="18"/>
                      <w:szCs w:val="18"/>
                      <w:u w:val="single"/>
                      <w:lang w:val="en-US" w:eastAsia="zh-CN"/>
                    </w:rPr>
                  </w:pPr>
                  <w:r>
                    <w:rPr>
                      <w:rFonts w:hint="eastAsia"/>
                      <w:sz w:val="18"/>
                      <w:szCs w:val="18"/>
                      <w:u w:val="single"/>
                    </w:rPr>
                    <w:t>0.</w:t>
                  </w:r>
                  <w:r>
                    <w:rPr>
                      <w:rFonts w:hint="eastAsia"/>
                      <w:sz w:val="18"/>
                      <w:szCs w:val="18"/>
                      <w:u w:val="single"/>
                      <w:lang w:val="en-US" w:eastAsia="zh-CN"/>
                    </w:rPr>
                    <w:t>23</w:t>
                  </w:r>
                </w:p>
              </w:tc>
              <w:tc>
                <w:tcPr>
                  <w:tcW w:w="712" w:type="dxa"/>
                  <w:vMerge w:val="restart"/>
                  <w:vAlign w:val="center"/>
                </w:tcPr>
                <w:p w14:paraId="6DFC6B57">
                  <w:pPr>
                    <w:widowControl/>
                    <w:jc w:val="center"/>
                    <w:textAlignment w:val="center"/>
                    <w:rPr>
                      <w:rFonts w:hint="default" w:eastAsia="宋体"/>
                      <w:sz w:val="18"/>
                      <w:szCs w:val="18"/>
                      <w:u w:val="single"/>
                      <w:lang w:val="en-US" w:eastAsia="zh-CN"/>
                    </w:rPr>
                  </w:pPr>
                  <w:r>
                    <w:rPr>
                      <w:rFonts w:hint="eastAsia"/>
                      <w:sz w:val="18"/>
                      <w:szCs w:val="18"/>
                      <w:u w:val="single"/>
                      <w:lang w:val="en-US" w:eastAsia="zh-CN"/>
                    </w:rPr>
                    <w:t>0.5525</w:t>
                  </w:r>
                </w:p>
              </w:tc>
              <w:tc>
                <w:tcPr>
                  <w:tcW w:w="891" w:type="dxa"/>
                  <w:vMerge w:val="restart"/>
                  <w:vAlign w:val="center"/>
                </w:tcPr>
                <w:p w14:paraId="4C495F6C">
                  <w:pPr>
                    <w:jc w:val="center"/>
                    <w:textAlignment w:val="center"/>
                    <w:rPr>
                      <w:sz w:val="18"/>
                      <w:szCs w:val="18"/>
                      <w:u w:val="single"/>
                    </w:rPr>
                  </w:pPr>
                  <w:r>
                    <w:rPr>
                      <w:rFonts w:hint="eastAsia"/>
                      <w:sz w:val="18"/>
                      <w:szCs w:val="18"/>
                      <w:u w:val="single"/>
                    </w:rPr>
                    <w:t>活性炭吸附-脱附+催化燃烧</w:t>
                  </w:r>
                </w:p>
              </w:tc>
              <w:tc>
                <w:tcPr>
                  <w:tcW w:w="476" w:type="dxa"/>
                  <w:vMerge w:val="restart"/>
                  <w:vAlign w:val="center"/>
                </w:tcPr>
                <w:p w14:paraId="58411CE6">
                  <w:pPr>
                    <w:jc w:val="center"/>
                    <w:textAlignment w:val="center"/>
                    <w:rPr>
                      <w:rFonts w:hint="default" w:eastAsia="宋体"/>
                      <w:sz w:val="18"/>
                      <w:szCs w:val="18"/>
                      <w:u w:val="single"/>
                      <w:lang w:val="en-US" w:eastAsia="zh-CN"/>
                    </w:rPr>
                  </w:pPr>
                  <w:r>
                    <w:rPr>
                      <w:rFonts w:hint="eastAsia"/>
                      <w:sz w:val="18"/>
                      <w:szCs w:val="18"/>
                      <w:u w:val="single"/>
                      <w:lang w:val="en-US" w:eastAsia="zh-CN"/>
                    </w:rPr>
                    <w:t>85</w:t>
                  </w:r>
                </w:p>
              </w:tc>
              <w:tc>
                <w:tcPr>
                  <w:tcW w:w="764" w:type="dxa"/>
                  <w:vAlign w:val="center"/>
                </w:tcPr>
                <w:p w14:paraId="16681178">
                  <w:pPr>
                    <w:jc w:val="center"/>
                    <w:textAlignment w:val="center"/>
                    <w:rPr>
                      <w:sz w:val="18"/>
                      <w:szCs w:val="18"/>
                      <w:u w:val="single"/>
                    </w:rPr>
                  </w:pPr>
                  <w:r>
                    <w:rPr>
                      <w:rFonts w:hint="eastAsia"/>
                      <w:sz w:val="18"/>
                      <w:szCs w:val="18"/>
                      <w:u w:val="single"/>
                    </w:rPr>
                    <w:t>90（吸附）</w:t>
                  </w:r>
                </w:p>
              </w:tc>
              <w:tc>
                <w:tcPr>
                  <w:tcW w:w="385" w:type="dxa"/>
                  <w:vMerge w:val="restart"/>
                  <w:vAlign w:val="center"/>
                </w:tcPr>
                <w:p w14:paraId="72CE1A9F">
                  <w:pPr>
                    <w:jc w:val="center"/>
                    <w:textAlignment w:val="center"/>
                    <w:rPr>
                      <w:sz w:val="18"/>
                      <w:szCs w:val="18"/>
                      <w:u w:val="single"/>
                    </w:rPr>
                  </w:pPr>
                  <w:r>
                    <w:rPr>
                      <w:rFonts w:hint="eastAsia"/>
                      <w:sz w:val="18"/>
                      <w:szCs w:val="18"/>
                      <w:u w:val="single"/>
                    </w:rPr>
                    <w:t>是</w:t>
                  </w:r>
                </w:p>
              </w:tc>
              <w:tc>
                <w:tcPr>
                  <w:tcW w:w="712" w:type="dxa"/>
                  <w:vAlign w:val="center"/>
                </w:tcPr>
                <w:p w14:paraId="28ECD8E5">
                  <w:pPr>
                    <w:jc w:val="center"/>
                    <w:textAlignment w:val="center"/>
                    <w:rPr>
                      <w:sz w:val="18"/>
                      <w:szCs w:val="18"/>
                      <w:u w:val="single"/>
                    </w:rPr>
                  </w:pPr>
                  <w:r>
                    <w:rPr>
                      <w:rFonts w:hint="eastAsia"/>
                      <w:sz w:val="18"/>
                      <w:szCs w:val="18"/>
                      <w:u w:val="single"/>
                      <w:lang w:val="en-US" w:eastAsia="zh-CN"/>
                    </w:rPr>
                    <w:t>13</w:t>
                  </w:r>
                  <w:r>
                    <w:rPr>
                      <w:rFonts w:hint="eastAsia"/>
                      <w:sz w:val="18"/>
                      <w:szCs w:val="18"/>
                      <w:u w:val="single"/>
                    </w:rPr>
                    <w:t>000（吸附）</w:t>
                  </w:r>
                </w:p>
              </w:tc>
              <w:tc>
                <w:tcPr>
                  <w:tcW w:w="863" w:type="dxa"/>
                  <w:vAlign w:val="center"/>
                </w:tcPr>
                <w:p w14:paraId="312F7AF4">
                  <w:pPr>
                    <w:jc w:val="center"/>
                    <w:textAlignment w:val="center"/>
                    <w:rPr>
                      <w:rFonts w:hint="eastAsia"/>
                      <w:sz w:val="18"/>
                      <w:szCs w:val="18"/>
                      <w:u w:val="single"/>
                      <w:lang w:val="en-US" w:eastAsia="zh-CN"/>
                    </w:rPr>
                  </w:pPr>
                  <w:r>
                    <w:rPr>
                      <w:rFonts w:hint="eastAsia"/>
                      <w:sz w:val="18"/>
                      <w:szCs w:val="18"/>
                      <w:u w:val="single"/>
                      <w:lang w:val="en-US" w:eastAsia="zh-CN"/>
                    </w:rPr>
                    <w:t>1.77</w:t>
                  </w:r>
                </w:p>
                <w:p w14:paraId="1E6068D2">
                  <w:pPr>
                    <w:jc w:val="center"/>
                    <w:textAlignment w:val="center"/>
                    <w:rPr>
                      <w:sz w:val="18"/>
                      <w:szCs w:val="18"/>
                      <w:u w:val="single"/>
                    </w:rPr>
                  </w:pPr>
                  <w:r>
                    <w:rPr>
                      <w:rFonts w:hint="eastAsia"/>
                      <w:sz w:val="18"/>
                      <w:szCs w:val="18"/>
                      <w:u w:val="single"/>
                    </w:rPr>
                    <w:t>（吸附）</w:t>
                  </w:r>
                </w:p>
              </w:tc>
              <w:tc>
                <w:tcPr>
                  <w:tcW w:w="860" w:type="dxa"/>
                  <w:vAlign w:val="center"/>
                </w:tcPr>
                <w:p w14:paraId="5857ADD2">
                  <w:pPr>
                    <w:widowControl/>
                    <w:jc w:val="center"/>
                    <w:textAlignment w:val="center"/>
                    <w:rPr>
                      <w:rFonts w:hint="default" w:eastAsia="宋体"/>
                      <w:sz w:val="18"/>
                      <w:szCs w:val="18"/>
                      <w:u w:val="single"/>
                      <w:lang w:val="en-US" w:eastAsia="zh-CN"/>
                    </w:rPr>
                  </w:pPr>
                  <w:r>
                    <w:rPr>
                      <w:rFonts w:hint="eastAsia"/>
                      <w:sz w:val="18"/>
                      <w:szCs w:val="18"/>
                      <w:u w:val="single"/>
                    </w:rPr>
                    <w:t>0.0</w:t>
                  </w:r>
                  <w:r>
                    <w:rPr>
                      <w:rFonts w:hint="eastAsia"/>
                      <w:sz w:val="18"/>
                      <w:szCs w:val="18"/>
                      <w:u w:val="single"/>
                      <w:lang w:val="en-US" w:eastAsia="zh-CN"/>
                    </w:rPr>
                    <w:t>23</w:t>
                  </w:r>
                </w:p>
                <w:p w14:paraId="25EF2F9C">
                  <w:pPr>
                    <w:widowControl/>
                    <w:jc w:val="center"/>
                    <w:textAlignment w:val="center"/>
                    <w:rPr>
                      <w:sz w:val="18"/>
                      <w:szCs w:val="18"/>
                      <w:u w:val="single"/>
                    </w:rPr>
                  </w:pPr>
                  <w:r>
                    <w:rPr>
                      <w:rFonts w:hint="eastAsia"/>
                      <w:sz w:val="18"/>
                      <w:szCs w:val="18"/>
                      <w:u w:val="single"/>
                    </w:rPr>
                    <w:t>（吸附）</w:t>
                  </w:r>
                </w:p>
              </w:tc>
              <w:tc>
                <w:tcPr>
                  <w:tcW w:w="850" w:type="dxa"/>
                  <w:vAlign w:val="center"/>
                </w:tcPr>
                <w:p w14:paraId="010A25A7">
                  <w:pPr>
                    <w:widowControl/>
                    <w:jc w:val="center"/>
                    <w:textAlignment w:val="center"/>
                    <w:rPr>
                      <w:rFonts w:hint="default" w:eastAsia="宋体"/>
                      <w:sz w:val="18"/>
                      <w:szCs w:val="18"/>
                      <w:u w:val="single"/>
                      <w:lang w:val="en-US" w:eastAsia="zh-CN"/>
                    </w:rPr>
                  </w:pPr>
                  <w:r>
                    <w:rPr>
                      <w:rFonts w:hint="eastAsia"/>
                      <w:sz w:val="18"/>
                      <w:szCs w:val="18"/>
                      <w:u w:val="single"/>
                    </w:rPr>
                    <w:t>0.0</w:t>
                  </w:r>
                  <w:r>
                    <w:rPr>
                      <w:rFonts w:hint="eastAsia"/>
                      <w:sz w:val="18"/>
                      <w:szCs w:val="18"/>
                      <w:u w:val="single"/>
                      <w:lang w:val="en-US" w:eastAsia="zh-CN"/>
                    </w:rPr>
                    <w:t>553</w:t>
                  </w:r>
                </w:p>
                <w:p w14:paraId="7D82A47A">
                  <w:pPr>
                    <w:widowControl/>
                    <w:jc w:val="center"/>
                    <w:textAlignment w:val="center"/>
                    <w:rPr>
                      <w:sz w:val="18"/>
                      <w:szCs w:val="18"/>
                      <w:u w:val="single"/>
                    </w:rPr>
                  </w:pPr>
                  <w:r>
                    <w:rPr>
                      <w:rFonts w:hint="eastAsia"/>
                      <w:sz w:val="18"/>
                      <w:szCs w:val="18"/>
                      <w:u w:val="single"/>
                    </w:rPr>
                    <w:t>（吸附）</w:t>
                  </w:r>
                </w:p>
              </w:tc>
              <w:tc>
                <w:tcPr>
                  <w:tcW w:w="960" w:type="dxa"/>
                  <w:vMerge w:val="restart"/>
                  <w:vAlign w:val="center"/>
                </w:tcPr>
                <w:p w14:paraId="60D5358A">
                  <w:pPr>
                    <w:widowControl/>
                    <w:jc w:val="center"/>
                    <w:textAlignment w:val="center"/>
                    <w:rPr>
                      <w:rFonts w:hint="eastAsia" w:eastAsia="宋体"/>
                      <w:sz w:val="18"/>
                      <w:szCs w:val="18"/>
                      <w:u w:val="single"/>
                      <w:lang w:eastAsia="zh-CN"/>
                    </w:rPr>
                  </w:pPr>
                  <w:r>
                    <w:rPr>
                      <w:rFonts w:hint="eastAsia"/>
                      <w:sz w:val="18"/>
                      <w:szCs w:val="18"/>
                      <w:u w:val="single"/>
                    </w:rPr>
                    <w:t>2</w:t>
                  </w:r>
                  <w:r>
                    <w:rPr>
                      <w:rFonts w:hint="eastAsia"/>
                      <w:sz w:val="18"/>
                      <w:szCs w:val="18"/>
                      <w:u w:val="single"/>
                      <w:lang w:val="en-US" w:eastAsia="zh-CN"/>
                    </w:rPr>
                    <w:t>40</w:t>
                  </w:r>
                  <w:r>
                    <w:rPr>
                      <w:rFonts w:hint="eastAsia"/>
                      <w:sz w:val="18"/>
                      <w:szCs w:val="18"/>
                      <w:u w:val="single"/>
                    </w:rPr>
                    <w:t>0（</w:t>
                  </w:r>
                  <w:r>
                    <w:rPr>
                      <w:rFonts w:hint="eastAsia"/>
                      <w:sz w:val="18"/>
                      <w:szCs w:val="18"/>
                      <w:u w:val="single"/>
                      <w:lang w:val="en-US" w:eastAsia="zh-CN"/>
                    </w:rPr>
                    <w:t>其中</w:t>
                  </w:r>
                  <w:r>
                    <w:rPr>
                      <w:rFonts w:hint="eastAsia"/>
                      <w:sz w:val="18"/>
                      <w:szCs w:val="18"/>
                      <w:u w:val="single"/>
                    </w:rPr>
                    <w:t>脱附时间240</w:t>
                  </w:r>
                  <w:r>
                    <w:rPr>
                      <w:rFonts w:hint="eastAsia"/>
                      <w:sz w:val="18"/>
                      <w:szCs w:val="18"/>
                      <w:u w:val="single"/>
                      <w:lang w:eastAsia="zh-CN"/>
                    </w:rPr>
                    <w:t>）</w:t>
                  </w:r>
                </w:p>
              </w:tc>
              <w:tc>
                <w:tcPr>
                  <w:tcW w:w="806" w:type="dxa"/>
                  <w:vMerge w:val="restart"/>
                  <w:vAlign w:val="center"/>
                </w:tcPr>
                <w:p w14:paraId="5DA68683">
                  <w:pPr>
                    <w:jc w:val="center"/>
                    <w:textAlignment w:val="center"/>
                    <w:rPr>
                      <w:sz w:val="18"/>
                      <w:szCs w:val="18"/>
                    </w:rPr>
                  </w:pPr>
                  <w:r>
                    <w:rPr>
                      <w:rFonts w:hint="eastAsia"/>
                      <w:sz w:val="18"/>
                      <w:szCs w:val="18"/>
                    </w:rPr>
                    <w:t>DA001</w:t>
                  </w:r>
                </w:p>
              </w:tc>
            </w:tr>
            <w:tr w14:paraId="2C7AB96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58" w:hRule="atLeast"/>
                <w:jc w:val="center"/>
              </w:trPr>
              <w:tc>
                <w:tcPr>
                  <w:tcW w:w="841" w:type="dxa"/>
                  <w:vMerge w:val="continue"/>
                  <w:vAlign w:val="center"/>
                </w:tcPr>
                <w:p w14:paraId="5ECC46BC">
                  <w:pPr>
                    <w:widowControl/>
                    <w:jc w:val="center"/>
                    <w:textAlignment w:val="center"/>
                    <w:rPr>
                      <w:sz w:val="18"/>
                      <w:szCs w:val="18"/>
                    </w:rPr>
                  </w:pPr>
                </w:p>
              </w:tc>
              <w:tc>
                <w:tcPr>
                  <w:tcW w:w="375" w:type="dxa"/>
                  <w:vMerge w:val="continue"/>
                  <w:vAlign w:val="center"/>
                </w:tcPr>
                <w:p w14:paraId="1292D96F">
                  <w:pPr>
                    <w:widowControl/>
                    <w:jc w:val="center"/>
                    <w:textAlignment w:val="center"/>
                    <w:rPr>
                      <w:sz w:val="18"/>
                      <w:szCs w:val="18"/>
                    </w:rPr>
                  </w:pPr>
                </w:p>
              </w:tc>
              <w:tc>
                <w:tcPr>
                  <w:tcW w:w="350" w:type="dxa"/>
                  <w:vMerge w:val="continue"/>
                  <w:vAlign w:val="center"/>
                </w:tcPr>
                <w:p w14:paraId="2627B549">
                  <w:pPr>
                    <w:jc w:val="center"/>
                    <w:textAlignment w:val="center"/>
                    <w:rPr>
                      <w:sz w:val="18"/>
                      <w:szCs w:val="18"/>
                    </w:rPr>
                  </w:pPr>
                </w:p>
              </w:tc>
              <w:tc>
                <w:tcPr>
                  <w:tcW w:w="300" w:type="dxa"/>
                  <w:vMerge w:val="continue"/>
                  <w:vAlign w:val="center"/>
                </w:tcPr>
                <w:p w14:paraId="754DE66F">
                  <w:pPr>
                    <w:jc w:val="center"/>
                    <w:textAlignment w:val="center"/>
                    <w:rPr>
                      <w:sz w:val="18"/>
                      <w:szCs w:val="18"/>
                    </w:rPr>
                  </w:pPr>
                </w:p>
              </w:tc>
              <w:tc>
                <w:tcPr>
                  <w:tcW w:w="375" w:type="dxa"/>
                  <w:vMerge w:val="continue"/>
                  <w:vAlign w:val="center"/>
                </w:tcPr>
                <w:p w14:paraId="6D6F8CC8">
                  <w:pPr>
                    <w:widowControl/>
                    <w:jc w:val="center"/>
                    <w:textAlignment w:val="center"/>
                    <w:rPr>
                      <w:sz w:val="18"/>
                      <w:szCs w:val="18"/>
                    </w:rPr>
                  </w:pPr>
                </w:p>
              </w:tc>
              <w:tc>
                <w:tcPr>
                  <w:tcW w:w="700" w:type="dxa"/>
                  <w:vMerge w:val="continue"/>
                  <w:vAlign w:val="center"/>
                </w:tcPr>
                <w:p w14:paraId="4B31A909">
                  <w:pPr>
                    <w:jc w:val="center"/>
                    <w:textAlignment w:val="center"/>
                    <w:rPr>
                      <w:sz w:val="18"/>
                      <w:szCs w:val="18"/>
                      <w:u w:val="single"/>
                    </w:rPr>
                  </w:pPr>
                </w:p>
              </w:tc>
              <w:tc>
                <w:tcPr>
                  <w:tcW w:w="762" w:type="dxa"/>
                  <w:vMerge w:val="continue"/>
                  <w:vAlign w:val="center"/>
                </w:tcPr>
                <w:p w14:paraId="33D87B5C">
                  <w:pPr>
                    <w:widowControl/>
                    <w:jc w:val="center"/>
                    <w:textAlignment w:val="center"/>
                    <w:rPr>
                      <w:sz w:val="18"/>
                      <w:szCs w:val="18"/>
                      <w:u w:val="single"/>
                    </w:rPr>
                  </w:pPr>
                </w:p>
              </w:tc>
              <w:tc>
                <w:tcPr>
                  <w:tcW w:w="738" w:type="dxa"/>
                  <w:vMerge w:val="continue"/>
                  <w:vAlign w:val="center"/>
                </w:tcPr>
                <w:p w14:paraId="08C00EFE">
                  <w:pPr>
                    <w:widowControl/>
                    <w:jc w:val="center"/>
                    <w:textAlignment w:val="center"/>
                    <w:rPr>
                      <w:sz w:val="18"/>
                      <w:szCs w:val="18"/>
                      <w:u w:val="single"/>
                    </w:rPr>
                  </w:pPr>
                </w:p>
              </w:tc>
              <w:tc>
                <w:tcPr>
                  <w:tcW w:w="712" w:type="dxa"/>
                  <w:vMerge w:val="continue"/>
                  <w:vAlign w:val="center"/>
                </w:tcPr>
                <w:p w14:paraId="4656DDD3">
                  <w:pPr>
                    <w:widowControl/>
                    <w:jc w:val="center"/>
                    <w:textAlignment w:val="center"/>
                    <w:rPr>
                      <w:sz w:val="18"/>
                      <w:szCs w:val="18"/>
                      <w:u w:val="single"/>
                    </w:rPr>
                  </w:pPr>
                </w:p>
              </w:tc>
              <w:tc>
                <w:tcPr>
                  <w:tcW w:w="891" w:type="dxa"/>
                  <w:vMerge w:val="continue"/>
                  <w:vAlign w:val="center"/>
                </w:tcPr>
                <w:p w14:paraId="7051D877">
                  <w:pPr>
                    <w:jc w:val="center"/>
                    <w:textAlignment w:val="center"/>
                    <w:rPr>
                      <w:sz w:val="18"/>
                      <w:szCs w:val="18"/>
                      <w:u w:val="single"/>
                    </w:rPr>
                  </w:pPr>
                </w:p>
              </w:tc>
              <w:tc>
                <w:tcPr>
                  <w:tcW w:w="476" w:type="dxa"/>
                  <w:vMerge w:val="continue"/>
                  <w:vAlign w:val="center"/>
                </w:tcPr>
                <w:p w14:paraId="19BAEDB4">
                  <w:pPr>
                    <w:jc w:val="center"/>
                    <w:textAlignment w:val="center"/>
                    <w:rPr>
                      <w:sz w:val="18"/>
                      <w:szCs w:val="18"/>
                      <w:u w:val="single"/>
                    </w:rPr>
                  </w:pPr>
                </w:p>
              </w:tc>
              <w:tc>
                <w:tcPr>
                  <w:tcW w:w="764" w:type="dxa"/>
                  <w:vAlign w:val="center"/>
                </w:tcPr>
                <w:p w14:paraId="78CCAE38">
                  <w:pPr>
                    <w:jc w:val="center"/>
                    <w:textAlignment w:val="center"/>
                    <w:rPr>
                      <w:sz w:val="18"/>
                      <w:szCs w:val="18"/>
                      <w:u w:val="single"/>
                    </w:rPr>
                  </w:pPr>
                  <w:r>
                    <w:rPr>
                      <w:rFonts w:hint="eastAsia"/>
                      <w:sz w:val="18"/>
                      <w:szCs w:val="18"/>
                      <w:u w:val="single"/>
                    </w:rPr>
                    <w:t>97（燃烧）</w:t>
                  </w:r>
                </w:p>
              </w:tc>
              <w:tc>
                <w:tcPr>
                  <w:tcW w:w="385" w:type="dxa"/>
                  <w:vMerge w:val="continue"/>
                  <w:vAlign w:val="center"/>
                </w:tcPr>
                <w:p w14:paraId="7CA305D7">
                  <w:pPr>
                    <w:jc w:val="center"/>
                    <w:textAlignment w:val="center"/>
                    <w:rPr>
                      <w:sz w:val="18"/>
                      <w:szCs w:val="18"/>
                      <w:u w:val="single"/>
                    </w:rPr>
                  </w:pPr>
                </w:p>
              </w:tc>
              <w:tc>
                <w:tcPr>
                  <w:tcW w:w="712" w:type="dxa"/>
                  <w:vAlign w:val="center"/>
                </w:tcPr>
                <w:p w14:paraId="2E930A48">
                  <w:pPr>
                    <w:jc w:val="center"/>
                    <w:textAlignment w:val="center"/>
                    <w:rPr>
                      <w:sz w:val="18"/>
                      <w:szCs w:val="18"/>
                      <w:u w:val="single"/>
                    </w:rPr>
                  </w:pPr>
                  <w:r>
                    <w:rPr>
                      <w:rFonts w:hint="eastAsia"/>
                      <w:sz w:val="18"/>
                      <w:szCs w:val="18"/>
                      <w:u w:val="single"/>
                    </w:rPr>
                    <w:t>1</w:t>
                  </w:r>
                  <w:r>
                    <w:rPr>
                      <w:rFonts w:hint="eastAsia"/>
                      <w:sz w:val="18"/>
                      <w:szCs w:val="18"/>
                      <w:u w:val="single"/>
                      <w:lang w:val="en-US" w:eastAsia="zh-CN"/>
                    </w:rPr>
                    <w:t>5</w:t>
                  </w:r>
                  <w:r>
                    <w:rPr>
                      <w:rFonts w:hint="eastAsia"/>
                      <w:sz w:val="18"/>
                      <w:szCs w:val="18"/>
                      <w:u w:val="single"/>
                    </w:rPr>
                    <w:t>000（吸附+脱附燃烧）</w:t>
                  </w:r>
                </w:p>
              </w:tc>
              <w:tc>
                <w:tcPr>
                  <w:tcW w:w="863" w:type="dxa"/>
                  <w:vAlign w:val="center"/>
                </w:tcPr>
                <w:p w14:paraId="0ACDF6D5">
                  <w:pPr>
                    <w:jc w:val="center"/>
                    <w:textAlignment w:val="center"/>
                    <w:rPr>
                      <w:rFonts w:hint="eastAsia"/>
                      <w:sz w:val="18"/>
                      <w:szCs w:val="18"/>
                      <w:u w:val="single"/>
                      <w:lang w:val="en-US" w:eastAsia="zh-CN"/>
                    </w:rPr>
                  </w:pPr>
                  <w:r>
                    <w:rPr>
                      <w:rFonts w:hint="eastAsia"/>
                      <w:sz w:val="18"/>
                      <w:szCs w:val="18"/>
                      <w:u w:val="single"/>
                      <w:lang w:val="en-US" w:eastAsia="zh-CN"/>
                    </w:rPr>
                    <w:t>5.67</w:t>
                  </w:r>
                </w:p>
                <w:p w14:paraId="42D399B0">
                  <w:pPr>
                    <w:jc w:val="center"/>
                    <w:textAlignment w:val="center"/>
                    <w:rPr>
                      <w:sz w:val="18"/>
                      <w:szCs w:val="18"/>
                      <w:u w:val="single"/>
                    </w:rPr>
                  </w:pPr>
                  <w:r>
                    <w:rPr>
                      <w:rFonts w:hint="eastAsia"/>
                      <w:sz w:val="18"/>
                      <w:szCs w:val="18"/>
                      <w:u w:val="single"/>
                    </w:rPr>
                    <w:t>（吸附+脱附燃烧）</w:t>
                  </w:r>
                </w:p>
              </w:tc>
              <w:tc>
                <w:tcPr>
                  <w:tcW w:w="860" w:type="dxa"/>
                  <w:vAlign w:val="center"/>
                </w:tcPr>
                <w:p w14:paraId="21ACE57B">
                  <w:pPr>
                    <w:widowControl/>
                    <w:jc w:val="center"/>
                    <w:textAlignment w:val="center"/>
                    <w:rPr>
                      <w:rFonts w:hint="default" w:eastAsia="宋体"/>
                      <w:sz w:val="18"/>
                      <w:szCs w:val="18"/>
                      <w:u w:val="single"/>
                      <w:lang w:val="en-US" w:eastAsia="zh-CN"/>
                    </w:rPr>
                  </w:pPr>
                  <w:r>
                    <w:rPr>
                      <w:rFonts w:hint="eastAsia"/>
                      <w:sz w:val="18"/>
                      <w:szCs w:val="18"/>
                      <w:u w:val="single"/>
                    </w:rPr>
                    <w:t>0.</w:t>
                  </w:r>
                  <w:r>
                    <w:rPr>
                      <w:rFonts w:hint="eastAsia"/>
                      <w:sz w:val="18"/>
                      <w:szCs w:val="18"/>
                      <w:u w:val="single"/>
                      <w:lang w:val="en-US" w:eastAsia="zh-CN"/>
                    </w:rPr>
                    <w:t>0851</w:t>
                  </w:r>
                </w:p>
                <w:p w14:paraId="0846C152">
                  <w:pPr>
                    <w:widowControl/>
                    <w:jc w:val="center"/>
                    <w:textAlignment w:val="center"/>
                    <w:rPr>
                      <w:sz w:val="18"/>
                      <w:szCs w:val="18"/>
                      <w:u w:val="single"/>
                    </w:rPr>
                  </w:pPr>
                  <w:r>
                    <w:rPr>
                      <w:rFonts w:hint="eastAsia"/>
                      <w:sz w:val="18"/>
                      <w:szCs w:val="18"/>
                      <w:u w:val="single"/>
                    </w:rPr>
                    <w:t>（吸附+脱附燃烧）</w:t>
                  </w:r>
                </w:p>
              </w:tc>
              <w:tc>
                <w:tcPr>
                  <w:tcW w:w="850" w:type="dxa"/>
                  <w:vAlign w:val="center"/>
                </w:tcPr>
                <w:p w14:paraId="765A51B3">
                  <w:pPr>
                    <w:widowControl/>
                    <w:jc w:val="center"/>
                    <w:textAlignment w:val="center"/>
                    <w:rPr>
                      <w:rFonts w:hint="default" w:eastAsia="宋体"/>
                      <w:sz w:val="18"/>
                      <w:szCs w:val="18"/>
                      <w:u w:val="single"/>
                      <w:lang w:val="en-US" w:eastAsia="zh-CN"/>
                    </w:rPr>
                  </w:pPr>
                  <w:r>
                    <w:rPr>
                      <w:rFonts w:hint="eastAsia"/>
                      <w:sz w:val="18"/>
                      <w:szCs w:val="18"/>
                      <w:u w:val="single"/>
                    </w:rPr>
                    <w:t>0</w:t>
                  </w:r>
                  <w:r>
                    <w:rPr>
                      <w:rFonts w:hint="eastAsia"/>
                      <w:sz w:val="18"/>
                      <w:szCs w:val="18"/>
                      <w:u w:val="single"/>
                      <w:lang w:val="en-US" w:eastAsia="zh-CN"/>
                    </w:rPr>
                    <w:t>.0702</w:t>
                  </w:r>
                </w:p>
                <w:p w14:paraId="00E585E7">
                  <w:pPr>
                    <w:widowControl/>
                    <w:jc w:val="center"/>
                    <w:textAlignment w:val="center"/>
                    <w:rPr>
                      <w:sz w:val="18"/>
                      <w:szCs w:val="18"/>
                      <w:u w:val="single"/>
                    </w:rPr>
                  </w:pPr>
                  <w:r>
                    <w:rPr>
                      <w:rFonts w:hint="eastAsia"/>
                      <w:sz w:val="18"/>
                      <w:szCs w:val="18"/>
                      <w:u w:val="single"/>
                    </w:rPr>
                    <w:t>（吸附+脱附燃烧）</w:t>
                  </w:r>
                </w:p>
              </w:tc>
              <w:tc>
                <w:tcPr>
                  <w:tcW w:w="960" w:type="dxa"/>
                  <w:vMerge w:val="continue"/>
                  <w:vAlign w:val="center"/>
                </w:tcPr>
                <w:p w14:paraId="588566FE">
                  <w:pPr>
                    <w:widowControl/>
                    <w:jc w:val="center"/>
                    <w:textAlignment w:val="center"/>
                    <w:rPr>
                      <w:sz w:val="18"/>
                      <w:szCs w:val="18"/>
                      <w:u w:val="single"/>
                    </w:rPr>
                  </w:pPr>
                </w:p>
              </w:tc>
              <w:tc>
                <w:tcPr>
                  <w:tcW w:w="806" w:type="dxa"/>
                  <w:vMerge w:val="continue"/>
                  <w:vAlign w:val="center"/>
                </w:tcPr>
                <w:p w14:paraId="39B393E6">
                  <w:pPr>
                    <w:jc w:val="center"/>
                    <w:textAlignment w:val="center"/>
                    <w:rPr>
                      <w:sz w:val="18"/>
                      <w:szCs w:val="18"/>
                    </w:rPr>
                  </w:pPr>
                </w:p>
              </w:tc>
            </w:tr>
            <w:tr w14:paraId="11D4976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96" w:hRule="atLeast"/>
                <w:jc w:val="center"/>
              </w:trPr>
              <w:tc>
                <w:tcPr>
                  <w:tcW w:w="841" w:type="dxa"/>
                  <w:vMerge w:val="continue"/>
                  <w:vAlign w:val="center"/>
                </w:tcPr>
                <w:p w14:paraId="0C7A65B9">
                  <w:pPr>
                    <w:widowControl/>
                    <w:jc w:val="center"/>
                    <w:textAlignment w:val="center"/>
                    <w:rPr>
                      <w:sz w:val="18"/>
                      <w:szCs w:val="18"/>
                    </w:rPr>
                  </w:pPr>
                </w:p>
              </w:tc>
              <w:tc>
                <w:tcPr>
                  <w:tcW w:w="375" w:type="dxa"/>
                  <w:vMerge w:val="continue"/>
                  <w:vAlign w:val="center"/>
                </w:tcPr>
                <w:p w14:paraId="0C195317">
                  <w:pPr>
                    <w:widowControl/>
                    <w:jc w:val="center"/>
                    <w:textAlignment w:val="center"/>
                    <w:rPr>
                      <w:sz w:val="18"/>
                      <w:szCs w:val="18"/>
                    </w:rPr>
                  </w:pPr>
                </w:p>
              </w:tc>
              <w:tc>
                <w:tcPr>
                  <w:tcW w:w="350" w:type="dxa"/>
                  <w:vAlign w:val="center"/>
                </w:tcPr>
                <w:p w14:paraId="64A83A27">
                  <w:pPr>
                    <w:widowControl/>
                    <w:jc w:val="center"/>
                    <w:textAlignment w:val="center"/>
                    <w:rPr>
                      <w:sz w:val="18"/>
                      <w:szCs w:val="18"/>
                    </w:rPr>
                  </w:pPr>
                  <w:r>
                    <w:rPr>
                      <w:sz w:val="18"/>
                      <w:szCs w:val="18"/>
                    </w:rPr>
                    <w:t>无组织</w:t>
                  </w:r>
                </w:p>
              </w:tc>
              <w:tc>
                <w:tcPr>
                  <w:tcW w:w="300" w:type="dxa"/>
                  <w:vMerge w:val="continue"/>
                  <w:vAlign w:val="center"/>
                </w:tcPr>
                <w:p w14:paraId="66C4CF88">
                  <w:pPr>
                    <w:widowControl/>
                    <w:jc w:val="center"/>
                    <w:textAlignment w:val="center"/>
                    <w:rPr>
                      <w:sz w:val="18"/>
                      <w:szCs w:val="18"/>
                    </w:rPr>
                  </w:pPr>
                </w:p>
              </w:tc>
              <w:tc>
                <w:tcPr>
                  <w:tcW w:w="375" w:type="dxa"/>
                  <w:vMerge w:val="continue"/>
                  <w:vAlign w:val="center"/>
                </w:tcPr>
                <w:p w14:paraId="159CA0AE">
                  <w:pPr>
                    <w:widowControl/>
                    <w:jc w:val="center"/>
                    <w:textAlignment w:val="center"/>
                    <w:rPr>
                      <w:sz w:val="18"/>
                      <w:szCs w:val="18"/>
                    </w:rPr>
                  </w:pPr>
                </w:p>
              </w:tc>
              <w:tc>
                <w:tcPr>
                  <w:tcW w:w="700" w:type="dxa"/>
                  <w:vAlign w:val="center"/>
                </w:tcPr>
                <w:p w14:paraId="0C6EA464">
                  <w:pPr>
                    <w:widowControl/>
                    <w:jc w:val="center"/>
                    <w:textAlignment w:val="center"/>
                    <w:rPr>
                      <w:sz w:val="18"/>
                      <w:szCs w:val="18"/>
                      <w:u w:val="single"/>
                    </w:rPr>
                  </w:pPr>
                  <w:r>
                    <w:rPr>
                      <w:rFonts w:hint="eastAsia"/>
                      <w:sz w:val="18"/>
                      <w:szCs w:val="18"/>
                      <w:u w:val="single"/>
                    </w:rPr>
                    <w:t>/</w:t>
                  </w:r>
                </w:p>
              </w:tc>
              <w:tc>
                <w:tcPr>
                  <w:tcW w:w="762" w:type="dxa"/>
                  <w:vAlign w:val="center"/>
                </w:tcPr>
                <w:p w14:paraId="48E64A3D">
                  <w:pPr>
                    <w:widowControl/>
                    <w:jc w:val="center"/>
                    <w:textAlignment w:val="center"/>
                    <w:rPr>
                      <w:sz w:val="18"/>
                      <w:szCs w:val="18"/>
                      <w:u w:val="single"/>
                    </w:rPr>
                  </w:pPr>
                  <w:r>
                    <w:rPr>
                      <w:rFonts w:hint="eastAsia"/>
                      <w:sz w:val="18"/>
                      <w:szCs w:val="18"/>
                      <w:u w:val="single"/>
                    </w:rPr>
                    <w:t>/</w:t>
                  </w:r>
                </w:p>
              </w:tc>
              <w:tc>
                <w:tcPr>
                  <w:tcW w:w="738" w:type="dxa"/>
                  <w:vAlign w:val="center"/>
                </w:tcPr>
                <w:p w14:paraId="7CFF4B21">
                  <w:pPr>
                    <w:widowControl/>
                    <w:jc w:val="center"/>
                    <w:textAlignment w:val="center"/>
                    <w:rPr>
                      <w:rFonts w:hint="default" w:eastAsia="宋体"/>
                      <w:sz w:val="18"/>
                      <w:szCs w:val="18"/>
                      <w:u w:val="single"/>
                      <w:lang w:val="en-US" w:eastAsia="zh-CN"/>
                    </w:rPr>
                  </w:pPr>
                  <w:r>
                    <w:rPr>
                      <w:rFonts w:hint="eastAsia"/>
                      <w:sz w:val="18"/>
                      <w:szCs w:val="18"/>
                      <w:u w:val="single"/>
                    </w:rPr>
                    <w:t>0.0</w:t>
                  </w:r>
                  <w:r>
                    <w:rPr>
                      <w:rFonts w:hint="eastAsia"/>
                      <w:sz w:val="18"/>
                      <w:szCs w:val="18"/>
                      <w:u w:val="single"/>
                      <w:lang w:val="en-US" w:eastAsia="zh-CN"/>
                    </w:rPr>
                    <w:t>406</w:t>
                  </w:r>
                </w:p>
              </w:tc>
              <w:tc>
                <w:tcPr>
                  <w:tcW w:w="712" w:type="dxa"/>
                  <w:vAlign w:val="center"/>
                </w:tcPr>
                <w:p w14:paraId="07AD9BA1">
                  <w:pPr>
                    <w:widowControl/>
                    <w:jc w:val="center"/>
                    <w:textAlignment w:val="center"/>
                    <w:rPr>
                      <w:rFonts w:hint="default" w:eastAsia="宋体"/>
                      <w:sz w:val="18"/>
                      <w:szCs w:val="18"/>
                      <w:u w:val="single"/>
                      <w:lang w:val="en-US" w:eastAsia="zh-CN"/>
                    </w:rPr>
                  </w:pPr>
                  <w:r>
                    <w:rPr>
                      <w:rFonts w:hint="eastAsia"/>
                      <w:sz w:val="18"/>
                      <w:szCs w:val="18"/>
                      <w:u w:val="single"/>
                      <w:lang w:val="en-US" w:eastAsia="zh-CN"/>
                    </w:rPr>
                    <w:t>0.0975</w:t>
                  </w:r>
                </w:p>
              </w:tc>
              <w:tc>
                <w:tcPr>
                  <w:tcW w:w="2516" w:type="dxa"/>
                  <w:gridSpan w:val="4"/>
                  <w:vAlign w:val="center"/>
                </w:tcPr>
                <w:p w14:paraId="5A515316">
                  <w:pPr>
                    <w:widowControl/>
                    <w:jc w:val="center"/>
                    <w:textAlignment w:val="center"/>
                    <w:rPr>
                      <w:sz w:val="18"/>
                      <w:szCs w:val="18"/>
                      <w:u w:val="single"/>
                    </w:rPr>
                  </w:pPr>
                  <w:r>
                    <w:rPr>
                      <w:rFonts w:hint="eastAsia"/>
                      <w:sz w:val="18"/>
                      <w:szCs w:val="18"/>
                      <w:u w:val="single"/>
                    </w:rPr>
                    <w:t>车间密闭</w:t>
                  </w:r>
                </w:p>
              </w:tc>
              <w:tc>
                <w:tcPr>
                  <w:tcW w:w="712" w:type="dxa"/>
                  <w:vAlign w:val="center"/>
                </w:tcPr>
                <w:p w14:paraId="42125FEC">
                  <w:pPr>
                    <w:widowControl/>
                    <w:jc w:val="center"/>
                    <w:textAlignment w:val="center"/>
                    <w:rPr>
                      <w:sz w:val="18"/>
                      <w:szCs w:val="18"/>
                      <w:u w:val="single"/>
                    </w:rPr>
                  </w:pPr>
                  <w:r>
                    <w:rPr>
                      <w:rFonts w:hint="eastAsia"/>
                      <w:sz w:val="18"/>
                      <w:szCs w:val="18"/>
                      <w:u w:val="single"/>
                    </w:rPr>
                    <w:t>/</w:t>
                  </w:r>
                </w:p>
              </w:tc>
              <w:tc>
                <w:tcPr>
                  <w:tcW w:w="863" w:type="dxa"/>
                  <w:vAlign w:val="center"/>
                </w:tcPr>
                <w:p w14:paraId="5EDE4A90">
                  <w:pPr>
                    <w:widowControl/>
                    <w:jc w:val="center"/>
                    <w:textAlignment w:val="center"/>
                    <w:rPr>
                      <w:sz w:val="18"/>
                      <w:szCs w:val="18"/>
                      <w:u w:val="single"/>
                    </w:rPr>
                  </w:pPr>
                  <w:r>
                    <w:rPr>
                      <w:rFonts w:hint="eastAsia"/>
                      <w:sz w:val="18"/>
                      <w:szCs w:val="18"/>
                      <w:u w:val="single"/>
                    </w:rPr>
                    <w:t>/</w:t>
                  </w:r>
                </w:p>
              </w:tc>
              <w:tc>
                <w:tcPr>
                  <w:tcW w:w="860" w:type="dxa"/>
                  <w:vAlign w:val="center"/>
                </w:tcPr>
                <w:p w14:paraId="1A7ED67D">
                  <w:pPr>
                    <w:widowControl/>
                    <w:jc w:val="center"/>
                    <w:textAlignment w:val="center"/>
                    <w:rPr>
                      <w:rFonts w:hint="default" w:eastAsia="宋体"/>
                      <w:sz w:val="18"/>
                      <w:szCs w:val="18"/>
                      <w:u w:val="single"/>
                      <w:lang w:val="en-US" w:eastAsia="zh-CN"/>
                    </w:rPr>
                  </w:pPr>
                  <w:r>
                    <w:rPr>
                      <w:rFonts w:hint="eastAsia"/>
                      <w:sz w:val="18"/>
                      <w:szCs w:val="18"/>
                      <w:u w:val="single"/>
                    </w:rPr>
                    <w:t>0.0</w:t>
                  </w:r>
                  <w:r>
                    <w:rPr>
                      <w:rFonts w:hint="eastAsia"/>
                      <w:sz w:val="18"/>
                      <w:szCs w:val="18"/>
                      <w:u w:val="single"/>
                      <w:lang w:val="en-US" w:eastAsia="zh-CN"/>
                    </w:rPr>
                    <w:t>406</w:t>
                  </w:r>
                </w:p>
              </w:tc>
              <w:tc>
                <w:tcPr>
                  <w:tcW w:w="850" w:type="dxa"/>
                  <w:vAlign w:val="center"/>
                </w:tcPr>
                <w:p w14:paraId="60F4F498">
                  <w:pPr>
                    <w:widowControl/>
                    <w:jc w:val="center"/>
                    <w:textAlignment w:val="center"/>
                    <w:rPr>
                      <w:rFonts w:hint="default" w:eastAsia="宋体"/>
                      <w:sz w:val="18"/>
                      <w:szCs w:val="18"/>
                      <w:u w:val="single"/>
                      <w:lang w:val="en-US" w:eastAsia="zh-CN"/>
                    </w:rPr>
                  </w:pPr>
                  <w:r>
                    <w:rPr>
                      <w:rFonts w:hint="eastAsia"/>
                      <w:sz w:val="18"/>
                      <w:szCs w:val="18"/>
                      <w:u w:val="single"/>
                      <w:lang w:val="en-US" w:eastAsia="zh-CN"/>
                    </w:rPr>
                    <w:t>0.0975</w:t>
                  </w:r>
                </w:p>
              </w:tc>
              <w:tc>
                <w:tcPr>
                  <w:tcW w:w="960" w:type="dxa"/>
                  <w:vAlign w:val="center"/>
                </w:tcPr>
                <w:p w14:paraId="48ABA081">
                  <w:pPr>
                    <w:widowControl/>
                    <w:jc w:val="center"/>
                    <w:textAlignment w:val="center"/>
                    <w:rPr>
                      <w:sz w:val="18"/>
                      <w:szCs w:val="18"/>
                      <w:u w:val="single"/>
                    </w:rPr>
                  </w:pPr>
                  <w:r>
                    <w:rPr>
                      <w:rFonts w:hint="eastAsia"/>
                      <w:sz w:val="18"/>
                      <w:szCs w:val="18"/>
                      <w:u w:val="single"/>
                    </w:rPr>
                    <w:t>2400</w:t>
                  </w:r>
                </w:p>
              </w:tc>
              <w:tc>
                <w:tcPr>
                  <w:tcW w:w="806" w:type="dxa"/>
                  <w:vAlign w:val="center"/>
                </w:tcPr>
                <w:p w14:paraId="03D89197">
                  <w:pPr>
                    <w:widowControl/>
                    <w:jc w:val="center"/>
                    <w:textAlignment w:val="center"/>
                    <w:rPr>
                      <w:sz w:val="18"/>
                      <w:szCs w:val="18"/>
                    </w:rPr>
                  </w:pPr>
                  <w:r>
                    <w:rPr>
                      <w:rFonts w:hint="eastAsia"/>
                      <w:sz w:val="18"/>
                      <w:szCs w:val="18"/>
                    </w:rPr>
                    <w:t>/</w:t>
                  </w:r>
                </w:p>
              </w:tc>
            </w:tr>
          </w:tbl>
          <w:p w14:paraId="70FF945C">
            <w:pPr>
              <w:pStyle w:val="137"/>
              <w:numPr>
                <w:ilvl w:val="0"/>
                <w:numId w:val="7"/>
              </w:numPr>
              <w:adjustRightInd w:val="0"/>
              <w:snapToGrid w:val="0"/>
              <w:ind w:firstLineChars="0"/>
              <w:jc w:val="center"/>
              <w:rPr>
                <w:b/>
                <w:szCs w:val="21"/>
              </w:rPr>
            </w:pPr>
            <w:r>
              <w:rPr>
                <w:rFonts w:hint="eastAsia"/>
                <w:b/>
                <w:szCs w:val="21"/>
              </w:rPr>
              <w:t>本</w:t>
            </w:r>
            <w:r>
              <w:rPr>
                <w:b/>
                <w:szCs w:val="21"/>
              </w:rPr>
              <w:t>项目废气</w:t>
            </w:r>
            <w:r>
              <w:rPr>
                <w:rFonts w:hint="eastAsia"/>
                <w:b/>
                <w:szCs w:val="21"/>
              </w:rPr>
              <w:t>排放口参数</w:t>
            </w:r>
            <w:r>
              <w:rPr>
                <w:b/>
                <w:szCs w:val="21"/>
              </w:rPr>
              <w:t>一览表</w:t>
            </w:r>
          </w:p>
          <w:tbl>
            <w:tblPr>
              <w:tblStyle w:val="38"/>
              <w:tblW w:w="1251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00"/>
              <w:gridCol w:w="2485"/>
              <w:gridCol w:w="2079"/>
              <w:gridCol w:w="1984"/>
              <w:gridCol w:w="1323"/>
              <w:gridCol w:w="1385"/>
              <w:gridCol w:w="1361"/>
            </w:tblGrid>
            <w:tr w14:paraId="6C453B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1900" w:type="dxa"/>
                  <w:vMerge w:val="restart"/>
                  <w:vAlign w:val="center"/>
                </w:tcPr>
                <w:p w14:paraId="709A0818">
                  <w:pPr>
                    <w:jc w:val="center"/>
                    <w:rPr>
                      <w:b/>
                      <w:bCs/>
                      <w:szCs w:val="21"/>
                    </w:rPr>
                  </w:pPr>
                  <w:r>
                    <w:rPr>
                      <w:b/>
                      <w:bCs/>
                      <w:szCs w:val="21"/>
                    </w:rPr>
                    <w:t>排放口类型</w:t>
                  </w:r>
                </w:p>
              </w:tc>
              <w:tc>
                <w:tcPr>
                  <w:tcW w:w="2485" w:type="dxa"/>
                  <w:vMerge w:val="restart"/>
                  <w:vAlign w:val="center"/>
                </w:tcPr>
                <w:p w14:paraId="78C3D3F0">
                  <w:pPr>
                    <w:jc w:val="center"/>
                    <w:rPr>
                      <w:szCs w:val="21"/>
                    </w:rPr>
                  </w:pPr>
                  <w:r>
                    <w:rPr>
                      <w:b/>
                      <w:bCs/>
                      <w:szCs w:val="21"/>
                    </w:rPr>
                    <w:t>排放口名称及编号</w:t>
                  </w:r>
                </w:p>
              </w:tc>
              <w:tc>
                <w:tcPr>
                  <w:tcW w:w="4063" w:type="dxa"/>
                  <w:gridSpan w:val="2"/>
                  <w:vAlign w:val="center"/>
                </w:tcPr>
                <w:p w14:paraId="77E273D3">
                  <w:pPr>
                    <w:jc w:val="center"/>
                    <w:rPr>
                      <w:b/>
                      <w:bCs/>
                      <w:szCs w:val="21"/>
                    </w:rPr>
                  </w:pPr>
                  <w:r>
                    <w:rPr>
                      <w:b/>
                      <w:bCs/>
                      <w:szCs w:val="21"/>
                    </w:rPr>
                    <w:t>排放口地理坐标</w:t>
                  </w:r>
                </w:p>
              </w:tc>
              <w:tc>
                <w:tcPr>
                  <w:tcW w:w="1323" w:type="dxa"/>
                  <w:vMerge w:val="restart"/>
                  <w:vAlign w:val="center"/>
                </w:tcPr>
                <w:p w14:paraId="6F3A74C4">
                  <w:pPr>
                    <w:jc w:val="center"/>
                    <w:rPr>
                      <w:b/>
                      <w:bCs/>
                      <w:szCs w:val="21"/>
                    </w:rPr>
                  </w:pPr>
                  <w:r>
                    <w:rPr>
                      <w:b/>
                      <w:bCs/>
                      <w:szCs w:val="21"/>
                    </w:rPr>
                    <w:t>排气筒高度（m）</w:t>
                  </w:r>
                </w:p>
              </w:tc>
              <w:tc>
                <w:tcPr>
                  <w:tcW w:w="1385" w:type="dxa"/>
                  <w:vMerge w:val="restart"/>
                  <w:vAlign w:val="center"/>
                </w:tcPr>
                <w:p w14:paraId="3FE4EA9A">
                  <w:pPr>
                    <w:jc w:val="center"/>
                    <w:rPr>
                      <w:b/>
                      <w:bCs/>
                      <w:szCs w:val="21"/>
                    </w:rPr>
                  </w:pPr>
                  <w:r>
                    <w:rPr>
                      <w:b/>
                      <w:bCs/>
                      <w:szCs w:val="21"/>
                    </w:rPr>
                    <w:t>排气筒出口内径（m）</w:t>
                  </w:r>
                </w:p>
              </w:tc>
              <w:tc>
                <w:tcPr>
                  <w:tcW w:w="1361" w:type="dxa"/>
                  <w:vMerge w:val="restart"/>
                  <w:vAlign w:val="center"/>
                </w:tcPr>
                <w:p w14:paraId="6AA298DA">
                  <w:pPr>
                    <w:jc w:val="center"/>
                    <w:rPr>
                      <w:b/>
                      <w:bCs/>
                      <w:szCs w:val="21"/>
                    </w:rPr>
                  </w:pPr>
                  <w:r>
                    <w:rPr>
                      <w:b/>
                      <w:bCs/>
                      <w:szCs w:val="21"/>
                    </w:rPr>
                    <w:t>排气筒烟气温度（℃）</w:t>
                  </w:r>
                </w:p>
              </w:tc>
            </w:tr>
            <w:tr w14:paraId="519700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1900" w:type="dxa"/>
                  <w:vMerge w:val="continue"/>
                  <w:vAlign w:val="center"/>
                </w:tcPr>
                <w:p w14:paraId="24F21A02">
                  <w:pPr>
                    <w:jc w:val="center"/>
                    <w:rPr>
                      <w:szCs w:val="21"/>
                    </w:rPr>
                  </w:pPr>
                </w:p>
              </w:tc>
              <w:tc>
                <w:tcPr>
                  <w:tcW w:w="2485" w:type="dxa"/>
                  <w:vMerge w:val="continue"/>
                  <w:vAlign w:val="center"/>
                </w:tcPr>
                <w:p w14:paraId="4C3161B7">
                  <w:pPr>
                    <w:jc w:val="center"/>
                    <w:rPr>
                      <w:szCs w:val="21"/>
                    </w:rPr>
                  </w:pPr>
                </w:p>
              </w:tc>
              <w:tc>
                <w:tcPr>
                  <w:tcW w:w="2079" w:type="dxa"/>
                  <w:vAlign w:val="center"/>
                </w:tcPr>
                <w:p w14:paraId="55F5EE50">
                  <w:pPr>
                    <w:jc w:val="center"/>
                    <w:rPr>
                      <w:b/>
                      <w:bCs/>
                      <w:szCs w:val="21"/>
                    </w:rPr>
                  </w:pPr>
                  <w:r>
                    <w:rPr>
                      <w:b/>
                      <w:bCs/>
                      <w:szCs w:val="21"/>
                    </w:rPr>
                    <w:t>经度</w:t>
                  </w:r>
                </w:p>
              </w:tc>
              <w:tc>
                <w:tcPr>
                  <w:tcW w:w="1984" w:type="dxa"/>
                  <w:vAlign w:val="center"/>
                </w:tcPr>
                <w:p w14:paraId="73F86D2F">
                  <w:pPr>
                    <w:jc w:val="center"/>
                    <w:rPr>
                      <w:b/>
                      <w:bCs/>
                      <w:szCs w:val="21"/>
                    </w:rPr>
                  </w:pPr>
                  <w:r>
                    <w:rPr>
                      <w:b/>
                      <w:bCs/>
                      <w:szCs w:val="21"/>
                    </w:rPr>
                    <w:t>纬度</w:t>
                  </w:r>
                </w:p>
              </w:tc>
              <w:tc>
                <w:tcPr>
                  <w:tcW w:w="1323" w:type="dxa"/>
                  <w:vMerge w:val="continue"/>
                  <w:vAlign w:val="center"/>
                </w:tcPr>
                <w:p w14:paraId="45BD6CCD">
                  <w:pPr>
                    <w:jc w:val="center"/>
                    <w:rPr>
                      <w:b/>
                      <w:bCs/>
                      <w:szCs w:val="21"/>
                    </w:rPr>
                  </w:pPr>
                </w:p>
              </w:tc>
              <w:tc>
                <w:tcPr>
                  <w:tcW w:w="1385" w:type="dxa"/>
                  <w:vMerge w:val="continue"/>
                  <w:vAlign w:val="center"/>
                </w:tcPr>
                <w:p w14:paraId="4E20DB33">
                  <w:pPr>
                    <w:jc w:val="center"/>
                    <w:rPr>
                      <w:b/>
                      <w:bCs/>
                      <w:szCs w:val="21"/>
                    </w:rPr>
                  </w:pPr>
                </w:p>
              </w:tc>
              <w:tc>
                <w:tcPr>
                  <w:tcW w:w="1361" w:type="dxa"/>
                  <w:vMerge w:val="continue"/>
                  <w:vAlign w:val="center"/>
                </w:tcPr>
                <w:p w14:paraId="6E8D0114">
                  <w:pPr>
                    <w:jc w:val="center"/>
                    <w:rPr>
                      <w:b/>
                      <w:bCs/>
                      <w:szCs w:val="21"/>
                    </w:rPr>
                  </w:pPr>
                </w:p>
              </w:tc>
            </w:tr>
            <w:tr w14:paraId="4657AA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1900" w:type="dxa"/>
                  <w:vAlign w:val="center"/>
                </w:tcPr>
                <w:p w14:paraId="4C4C2765">
                  <w:pPr>
                    <w:jc w:val="center"/>
                    <w:rPr>
                      <w:szCs w:val="21"/>
                    </w:rPr>
                  </w:pPr>
                  <w:r>
                    <w:rPr>
                      <w:szCs w:val="21"/>
                    </w:rPr>
                    <w:t>一般排放口</w:t>
                  </w:r>
                </w:p>
              </w:tc>
              <w:tc>
                <w:tcPr>
                  <w:tcW w:w="2485" w:type="dxa"/>
                  <w:vAlign w:val="center"/>
                </w:tcPr>
                <w:p w14:paraId="247457C4">
                  <w:pPr>
                    <w:jc w:val="center"/>
                    <w:rPr>
                      <w:szCs w:val="21"/>
                    </w:rPr>
                  </w:pPr>
                  <w:r>
                    <w:rPr>
                      <w:rFonts w:hint="eastAsia"/>
                      <w:szCs w:val="21"/>
                    </w:rPr>
                    <w:t>中空工艺</w:t>
                  </w:r>
                  <w:r>
                    <w:rPr>
                      <w:rFonts w:hint="eastAsia"/>
                      <w:szCs w:val="21"/>
                      <w:lang w:val="en-US" w:eastAsia="zh-CN"/>
                    </w:rPr>
                    <w:t>及危废间</w:t>
                  </w:r>
                  <w:r>
                    <w:rPr>
                      <w:rFonts w:hint="eastAsia"/>
                      <w:szCs w:val="21"/>
                    </w:rPr>
                    <w:t>有机废气排放口</w:t>
                  </w:r>
                  <w:r>
                    <w:rPr>
                      <w:szCs w:val="21"/>
                    </w:rPr>
                    <w:t>DA00</w:t>
                  </w:r>
                  <w:r>
                    <w:rPr>
                      <w:rFonts w:hint="eastAsia"/>
                      <w:szCs w:val="21"/>
                    </w:rPr>
                    <w:t>1</w:t>
                  </w:r>
                </w:p>
              </w:tc>
              <w:tc>
                <w:tcPr>
                  <w:tcW w:w="2079" w:type="dxa"/>
                  <w:vAlign w:val="center"/>
                </w:tcPr>
                <w:p w14:paraId="6945388C">
                  <w:pPr>
                    <w:jc w:val="center"/>
                    <w:rPr>
                      <w:szCs w:val="21"/>
                    </w:rPr>
                  </w:pPr>
                  <w:r>
                    <w:rPr>
                      <w:rFonts w:hint="eastAsia"/>
                      <w:szCs w:val="21"/>
                    </w:rPr>
                    <w:t>E115.122703540</w:t>
                  </w:r>
                  <w:r>
                    <w:rPr>
                      <w:szCs w:val="21"/>
                    </w:rPr>
                    <w:t>°</w:t>
                  </w:r>
                </w:p>
              </w:tc>
              <w:tc>
                <w:tcPr>
                  <w:tcW w:w="1984" w:type="dxa"/>
                  <w:vAlign w:val="center"/>
                </w:tcPr>
                <w:p w14:paraId="6F5B043C">
                  <w:pPr>
                    <w:jc w:val="center"/>
                    <w:rPr>
                      <w:szCs w:val="21"/>
                    </w:rPr>
                  </w:pPr>
                  <w:r>
                    <w:rPr>
                      <w:rFonts w:hint="eastAsia"/>
                      <w:szCs w:val="21"/>
                    </w:rPr>
                    <w:t>N35.848391386</w:t>
                  </w:r>
                  <w:r>
                    <w:rPr>
                      <w:szCs w:val="21"/>
                    </w:rPr>
                    <w:t>°</w:t>
                  </w:r>
                </w:p>
              </w:tc>
              <w:tc>
                <w:tcPr>
                  <w:tcW w:w="1323" w:type="dxa"/>
                  <w:vAlign w:val="center"/>
                </w:tcPr>
                <w:p w14:paraId="1585D0F2">
                  <w:pPr>
                    <w:jc w:val="center"/>
                    <w:rPr>
                      <w:szCs w:val="21"/>
                    </w:rPr>
                  </w:pPr>
                  <w:r>
                    <w:rPr>
                      <w:rFonts w:hint="eastAsia"/>
                      <w:szCs w:val="21"/>
                    </w:rPr>
                    <w:t>15</w:t>
                  </w:r>
                </w:p>
              </w:tc>
              <w:tc>
                <w:tcPr>
                  <w:tcW w:w="1385" w:type="dxa"/>
                  <w:vAlign w:val="center"/>
                </w:tcPr>
                <w:p w14:paraId="0C8D79FF">
                  <w:pPr>
                    <w:jc w:val="center"/>
                    <w:rPr>
                      <w:rFonts w:hint="eastAsia" w:eastAsia="宋体"/>
                      <w:szCs w:val="21"/>
                      <w:lang w:eastAsia="zh-CN"/>
                    </w:rPr>
                  </w:pPr>
                  <w:r>
                    <w:rPr>
                      <w:rFonts w:hint="eastAsia"/>
                      <w:szCs w:val="21"/>
                    </w:rPr>
                    <w:t>0.</w:t>
                  </w:r>
                  <w:r>
                    <w:rPr>
                      <w:rFonts w:hint="eastAsia"/>
                      <w:szCs w:val="21"/>
                      <w:lang w:val="en-US" w:eastAsia="zh-CN"/>
                    </w:rPr>
                    <w:t>5</w:t>
                  </w:r>
                </w:p>
              </w:tc>
              <w:tc>
                <w:tcPr>
                  <w:tcW w:w="1361" w:type="dxa"/>
                  <w:vAlign w:val="center"/>
                </w:tcPr>
                <w:p w14:paraId="6252F43C">
                  <w:pPr>
                    <w:jc w:val="center"/>
                    <w:rPr>
                      <w:szCs w:val="21"/>
                    </w:rPr>
                  </w:pPr>
                  <w:r>
                    <w:rPr>
                      <w:rFonts w:hint="eastAsia"/>
                      <w:szCs w:val="21"/>
                    </w:rPr>
                    <w:t>25</w:t>
                  </w:r>
                </w:p>
              </w:tc>
            </w:tr>
          </w:tbl>
          <w:p w14:paraId="753EDC8C">
            <w:pPr>
              <w:spacing w:line="360" w:lineRule="auto"/>
              <w:rPr>
                <w:bCs/>
                <w:sz w:val="18"/>
                <w:szCs w:val="18"/>
              </w:rPr>
            </w:pPr>
          </w:p>
        </w:tc>
      </w:tr>
    </w:tbl>
    <w:p w14:paraId="50576950">
      <w:pPr>
        <w:sectPr>
          <w:pgSz w:w="16840" w:h="11907" w:orient="landscape"/>
          <w:pgMar w:top="1531" w:right="1701" w:bottom="1531" w:left="2126" w:header="851" w:footer="1134" w:gutter="0"/>
          <w:cols w:space="720" w:num="1"/>
          <w:docGrid w:linePitch="312" w:charSpace="0"/>
        </w:sectPr>
      </w:pPr>
    </w:p>
    <w:tbl>
      <w:tblPr>
        <w:tblStyle w:val="38"/>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311"/>
      </w:tblGrid>
      <w:tr w14:paraId="0D78A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35" w:hRule="atLeast"/>
          <w:jc w:val="center"/>
        </w:trPr>
        <w:tc>
          <w:tcPr>
            <w:tcW w:w="760" w:type="dxa"/>
            <w:tcMar>
              <w:left w:w="28" w:type="dxa"/>
              <w:right w:w="28" w:type="dxa"/>
            </w:tcMar>
            <w:vAlign w:val="center"/>
          </w:tcPr>
          <w:p w14:paraId="3BBA01DE">
            <w:pPr>
              <w:adjustRightInd w:val="0"/>
              <w:snapToGrid w:val="0"/>
              <w:spacing w:line="360" w:lineRule="auto"/>
              <w:jc w:val="center"/>
              <w:rPr>
                <w:rFonts w:ascii="宋体" w:hAnsi="宋体" w:cs="宋体"/>
                <w:bCs/>
                <w:szCs w:val="21"/>
              </w:rPr>
            </w:pPr>
            <w:r>
              <w:rPr>
                <w:rFonts w:hint="eastAsia" w:ascii="宋体" w:hAnsi="宋体" w:cs="宋体"/>
                <w:b/>
                <w:bCs/>
                <w:sz w:val="24"/>
              </w:rPr>
              <w:t>运营期环境影响和保护措施</w:t>
            </w:r>
          </w:p>
        </w:tc>
        <w:tc>
          <w:tcPr>
            <w:tcW w:w="8311" w:type="dxa"/>
          </w:tcPr>
          <w:p w14:paraId="08AB36FC">
            <w:pPr>
              <w:spacing w:line="360" w:lineRule="auto"/>
              <w:ind w:firstLine="472" w:firstLineChars="196"/>
              <w:rPr>
                <w:b/>
                <w:sz w:val="24"/>
              </w:rPr>
            </w:pPr>
            <w:r>
              <w:rPr>
                <w:rFonts w:hint="eastAsia"/>
                <w:b/>
                <w:sz w:val="24"/>
              </w:rPr>
              <w:t>（1）中空工序有机废气</w:t>
            </w:r>
          </w:p>
          <w:p w14:paraId="5519F0D9">
            <w:pPr>
              <w:spacing w:line="360" w:lineRule="auto"/>
              <w:ind w:firstLine="470" w:firstLineChars="196"/>
              <w:rPr>
                <w:sz w:val="24"/>
              </w:rPr>
            </w:pPr>
            <w:r>
              <w:rPr>
                <w:rFonts w:hint="eastAsia"/>
                <w:sz w:val="24"/>
              </w:rPr>
              <w:t>本项目中空玻璃的生产是采用丁基密封胶作为第一道密封胶，采用硅酮密封胶作为第二道密封胶，用时均不添加稀释剂。</w:t>
            </w:r>
            <w:r>
              <w:rPr>
                <w:sz w:val="24"/>
              </w:rPr>
              <w:t>根据中空玻璃加工生产相关规范要求，中空玻璃生产过程中使用的丁基密封胶必须满足《中空玻璃用丁基热熔密封胶》（JC/T914-2014）的规定要求；第二道硅酮密封胶应符合现行标准</w:t>
            </w:r>
            <w:r>
              <w:rPr>
                <w:rFonts w:hint="eastAsia"/>
                <w:sz w:val="24"/>
              </w:rPr>
              <w:t>《中空玻璃用硅酮结构密封胶》（GB 24266-2009）和</w:t>
            </w:r>
            <w:r>
              <w:rPr>
                <w:sz w:val="24"/>
              </w:rPr>
              <w:t>《中空玻璃用</w:t>
            </w:r>
            <w:r>
              <w:rPr>
                <w:rFonts w:hint="eastAsia"/>
                <w:sz w:val="24"/>
              </w:rPr>
              <w:t>弹性</w:t>
            </w:r>
            <w:r>
              <w:rPr>
                <w:sz w:val="24"/>
              </w:rPr>
              <w:t>密封胶》（GB</w:t>
            </w:r>
            <w:r>
              <w:rPr>
                <w:rFonts w:hint="eastAsia"/>
                <w:sz w:val="24"/>
              </w:rPr>
              <w:t>/T</w:t>
            </w:r>
            <w:r>
              <w:rPr>
                <w:sz w:val="24"/>
              </w:rPr>
              <w:t xml:space="preserve"> 2</w:t>
            </w:r>
            <w:r>
              <w:rPr>
                <w:rFonts w:hint="eastAsia"/>
                <w:sz w:val="24"/>
              </w:rPr>
              <w:t>9755</w:t>
            </w:r>
            <w:r>
              <w:rPr>
                <w:sz w:val="24"/>
              </w:rPr>
              <w:t>-20</w:t>
            </w:r>
            <w:r>
              <w:rPr>
                <w:rFonts w:hint="eastAsia"/>
                <w:sz w:val="24"/>
              </w:rPr>
              <w:t>13</w:t>
            </w:r>
            <w:r>
              <w:rPr>
                <w:sz w:val="24"/>
              </w:rPr>
              <w:t>）的规定。</w:t>
            </w:r>
          </w:p>
          <w:p w14:paraId="48E6EDFF">
            <w:pPr>
              <w:spacing w:line="360" w:lineRule="auto"/>
              <w:ind w:firstLine="470" w:firstLineChars="196"/>
              <w:rPr>
                <w:sz w:val="24"/>
                <w:u w:val="single"/>
              </w:rPr>
            </w:pPr>
            <w:r>
              <w:rPr>
                <w:rFonts w:hint="eastAsia"/>
                <w:sz w:val="24"/>
              </w:rPr>
              <w:t>根据</w:t>
            </w:r>
            <w:r>
              <w:rPr>
                <w:sz w:val="24"/>
              </w:rPr>
              <w:t>《中空玻璃用丁基热熔密封胶》（JC/T914-2014）可知</w:t>
            </w:r>
            <w:r>
              <w:rPr>
                <w:rFonts w:hint="eastAsia"/>
                <w:sz w:val="24"/>
              </w:rPr>
              <w:t>，</w:t>
            </w:r>
            <w:r>
              <w:rPr>
                <w:sz w:val="24"/>
              </w:rPr>
              <w:t>中空玻璃用丁基密封胶热失重</w:t>
            </w:r>
            <w:r>
              <w:rPr>
                <w:rFonts w:hint="eastAsia"/>
                <w:sz w:val="24"/>
              </w:rPr>
              <w:t>≤0.75%；根据《中空玻璃用硅酮结构密封胶》（GB 24266-2009）和</w:t>
            </w:r>
            <w:r>
              <w:rPr>
                <w:sz w:val="24"/>
              </w:rPr>
              <w:t>《中空玻璃用</w:t>
            </w:r>
            <w:r>
              <w:rPr>
                <w:rFonts w:hint="eastAsia"/>
                <w:sz w:val="24"/>
              </w:rPr>
              <w:t>弹性</w:t>
            </w:r>
            <w:r>
              <w:rPr>
                <w:sz w:val="24"/>
              </w:rPr>
              <w:t>密封胶》（GB</w:t>
            </w:r>
            <w:r>
              <w:rPr>
                <w:rFonts w:hint="eastAsia"/>
                <w:sz w:val="24"/>
              </w:rPr>
              <w:t>/T</w:t>
            </w:r>
            <w:r>
              <w:rPr>
                <w:sz w:val="24"/>
              </w:rPr>
              <w:t xml:space="preserve"> 2</w:t>
            </w:r>
            <w:r>
              <w:rPr>
                <w:rFonts w:hint="eastAsia"/>
                <w:sz w:val="24"/>
              </w:rPr>
              <w:t>9755</w:t>
            </w:r>
            <w:r>
              <w:rPr>
                <w:sz w:val="24"/>
              </w:rPr>
              <w:t>-20</w:t>
            </w:r>
            <w:r>
              <w:rPr>
                <w:rFonts w:hint="eastAsia"/>
                <w:sz w:val="24"/>
              </w:rPr>
              <w:t>13</w:t>
            </w:r>
            <w:r>
              <w:rPr>
                <w:sz w:val="24"/>
              </w:rPr>
              <w:t>）</w:t>
            </w:r>
            <w:r>
              <w:rPr>
                <w:rFonts w:hint="eastAsia"/>
                <w:sz w:val="24"/>
              </w:rPr>
              <w:t>可知，中空玻璃用硅酮密封胶热失重≤6%。</w:t>
            </w:r>
            <w:r>
              <w:rPr>
                <w:rFonts w:hint="eastAsia"/>
                <w:sz w:val="24"/>
                <w:u w:val="single"/>
              </w:rPr>
              <w:t>丁基密封胶和硅酮密封胶加热挥发的有机废气以非甲烷总烃计，</w:t>
            </w:r>
            <w:r>
              <w:rPr>
                <w:sz w:val="24"/>
                <w:u w:val="single"/>
              </w:rPr>
              <w:t>本项目丁基密封胶年用量为</w:t>
            </w:r>
            <w:r>
              <w:rPr>
                <w:rFonts w:hint="eastAsia"/>
                <w:sz w:val="24"/>
                <w:u w:val="single"/>
              </w:rPr>
              <w:t>10</w:t>
            </w:r>
            <w:r>
              <w:rPr>
                <w:sz w:val="24"/>
                <w:u w:val="single"/>
              </w:rPr>
              <w:t>t，硅酮胶年用量为</w:t>
            </w:r>
            <w:r>
              <w:rPr>
                <w:rFonts w:hint="eastAsia"/>
                <w:sz w:val="24"/>
                <w:u w:val="single"/>
              </w:rPr>
              <w:t>15</w:t>
            </w:r>
            <w:r>
              <w:rPr>
                <w:sz w:val="24"/>
                <w:u w:val="single"/>
              </w:rPr>
              <w:t>t。本次评价取丁基密封胶固化损失量0.</w:t>
            </w:r>
            <w:r>
              <w:rPr>
                <w:rFonts w:hint="eastAsia"/>
                <w:sz w:val="24"/>
                <w:u w:val="single"/>
              </w:rPr>
              <w:t>5</w:t>
            </w:r>
            <w:r>
              <w:rPr>
                <w:sz w:val="24"/>
                <w:u w:val="single"/>
              </w:rPr>
              <w:t>%，硅酮类密封胶固化损失量</w:t>
            </w:r>
            <w:r>
              <w:rPr>
                <w:rFonts w:hint="eastAsia"/>
                <w:sz w:val="24"/>
                <w:u w:val="single"/>
              </w:rPr>
              <w:t>4</w:t>
            </w:r>
            <w:r>
              <w:rPr>
                <w:sz w:val="24"/>
                <w:u w:val="single"/>
              </w:rPr>
              <w:t>%，则本项目中空</w:t>
            </w:r>
            <w:r>
              <w:rPr>
                <w:rFonts w:hint="eastAsia"/>
                <w:sz w:val="24"/>
                <w:u w:val="single"/>
              </w:rPr>
              <w:t>工艺（涂胶、固定、硅酮胶搅拌混合以及封胶过程）</w:t>
            </w:r>
            <w:r>
              <w:rPr>
                <w:sz w:val="24"/>
                <w:u w:val="single"/>
              </w:rPr>
              <w:t>有机废气非甲烷总烃产生量为</w:t>
            </w:r>
            <w:r>
              <w:rPr>
                <w:rFonts w:hint="eastAsia"/>
                <w:sz w:val="24"/>
                <w:u w:val="single"/>
              </w:rPr>
              <w:t>0.65</w:t>
            </w:r>
            <w:r>
              <w:rPr>
                <w:sz w:val="24"/>
                <w:u w:val="single"/>
              </w:rPr>
              <w:t>t/a。</w:t>
            </w:r>
          </w:p>
          <w:p w14:paraId="37E955A0">
            <w:pPr>
              <w:spacing w:line="360" w:lineRule="auto"/>
              <w:ind w:firstLine="470" w:firstLineChars="196"/>
              <w:rPr>
                <w:rFonts w:hint="eastAsia" w:eastAsia="宋体"/>
                <w:sz w:val="24"/>
                <w:u w:val="single"/>
                <w:lang w:val="en-US" w:eastAsia="zh-CN"/>
              </w:rPr>
            </w:pPr>
            <w:r>
              <w:rPr>
                <w:rFonts w:hint="eastAsia"/>
                <w:sz w:val="24"/>
                <w:u w:val="single"/>
              </w:rPr>
              <w:t>由于本项目生产的产品尺寸多样，且玻璃尺寸较大，无法对产生非甲烷总烃的工序进行</w:t>
            </w:r>
            <w:r>
              <w:rPr>
                <w:rFonts w:hint="eastAsia"/>
                <w:sz w:val="24"/>
                <w:u w:val="single"/>
                <w:lang w:val="en-US" w:eastAsia="zh-CN"/>
              </w:rPr>
              <w:t>密闭</w:t>
            </w:r>
            <w:r>
              <w:rPr>
                <w:rFonts w:hint="eastAsia"/>
                <w:sz w:val="24"/>
                <w:u w:val="single"/>
                <w:lang w:eastAsia="zh-CN"/>
              </w:rPr>
              <w:t>，</w:t>
            </w:r>
            <w:r>
              <w:rPr>
                <w:rFonts w:hint="eastAsia"/>
                <w:sz w:val="24"/>
                <w:u w:val="single"/>
              </w:rPr>
              <w:t>故本次评价建议在中空玻璃涂胶、固定及封胶工序</w:t>
            </w:r>
            <w:r>
              <w:rPr>
                <w:rFonts w:hint="eastAsia"/>
                <w:sz w:val="24"/>
                <w:u w:val="single"/>
                <w:lang w:eastAsia="zh-CN"/>
              </w:rPr>
              <w:t>、</w:t>
            </w:r>
            <w:r>
              <w:rPr>
                <w:rFonts w:hint="eastAsia"/>
                <w:sz w:val="24"/>
                <w:u w:val="single"/>
              </w:rPr>
              <w:t>硅酮胶搅拌工序</w:t>
            </w:r>
            <w:r>
              <w:rPr>
                <w:rFonts w:hint="eastAsia"/>
                <w:sz w:val="24"/>
                <w:u w:val="single"/>
                <w:lang w:val="en-US" w:eastAsia="zh-CN"/>
              </w:rPr>
              <w:t>上方分别设置</w:t>
            </w:r>
            <w:r>
              <w:rPr>
                <w:rFonts w:hint="eastAsia"/>
                <w:sz w:val="24"/>
                <w:u w:val="single"/>
              </w:rPr>
              <w:t>顶吸式集气罩收集废气，</w:t>
            </w:r>
            <w:r>
              <w:rPr>
                <w:rFonts w:hint="eastAsia"/>
                <w:sz w:val="24"/>
                <w:u w:val="single"/>
                <w:lang w:val="en-US" w:eastAsia="zh-CN"/>
              </w:rPr>
              <w:t>同时集气罩下加装软皮帘，皮帘基本能够罩住产污工序，保持封闭而不影响操作便利性。</w:t>
            </w:r>
            <w:r>
              <w:rPr>
                <w:rFonts w:hint="eastAsia"/>
                <w:sz w:val="24"/>
                <w:u w:val="single"/>
              </w:rPr>
              <w:t>中空玻璃涂胶固定及封胶工序拟设4个集气罩，集气罩罩口尽量贴近污染源，距离设为0.</w:t>
            </w:r>
            <w:r>
              <w:rPr>
                <w:rFonts w:hint="eastAsia"/>
                <w:sz w:val="24"/>
                <w:u w:val="single"/>
                <w:lang w:val="en-US" w:eastAsia="zh-CN"/>
              </w:rPr>
              <w:t>3</w:t>
            </w:r>
            <w:r>
              <w:rPr>
                <w:rFonts w:hint="eastAsia"/>
                <w:sz w:val="24"/>
                <w:u w:val="single"/>
              </w:rPr>
              <w:t>m，罩口长度应大于污染源的长度，单个集气罩罩口尺寸设为</w:t>
            </w:r>
            <w:r>
              <w:rPr>
                <w:rFonts w:hint="eastAsia"/>
                <w:sz w:val="24"/>
                <w:u w:val="single"/>
                <w:lang w:val="en-US" w:eastAsia="zh-CN"/>
              </w:rPr>
              <w:t>1.4</w:t>
            </w:r>
            <w:r>
              <w:rPr>
                <w:rFonts w:hint="eastAsia"/>
                <w:sz w:val="24"/>
                <w:u w:val="single"/>
              </w:rPr>
              <w:t>m×0.5m；硅酮胶搅拌工序拟设2个集气罩，集气罩罩口</w:t>
            </w:r>
            <w:r>
              <w:rPr>
                <w:rFonts w:hint="eastAsia"/>
                <w:sz w:val="24"/>
                <w:u w:val="single"/>
                <w:lang w:val="en-US" w:eastAsia="zh-CN"/>
              </w:rPr>
              <w:t>至污染源距离为0.3m，</w:t>
            </w:r>
            <w:r>
              <w:rPr>
                <w:rFonts w:hint="eastAsia"/>
                <w:sz w:val="24"/>
                <w:u w:val="single"/>
              </w:rPr>
              <w:t>罩口长度应大于污染源的长度，单个集气罩罩口尺寸设为</w:t>
            </w:r>
            <w:r>
              <w:rPr>
                <w:rFonts w:hint="eastAsia"/>
                <w:sz w:val="24"/>
                <w:u w:val="single"/>
                <w:lang w:val="en-US" w:eastAsia="zh-CN"/>
              </w:rPr>
              <w:t>0.5</w:t>
            </w:r>
            <w:r>
              <w:rPr>
                <w:rFonts w:hint="eastAsia"/>
                <w:sz w:val="24"/>
                <w:u w:val="single"/>
              </w:rPr>
              <w:t>m×0.5m</w:t>
            </w:r>
            <w:r>
              <w:rPr>
                <w:rFonts w:hint="eastAsia"/>
                <w:sz w:val="24"/>
                <w:u w:val="single"/>
                <w:lang w:eastAsia="zh-CN"/>
              </w:rPr>
              <w:t>。</w:t>
            </w:r>
          </w:p>
          <w:p w14:paraId="52D24680">
            <w:pPr>
              <w:spacing w:line="360" w:lineRule="auto"/>
              <w:ind w:firstLine="480" w:firstLineChars="200"/>
              <w:rPr>
                <w:sz w:val="24"/>
                <w:u w:val="single"/>
              </w:rPr>
            </w:pPr>
            <w:r>
              <w:rPr>
                <w:sz w:val="24"/>
                <w:u w:val="single"/>
              </w:rPr>
              <w:t>废气量核算</w:t>
            </w:r>
            <w:r>
              <w:rPr>
                <w:rFonts w:hint="eastAsia"/>
                <w:sz w:val="24"/>
                <w:u w:val="single"/>
              </w:rPr>
              <w:t>：</w:t>
            </w:r>
          </w:p>
          <w:p w14:paraId="405B8BD7">
            <w:pPr>
              <w:autoSpaceDE w:val="0"/>
              <w:spacing w:line="360" w:lineRule="auto"/>
              <w:ind w:firstLine="480" w:firstLineChars="200"/>
              <w:rPr>
                <w:color w:val="000000"/>
                <w:sz w:val="24"/>
                <w:u w:val="single"/>
              </w:rPr>
            </w:pPr>
            <w:r>
              <w:rPr>
                <w:rFonts w:hint="eastAsia" w:ascii="宋体" w:hAnsi="宋体"/>
                <w:color w:val="000000"/>
                <w:sz w:val="24"/>
                <w:u w:val="single"/>
              </w:rPr>
              <w:t>根据《大气污染控制工程》（第三版）中集气罩风量计算公式，计算工序所需风量：</w:t>
            </w:r>
          </w:p>
          <w:p w14:paraId="16789D69">
            <w:pPr>
              <w:autoSpaceDE w:val="0"/>
              <w:spacing w:line="360" w:lineRule="auto"/>
              <w:ind w:firstLine="480" w:firstLineChars="200"/>
              <w:rPr>
                <w:color w:val="000000"/>
                <w:sz w:val="24"/>
                <w:u w:val="single"/>
                <w:vertAlign w:val="subscript"/>
              </w:rPr>
            </w:pPr>
            <w:r>
              <w:rPr>
                <w:rFonts w:hint="eastAsia"/>
                <w:color w:val="000000"/>
                <w:sz w:val="24"/>
                <w:u w:val="single"/>
              </w:rPr>
              <w:t>Q=0.75</w:t>
            </w:r>
            <w:r>
              <w:rPr>
                <w:rFonts w:hint="eastAsia" w:ascii="宋体" w:hAnsi="宋体"/>
                <w:color w:val="000000"/>
                <w:sz w:val="24"/>
                <w:u w:val="single"/>
              </w:rPr>
              <w:t>（</w:t>
            </w:r>
            <w:r>
              <w:rPr>
                <w:rFonts w:hint="eastAsia"/>
                <w:color w:val="000000"/>
                <w:sz w:val="24"/>
                <w:u w:val="single"/>
              </w:rPr>
              <w:t>10X</w:t>
            </w:r>
            <w:r>
              <w:rPr>
                <w:rFonts w:hint="eastAsia"/>
                <w:color w:val="000000"/>
                <w:sz w:val="24"/>
                <w:u w:val="single"/>
                <w:vertAlign w:val="superscript"/>
              </w:rPr>
              <w:t>2</w:t>
            </w:r>
            <w:r>
              <w:rPr>
                <w:rFonts w:hint="eastAsia"/>
                <w:color w:val="000000"/>
                <w:sz w:val="24"/>
                <w:u w:val="single"/>
              </w:rPr>
              <w:t>+A</w:t>
            </w:r>
            <w:r>
              <w:rPr>
                <w:rFonts w:hint="eastAsia" w:ascii="宋体" w:hAnsi="宋体"/>
                <w:color w:val="000000"/>
                <w:sz w:val="24"/>
                <w:u w:val="single"/>
              </w:rPr>
              <w:t>）×</w:t>
            </w:r>
            <w:r>
              <w:rPr>
                <w:rFonts w:hint="eastAsia"/>
                <w:color w:val="000000"/>
                <w:sz w:val="24"/>
                <w:u w:val="single"/>
              </w:rPr>
              <w:t>V</w:t>
            </w:r>
            <w:r>
              <w:rPr>
                <w:rFonts w:hint="eastAsia"/>
                <w:color w:val="000000"/>
                <w:sz w:val="24"/>
                <w:u w:val="single"/>
                <w:vertAlign w:val="subscript"/>
              </w:rPr>
              <w:t>X</w:t>
            </w:r>
          </w:p>
          <w:p w14:paraId="70304AA3">
            <w:pPr>
              <w:autoSpaceDE w:val="0"/>
              <w:spacing w:line="360" w:lineRule="auto"/>
              <w:ind w:firstLine="480" w:firstLineChars="200"/>
              <w:rPr>
                <w:color w:val="000000"/>
                <w:sz w:val="24"/>
                <w:u w:val="single"/>
              </w:rPr>
            </w:pPr>
            <w:r>
              <w:rPr>
                <w:rFonts w:hint="eastAsia" w:ascii="宋体" w:hAnsi="宋体"/>
                <w:color w:val="000000"/>
                <w:sz w:val="24"/>
                <w:u w:val="single"/>
              </w:rPr>
              <w:t>式中：</w:t>
            </w:r>
            <w:r>
              <w:rPr>
                <w:rFonts w:hint="eastAsia"/>
                <w:color w:val="000000"/>
                <w:sz w:val="24"/>
                <w:u w:val="single"/>
              </w:rPr>
              <w:t>Q---</w:t>
            </w:r>
            <w:r>
              <w:rPr>
                <w:rFonts w:hint="eastAsia" w:ascii="宋体" w:hAnsi="宋体"/>
                <w:color w:val="000000"/>
                <w:sz w:val="24"/>
                <w:u w:val="single"/>
              </w:rPr>
              <w:t>集气罩排风量，</w:t>
            </w:r>
            <w:r>
              <w:rPr>
                <w:rFonts w:hint="eastAsia"/>
                <w:color w:val="000000"/>
                <w:sz w:val="24"/>
                <w:u w:val="single"/>
              </w:rPr>
              <w:t>m</w:t>
            </w:r>
            <w:r>
              <w:rPr>
                <w:rFonts w:hint="eastAsia"/>
                <w:color w:val="000000"/>
                <w:sz w:val="24"/>
                <w:u w:val="single"/>
                <w:vertAlign w:val="superscript"/>
              </w:rPr>
              <w:t>3</w:t>
            </w:r>
            <w:r>
              <w:rPr>
                <w:rFonts w:hint="eastAsia"/>
                <w:color w:val="000000"/>
                <w:sz w:val="24"/>
                <w:u w:val="single"/>
              </w:rPr>
              <w:t>/s</w:t>
            </w:r>
            <w:r>
              <w:rPr>
                <w:rFonts w:hint="eastAsia" w:ascii="宋体" w:hAnsi="宋体"/>
                <w:color w:val="000000"/>
                <w:sz w:val="24"/>
                <w:u w:val="single"/>
              </w:rPr>
              <w:t>；</w:t>
            </w:r>
          </w:p>
          <w:p w14:paraId="1FBFE198">
            <w:pPr>
              <w:autoSpaceDE w:val="0"/>
              <w:spacing w:line="360" w:lineRule="auto"/>
              <w:ind w:firstLine="1200" w:firstLineChars="500"/>
              <w:rPr>
                <w:color w:val="000000"/>
                <w:sz w:val="24"/>
                <w:u w:val="single"/>
              </w:rPr>
            </w:pPr>
            <w:r>
              <w:rPr>
                <w:rFonts w:hint="eastAsia"/>
                <w:color w:val="000000"/>
                <w:sz w:val="24"/>
                <w:u w:val="single"/>
              </w:rPr>
              <w:t>X---</w:t>
            </w:r>
            <w:r>
              <w:rPr>
                <w:rFonts w:hint="eastAsia" w:ascii="宋体" w:hAnsi="宋体"/>
                <w:color w:val="000000"/>
                <w:sz w:val="24"/>
                <w:u w:val="single"/>
              </w:rPr>
              <w:t>污染物产生点至集气罩口的距离，</w:t>
            </w:r>
            <w:r>
              <w:rPr>
                <w:rFonts w:hint="eastAsia"/>
                <w:color w:val="000000"/>
                <w:sz w:val="24"/>
                <w:u w:val="single"/>
              </w:rPr>
              <w:t>m</w:t>
            </w:r>
            <w:r>
              <w:rPr>
                <w:rFonts w:hint="eastAsia" w:ascii="宋体" w:hAnsi="宋体"/>
                <w:color w:val="000000"/>
                <w:sz w:val="24"/>
                <w:u w:val="single"/>
              </w:rPr>
              <w:t>；</w:t>
            </w:r>
          </w:p>
          <w:p w14:paraId="3F357549">
            <w:pPr>
              <w:autoSpaceDE w:val="0"/>
              <w:spacing w:line="360" w:lineRule="auto"/>
              <w:ind w:firstLine="1200" w:firstLineChars="500"/>
              <w:rPr>
                <w:color w:val="000000"/>
                <w:sz w:val="24"/>
                <w:u w:val="single"/>
              </w:rPr>
            </w:pPr>
            <w:r>
              <w:rPr>
                <w:rFonts w:hint="eastAsia"/>
                <w:color w:val="000000"/>
                <w:sz w:val="24"/>
                <w:u w:val="single"/>
              </w:rPr>
              <w:t>A---</w:t>
            </w:r>
            <w:r>
              <w:rPr>
                <w:rFonts w:hint="eastAsia" w:ascii="宋体" w:hAnsi="宋体"/>
                <w:color w:val="000000"/>
                <w:sz w:val="24"/>
                <w:u w:val="single"/>
              </w:rPr>
              <w:t>集气罩口面积，</w:t>
            </w:r>
            <w:r>
              <w:rPr>
                <w:rFonts w:hint="eastAsia"/>
                <w:color w:val="000000"/>
                <w:sz w:val="24"/>
                <w:u w:val="single"/>
              </w:rPr>
              <w:t>m</w:t>
            </w:r>
            <w:r>
              <w:rPr>
                <w:rFonts w:hint="eastAsia"/>
                <w:color w:val="000000"/>
                <w:sz w:val="24"/>
                <w:u w:val="single"/>
                <w:vertAlign w:val="superscript"/>
              </w:rPr>
              <w:t>2</w:t>
            </w:r>
            <w:r>
              <w:rPr>
                <w:rFonts w:hint="eastAsia" w:ascii="宋体" w:hAnsi="宋体"/>
                <w:color w:val="000000"/>
                <w:sz w:val="24"/>
                <w:u w:val="single"/>
              </w:rPr>
              <w:t>；</w:t>
            </w:r>
          </w:p>
          <w:p w14:paraId="6979A12F">
            <w:pPr>
              <w:autoSpaceDE w:val="0"/>
              <w:spacing w:line="360" w:lineRule="auto"/>
              <w:ind w:firstLine="1200" w:firstLineChars="500"/>
              <w:rPr>
                <w:color w:val="000000"/>
                <w:sz w:val="24"/>
                <w:u w:val="single"/>
              </w:rPr>
            </w:pPr>
            <w:r>
              <w:rPr>
                <w:rFonts w:hint="eastAsia"/>
                <w:color w:val="000000"/>
                <w:sz w:val="24"/>
                <w:u w:val="single"/>
              </w:rPr>
              <w:t>V</w:t>
            </w:r>
            <w:r>
              <w:rPr>
                <w:rFonts w:hint="eastAsia"/>
                <w:color w:val="000000"/>
                <w:sz w:val="24"/>
                <w:u w:val="single"/>
                <w:vertAlign w:val="subscript"/>
              </w:rPr>
              <w:t>X</w:t>
            </w:r>
            <w:r>
              <w:rPr>
                <w:rFonts w:hint="eastAsia"/>
                <w:color w:val="000000"/>
                <w:sz w:val="24"/>
                <w:u w:val="single"/>
              </w:rPr>
              <w:t>---</w:t>
            </w:r>
            <w:r>
              <w:rPr>
                <w:rFonts w:hint="eastAsia" w:ascii="宋体" w:hAnsi="宋体"/>
                <w:color w:val="000000"/>
                <w:sz w:val="24"/>
                <w:u w:val="single"/>
              </w:rPr>
              <w:t>最小控制风速，</w:t>
            </w:r>
            <w:r>
              <w:rPr>
                <w:rFonts w:hint="eastAsia"/>
                <w:color w:val="000000"/>
                <w:sz w:val="24"/>
                <w:u w:val="single"/>
              </w:rPr>
              <w:t>m/s</w:t>
            </w:r>
            <w:r>
              <w:rPr>
                <w:rFonts w:hint="eastAsia" w:ascii="宋体" w:hAnsi="宋体"/>
                <w:color w:val="000000"/>
                <w:sz w:val="24"/>
                <w:u w:val="single"/>
              </w:rPr>
              <w:t>，本项目取</w:t>
            </w:r>
            <w:r>
              <w:rPr>
                <w:rFonts w:hint="eastAsia"/>
                <w:color w:val="000000"/>
                <w:sz w:val="24"/>
                <w:u w:val="single"/>
              </w:rPr>
              <w:t>0.5m/s</w:t>
            </w:r>
            <w:r>
              <w:rPr>
                <w:rFonts w:hint="eastAsia" w:ascii="宋体" w:hAnsi="宋体"/>
                <w:color w:val="000000"/>
                <w:sz w:val="24"/>
                <w:u w:val="single"/>
              </w:rPr>
              <w:t>。</w:t>
            </w:r>
          </w:p>
          <w:p w14:paraId="557CF567">
            <w:pPr>
              <w:spacing w:line="360" w:lineRule="auto"/>
              <w:ind w:firstLine="480" w:firstLineChars="200"/>
              <w:rPr>
                <w:sz w:val="24"/>
                <w:u w:val="single"/>
              </w:rPr>
            </w:pPr>
            <w:r>
              <w:rPr>
                <w:rFonts w:hint="eastAsia" w:ascii="宋体" w:hAnsi="宋体"/>
                <w:sz w:val="24"/>
                <w:u w:val="single"/>
              </w:rPr>
              <w:t>由上述公式</w:t>
            </w:r>
            <w:r>
              <w:rPr>
                <w:rFonts w:ascii="宋体" w:hAnsi="宋体"/>
                <w:sz w:val="24"/>
                <w:u w:val="single"/>
              </w:rPr>
              <w:t>计算</w:t>
            </w:r>
            <w:r>
              <w:rPr>
                <w:rFonts w:hint="eastAsia" w:ascii="宋体" w:hAnsi="宋体"/>
                <w:sz w:val="24"/>
                <w:u w:val="single"/>
              </w:rPr>
              <w:t>得出</w:t>
            </w:r>
            <w:r>
              <w:rPr>
                <w:rFonts w:ascii="宋体" w:hAnsi="宋体"/>
                <w:sz w:val="24"/>
                <w:u w:val="single"/>
              </w:rPr>
              <w:t>，</w:t>
            </w:r>
            <w:r>
              <w:rPr>
                <w:rFonts w:hint="eastAsia" w:ascii="宋体" w:hAnsi="宋体"/>
                <w:sz w:val="24"/>
                <w:u w:val="single"/>
              </w:rPr>
              <w:t>项目单个</w:t>
            </w:r>
            <w:r>
              <w:rPr>
                <w:rFonts w:ascii="宋体" w:hAnsi="宋体"/>
                <w:sz w:val="24"/>
                <w:u w:val="single"/>
              </w:rPr>
              <w:t>集气罩</w:t>
            </w:r>
            <w:r>
              <w:rPr>
                <w:rFonts w:hint="eastAsia" w:ascii="宋体" w:hAnsi="宋体"/>
                <w:sz w:val="24"/>
                <w:u w:val="single"/>
                <w:lang w:eastAsia="zh-CN"/>
              </w:rPr>
              <w:t>（</w:t>
            </w:r>
            <w:r>
              <w:rPr>
                <w:rFonts w:hint="eastAsia"/>
                <w:sz w:val="24"/>
                <w:u w:val="single"/>
                <w:lang w:val="en-US" w:eastAsia="zh-CN"/>
              </w:rPr>
              <w:t>1.4</w:t>
            </w:r>
            <w:r>
              <w:rPr>
                <w:rFonts w:hint="eastAsia"/>
                <w:sz w:val="24"/>
                <w:u w:val="single"/>
              </w:rPr>
              <w:t>m×0.5m</w:t>
            </w:r>
            <w:r>
              <w:rPr>
                <w:rFonts w:hint="eastAsia" w:ascii="宋体" w:hAnsi="宋体"/>
                <w:sz w:val="24"/>
                <w:u w:val="single"/>
                <w:lang w:eastAsia="zh-CN"/>
              </w:rPr>
              <w:t>）</w:t>
            </w:r>
            <w:r>
              <w:rPr>
                <w:rFonts w:ascii="宋体" w:hAnsi="宋体"/>
                <w:sz w:val="24"/>
                <w:u w:val="single"/>
              </w:rPr>
              <w:t>集气风量</w:t>
            </w:r>
            <w:r>
              <w:rPr>
                <w:sz w:val="24"/>
                <w:u w:val="single"/>
              </w:rPr>
              <w:t>Q</w:t>
            </w:r>
            <w:r>
              <w:rPr>
                <w:rFonts w:ascii="宋体" w:hAnsi="宋体"/>
                <w:sz w:val="24"/>
                <w:u w:val="single"/>
              </w:rPr>
              <w:t>为</w:t>
            </w:r>
            <w:r>
              <w:rPr>
                <w:rFonts w:hint="default" w:ascii="Times New Roman" w:hAnsi="Times New Roman" w:cs="Times New Roman"/>
                <w:sz w:val="24"/>
                <w:u w:val="single"/>
                <w:lang w:val="en-US" w:eastAsia="zh-CN"/>
              </w:rPr>
              <w:t>0.6</w:t>
            </w:r>
            <w:r>
              <w:rPr>
                <w:rFonts w:hint="default" w:ascii="Times New Roman" w:hAnsi="Times New Roman" w:cs="Times New Roman"/>
                <w:sz w:val="24"/>
                <w:u w:val="single"/>
              </w:rPr>
              <w:t>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/s，</w:t>
            </w:r>
            <w:r>
              <w:rPr>
                <w:rFonts w:ascii="宋体" w:hAnsi="宋体"/>
                <w:sz w:val="24"/>
                <w:u w:val="single"/>
              </w:rPr>
              <w:t>折</w:t>
            </w:r>
            <w:r>
              <w:rPr>
                <w:rFonts w:hint="default" w:ascii="Times New Roman" w:hAnsi="Times New Roman" w:cs="Times New Roman"/>
                <w:sz w:val="24"/>
                <w:u w:val="single"/>
              </w:rPr>
              <w:t>合</w:t>
            </w:r>
            <w:r>
              <w:rPr>
                <w:rFonts w:hint="default" w:ascii="Times New Roman" w:hAnsi="Times New Roman" w:cs="Times New Roman"/>
                <w:sz w:val="24"/>
                <w:u w:val="single"/>
                <w:lang w:val="en-US" w:eastAsia="zh-CN"/>
              </w:rPr>
              <w:t>2160</w:t>
            </w:r>
            <w:r>
              <w:rPr>
                <w:rFonts w:hint="default" w:ascii="Times New Roman" w:hAnsi="Times New Roman" w:cs="Times New Roman"/>
                <w:sz w:val="24"/>
                <w:u w:val="single"/>
              </w:rPr>
              <w:t>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/h，</w:t>
            </w:r>
            <w:r>
              <w:rPr>
                <w:rFonts w:hint="default" w:ascii="Times New Roman" w:hAnsi="Times New Roman" w:cs="Times New Roman"/>
                <w:sz w:val="24"/>
                <w:u w:val="single"/>
                <w:lang w:val="en-US" w:eastAsia="zh-CN"/>
              </w:rPr>
              <w:t>则</w:t>
            </w:r>
            <w:r>
              <w:rPr>
                <w:rFonts w:hint="default" w:ascii="Times New Roman" w:hAnsi="Times New Roman" w:cs="Times New Roman"/>
                <w:sz w:val="24"/>
                <w:u w:val="single"/>
              </w:rPr>
              <w:t>涂胶、固定及封胶工序4个集气罩风量合计为</w:t>
            </w:r>
            <w:r>
              <w:rPr>
                <w:rFonts w:hint="default" w:ascii="Times New Roman" w:hAnsi="Times New Roman" w:cs="Times New Roman"/>
                <w:sz w:val="24"/>
                <w:u w:val="single"/>
                <w:lang w:val="en-US" w:eastAsia="zh-CN"/>
              </w:rPr>
              <w:t>8640</w:t>
            </w:r>
            <w:r>
              <w:rPr>
                <w:rFonts w:hint="default" w:ascii="Times New Roman" w:hAnsi="Times New Roman" w:cs="Times New Roman"/>
                <w:sz w:val="24"/>
                <w:u w:val="single"/>
              </w:rPr>
              <w:t>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/h；</w:t>
            </w:r>
            <w:r>
              <w:rPr>
                <w:rFonts w:hint="default" w:ascii="Times New Roman" w:hAnsi="Times New Roman" w:cs="Times New Roman"/>
                <w:sz w:val="24"/>
                <w:u w:val="single"/>
                <w:lang w:val="en-US" w:eastAsia="zh-CN"/>
              </w:rPr>
              <w:t>项目</w:t>
            </w:r>
            <w:r>
              <w:rPr>
                <w:rFonts w:hint="default" w:ascii="Times New Roman" w:hAnsi="Times New Roman" w:cs="Times New Roman"/>
                <w:sz w:val="24"/>
                <w:u w:val="single"/>
              </w:rPr>
              <w:t>单个集气罩</w:t>
            </w:r>
            <w:r>
              <w:rPr>
                <w:rFonts w:hint="default" w:ascii="Times New Roman" w:hAnsi="Times New Roman" w:cs="Times New Roman"/>
                <w:sz w:val="24"/>
                <w:u w:val="single"/>
                <w:lang w:eastAsia="zh-CN"/>
              </w:rPr>
              <w:t>（</w:t>
            </w:r>
            <w:r>
              <w:rPr>
                <w:rFonts w:hint="default" w:ascii="Times New Roman" w:hAnsi="Times New Roman" w:cs="Times New Roman"/>
                <w:sz w:val="24"/>
                <w:u w:val="single"/>
                <w:lang w:val="en-US" w:eastAsia="zh-CN"/>
              </w:rPr>
              <w:t>0.5</w:t>
            </w:r>
            <w:r>
              <w:rPr>
                <w:rFonts w:hint="default" w:ascii="Times New Roman" w:hAnsi="Times New Roman" w:cs="Times New Roman"/>
                <w:sz w:val="24"/>
                <w:u w:val="single"/>
              </w:rPr>
              <w:t>m×0.5m</w:t>
            </w:r>
            <w:r>
              <w:rPr>
                <w:rFonts w:hint="default" w:ascii="Times New Roman" w:hAnsi="Times New Roman" w:cs="Times New Roman"/>
                <w:sz w:val="24"/>
                <w:u w:val="single"/>
                <w:lang w:eastAsia="zh-CN"/>
              </w:rPr>
              <w:t>）</w:t>
            </w:r>
            <w:r>
              <w:rPr>
                <w:rFonts w:hint="default" w:ascii="Times New Roman" w:hAnsi="Times New Roman" w:cs="Times New Roman"/>
                <w:sz w:val="24"/>
                <w:u w:val="single"/>
              </w:rPr>
              <w:t>集气风量Q为</w:t>
            </w:r>
            <w:r>
              <w:rPr>
                <w:rFonts w:hint="default" w:ascii="Times New Roman" w:hAnsi="Times New Roman" w:cs="Times New Roman"/>
                <w:sz w:val="24"/>
                <w:u w:val="single"/>
                <w:lang w:val="en-US" w:eastAsia="zh-CN"/>
              </w:rPr>
              <w:t>0.43</w:t>
            </w:r>
            <w:r>
              <w:rPr>
                <w:rFonts w:hint="default" w:ascii="Times New Roman" w:hAnsi="Times New Roman" w:cs="Times New Roman"/>
                <w:sz w:val="24"/>
                <w:u w:val="single"/>
              </w:rPr>
              <w:t>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/s，折合</w:t>
            </w:r>
            <w:r>
              <w:rPr>
                <w:rFonts w:hint="default" w:ascii="Times New Roman" w:hAnsi="Times New Roman" w:cs="Times New Roman"/>
                <w:sz w:val="24"/>
                <w:u w:val="single"/>
                <w:lang w:val="en-US" w:eastAsia="zh-CN"/>
              </w:rPr>
              <w:t>1548</w:t>
            </w:r>
            <w:r>
              <w:rPr>
                <w:rFonts w:hint="default" w:ascii="Times New Roman" w:hAnsi="Times New Roman" w:cs="Times New Roman"/>
                <w:sz w:val="24"/>
                <w:u w:val="single"/>
              </w:rPr>
              <w:t>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/h，</w:t>
            </w:r>
            <w:r>
              <w:rPr>
                <w:rFonts w:hint="default" w:ascii="Times New Roman" w:hAnsi="Times New Roman" w:cs="Times New Roman"/>
                <w:sz w:val="24"/>
                <w:u w:val="single"/>
                <w:lang w:val="en-US" w:eastAsia="zh-CN"/>
              </w:rPr>
              <w:t>则</w:t>
            </w:r>
            <w:r>
              <w:rPr>
                <w:rFonts w:hint="default" w:ascii="Times New Roman" w:hAnsi="Times New Roman" w:cs="Times New Roman"/>
                <w:sz w:val="24"/>
                <w:u w:val="single"/>
              </w:rPr>
              <w:t>硅酮胶搅拌工序2个集气罩风量合计</w:t>
            </w:r>
            <w:r>
              <w:rPr>
                <w:rFonts w:hint="default" w:ascii="Times New Roman" w:hAnsi="Times New Roman" w:cs="Times New Roman"/>
                <w:sz w:val="24"/>
                <w:u w:val="single"/>
                <w:lang w:val="en-US" w:eastAsia="zh-CN"/>
              </w:rPr>
              <w:t>3096</w:t>
            </w:r>
            <w:r>
              <w:rPr>
                <w:rFonts w:hint="default" w:ascii="Times New Roman" w:hAnsi="Times New Roman" w:cs="Times New Roman"/>
                <w:sz w:val="24"/>
                <w:u w:val="single"/>
              </w:rPr>
              <w:t>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/h，则项目中空工序所需集气风量合计为</w:t>
            </w:r>
            <w:r>
              <w:rPr>
                <w:rFonts w:hint="default" w:ascii="Times New Roman" w:hAnsi="Times New Roman" w:cs="Times New Roman"/>
                <w:sz w:val="24"/>
                <w:u w:val="single"/>
                <w:lang w:val="en-US" w:eastAsia="zh-CN"/>
              </w:rPr>
              <w:t>11736</w:t>
            </w:r>
            <w:r>
              <w:rPr>
                <w:rFonts w:hint="default" w:ascii="Times New Roman" w:hAnsi="Times New Roman" w:cs="Times New Roman"/>
                <w:sz w:val="24"/>
                <w:u w:val="single"/>
              </w:rPr>
              <w:t>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/h，考虑废气收集及管道损失压力，则项目中空工序集气装置设计风机风量为</w:t>
            </w:r>
            <w:r>
              <w:rPr>
                <w:rFonts w:hint="default" w:ascii="Times New Roman" w:hAnsi="Times New Roman" w:cs="Times New Roman"/>
                <w:sz w:val="24"/>
                <w:u w:val="single"/>
                <w:lang w:val="en-US" w:eastAsia="zh-CN"/>
              </w:rPr>
              <w:t>1</w:t>
            </w:r>
            <w:r>
              <w:rPr>
                <w:rFonts w:hint="eastAsia" w:cs="Times New Roman"/>
                <w:sz w:val="24"/>
                <w:u w:val="single"/>
                <w:lang w:val="en-US" w:eastAsia="zh-CN"/>
              </w:rPr>
              <w:t>3</w:t>
            </w:r>
            <w:r>
              <w:rPr>
                <w:rFonts w:hint="default" w:ascii="Times New Roman" w:hAnsi="Times New Roman" w:cs="Times New Roman"/>
                <w:sz w:val="24"/>
                <w:u w:val="single"/>
                <w:lang w:val="en-US" w:eastAsia="zh-CN"/>
              </w:rPr>
              <w:t>000</w:t>
            </w:r>
            <w:r>
              <w:rPr>
                <w:rFonts w:hint="default" w:ascii="Times New Roman" w:hAnsi="Times New Roman" w:cs="Times New Roman"/>
                <w:sz w:val="24"/>
                <w:u w:val="single"/>
              </w:rPr>
              <w:t>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/h。</w:t>
            </w:r>
          </w:p>
          <w:p w14:paraId="21A8A97A">
            <w:pPr>
              <w:spacing w:line="360" w:lineRule="auto"/>
              <w:ind w:firstLine="470" w:firstLineChars="196"/>
              <w:rPr>
                <w:sz w:val="24"/>
                <w:u w:val="single"/>
              </w:rPr>
            </w:pPr>
            <w:r>
              <w:rPr>
                <w:sz w:val="24"/>
                <w:u w:val="single"/>
              </w:rPr>
              <w:t>中空玻璃生产线生产过程中在保证安全的前提下紧闭门窗，</w:t>
            </w:r>
            <w:r>
              <w:rPr>
                <w:rFonts w:hint="eastAsia"/>
                <w:sz w:val="24"/>
                <w:u w:val="single"/>
                <w:lang w:val="en-US" w:eastAsia="zh-CN"/>
              </w:rPr>
              <w:t>经采取上述措施后，有机</w:t>
            </w:r>
            <w:r>
              <w:rPr>
                <w:sz w:val="24"/>
                <w:u w:val="single"/>
              </w:rPr>
              <w:t>废气收集效率</w:t>
            </w:r>
            <w:r>
              <w:rPr>
                <w:rFonts w:hint="eastAsia"/>
                <w:sz w:val="24"/>
                <w:u w:val="single"/>
                <w:lang w:val="en-US" w:eastAsia="zh-CN"/>
              </w:rPr>
              <w:t>可达85</w:t>
            </w:r>
            <w:r>
              <w:rPr>
                <w:sz w:val="24"/>
                <w:u w:val="single"/>
              </w:rPr>
              <w:t>%</w:t>
            </w:r>
            <w:r>
              <w:rPr>
                <w:rFonts w:hint="eastAsia"/>
                <w:sz w:val="24"/>
                <w:u w:val="single"/>
                <w:lang w:val="en-US" w:eastAsia="zh-CN"/>
              </w:rPr>
              <w:t>以上</w:t>
            </w:r>
            <w:r>
              <w:rPr>
                <w:sz w:val="24"/>
                <w:u w:val="single"/>
              </w:rPr>
              <w:t>，风机风量为</w:t>
            </w:r>
            <w:r>
              <w:rPr>
                <w:rFonts w:hint="eastAsia"/>
                <w:sz w:val="24"/>
                <w:u w:val="single"/>
                <w:lang w:val="en-US" w:eastAsia="zh-CN"/>
              </w:rPr>
              <w:t>13</w:t>
            </w:r>
            <w:r>
              <w:rPr>
                <w:rFonts w:hint="eastAsia"/>
                <w:sz w:val="24"/>
                <w:u w:val="single"/>
              </w:rPr>
              <w:t>000</w:t>
            </w:r>
            <w:r>
              <w:rPr>
                <w:sz w:val="24"/>
                <w:u w:val="single"/>
              </w:rPr>
              <w:t>m</w:t>
            </w:r>
            <w:r>
              <w:rPr>
                <w:sz w:val="24"/>
                <w:u w:val="single"/>
                <w:vertAlign w:val="superscript"/>
              </w:rPr>
              <w:t>3</w:t>
            </w:r>
            <w:r>
              <w:rPr>
                <w:sz w:val="24"/>
                <w:u w:val="single"/>
              </w:rPr>
              <w:t>/h</w:t>
            </w:r>
            <w:r>
              <w:rPr>
                <w:rFonts w:hint="eastAsia"/>
                <w:sz w:val="24"/>
                <w:u w:val="single"/>
              </w:rPr>
              <w:t>，</w:t>
            </w:r>
            <w:r>
              <w:rPr>
                <w:sz w:val="24"/>
                <w:u w:val="single"/>
              </w:rPr>
              <w:t>运行时间为</w:t>
            </w:r>
            <w:r>
              <w:rPr>
                <w:rFonts w:hint="eastAsia"/>
                <w:sz w:val="24"/>
                <w:u w:val="single"/>
              </w:rPr>
              <w:t>2400h/a，则非甲烷总烃无组织排放量为0.0</w:t>
            </w:r>
            <w:r>
              <w:rPr>
                <w:rFonts w:hint="eastAsia"/>
                <w:sz w:val="24"/>
                <w:u w:val="single"/>
                <w:lang w:val="en-US" w:eastAsia="zh-CN"/>
              </w:rPr>
              <w:t>975</w:t>
            </w:r>
            <w:r>
              <w:rPr>
                <w:rFonts w:hint="eastAsia"/>
                <w:sz w:val="24"/>
                <w:u w:val="single"/>
              </w:rPr>
              <w:t>t/a；有组织收集量为0.</w:t>
            </w:r>
            <w:r>
              <w:rPr>
                <w:rFonts w:hint="eastAsia"/>
                <w:sz w:val="24"/>
                <w:u w:val="single"/>
                <w:lang w:val="en-US" w:eastAsia="zh-CN"/>
              </w:rPr>
              <w:t>5525</w:t>
            </w:r>
            <w:r>
              <w:rPr>
                <w:rFonts w:hint="eastAsia"/>
                <w:sz w:val="24"/>
                <w:u w:val="single"/>
              </w:rPr>
              <w:t>t/a，有组织产生速率为0.2</w:t>
            </w:r>
            <w:r>
              <w:rPr>
                <w:rFonts w:hint="eastAsia"/>
                <w:sz w:val="24"/>
                <w:u w:val="single"/>
                <w:lang w:val="en-US" w:eastAsia="zh-CN"/>
              </w:rPr>
              <w:t>3</w:t>
            </w:r>
            <w:r>
              <w:rPr>
                <w:sz w:val="24"/>
                <w:u w:val="single"/>
              </w:rPr>
              <w:t>kg/h，产生浓度为</w:t>
            </w:r>
            <w:r>
              <w:rPr>
                <w:rFonts w:hint="eastAsia"/>
                <w:sz w:val="24"/>
                <w:u w:val="single"/>
                <w:lang w:val="en-US" w:eastAsia="zh-CN"/>
              </w:rPr>
              <w:t>17.71</w:t>
            </w:r>
            <w:r>
              <w:rPr>
                <w:sz w:val="24"/>
                <w:u w:val="single"/>
              </w:rPr>
              <w:t>mg/m</w:t>
            </w:r>
            <w:r>
              <w:rPr>
                <w:sz w:val="24"/>
                <w:u w:val="single"/>
                <w:vertAlign w:val="superscript"/>
              </w:rPr>
              <w:t>3</w:t>
            </w:r>
            <w:r>
              <w:rPr>
                <w:rFonts w:hint="eastAsia"/>
                <w:sz w:val="24"/>
                <w:u w:val="single"/>
              </w:rPr>
              <w:t>。</w:t>
            </w:r>
            <w:r>
              <w:rPr>
                <w:rFonts w:hint="eastAsia"/>
                <w:sz w:val="24"/>
                <w:u w:val="single"/>
                <w:lang w:val="en-US" w:eastAsia="zh-CN"/>
              </w:rPr>
              <w:t>有机</w:t>
            </w:r>
            <w:r>
              <w:rPr>
                <w:rFonts w:hint="eastAsia" w:ascii="宋体" w:hAnsi="宋体"/>
                <w:sz w:val="24"/>
                <w:u w:val="single"/>
                <w:lang w:val="en-US" w:eastAsia="zh-CN"/>
              </w:rPr>
              <w:t>废气经</w:t>
            </w:r>
            <w:r>
              <w:rPr>
                <w:rFonts w:hint="eastAsia" w:ascii="宋体" w:hAnsi="宋体"/>
                <w:sz w:val="24"/>
                <w:u w:val="single"/>
              </w:rPr>
              <w:t>集气装置收集后送入活性炭吸附-脱附+催</w:t>
            </w:r>
            <w:r>
              <w:rPr>
                <w:sz w:val="24"/>
                <w:u w:val="single"/>
              </w:rPr>
              <w:t>化燃烧装置（TA001）进行处理，处理达标后经15m高排气筒（DA001）排放。</w:t>
            </w:r>
          </w:p>
          <w:p w14:paraId="429D110B">
            <w:pPr>
              <w:spacing w:line="360" w:lineRule="auto"/>
              <w:ind w:firstLine="470" w:firstLineChars="196"/>
              <w:rPr>
                <w:sz w:val="24"/>
              </w:rPr>
            </w:pPr>
            <w:r>
              <w:rPr>
                <w:rFonts w:hint="eastAsia"/>
                <w:sz w:val="24"/>
              </w:rPr>
              <w:t>由于本项目有机废气中挥发性有机物浓度较低，需使用活性炭进行吸附富集后脱附，然后进行催化燃烧，方能达到较高的处理效率。本项目采用活性炭在线脱附运行方式，其排气筒污染物排放情况为两种：第一种情况为脱附、催化燃烧程序</w:t>
            </w:r>
            <w:r>
              <w:rPr>
                <w:rFonts w:hint="eastAsia"/>
                <w:sz w:val="24"/>
                <w:lang w:val="en-US" w:eastAsia="zh-CN"/>
              </w:rPr>
              <w:t>未启动</w:t>
            </w:r>
            <w:r>
              <w:rPr>
                <w:rFonts w:hint="eastAsia"/>
                <w:sz w:val="24"/>
              </w:rPr>
              <w:t>，废气经活性炭吸附处理后排放，</w:t>
            </w:r>
            <w:r>
              <w:rPr>
                <w:rFonts w:hint="eastAsia" w:cs="Times New Roman"/>
                <w:sz w:val="24"/>
                <w:u w:val="none"/>
                <w:lang w:val="en-US" w:eastAsia="zh-CN"/>
              </w:rPr>
              <w:t>活性炭吸附风机</w:t>
            </w:r>
            <w:r>
              <w:rPr>
                <w:rFonts w:hint="default" w:ascii="Times New Roman" w:hAnsi="Times New Roman" w:cs="Times New Roman"/>
                <w:sz w:val="24"/>
                <w:u w:val="none"/>
              </w:rPr>
              <w:t>风量1</w:t>
            </w:r>
            <w:r>
              <w:rPr>
                <w:rFonts w:hint="default" w:ascii="Times New Roman" w:hAnsi="Times New Roman" w:cs="Times New Roman"/>
                <w:sz w:val="24"/>
                <w:u w:val="none"/>
                <w:lang w:val="en-US" w:eastAsia="zh-CN"/>
              </w:rPr>
              <w:t>3</w:t>
            </w:r>
            <w:r>
              <w:rPr>
                <w:rFonts w:hint="default" w:ascii="Times New Roman" w:hAnsi="Times New Roman" w:cs="Times New Roman"/>
                <w:sz w:val="24"/>
                <w:u w:val="none"/>
              </w:rPr>
              <w:t>000m</w:t>
            </w:r>
            <w:r>
              <w:rPr>
                <w:rFonts w:hint="default" w:ascii="Times New Roman" w:hAnsi="Times New Roman" w:cs="Times New Roman"/>
                <w:sz w:val="24"/>
                <w:u w:val="none"/>
                <w:vertAlign w:val="superscript"/>
              </w:rPr>
              <w:t>3</w:t>
            </w:r>
            <w:r>
              <w:rPr>
                <w:rFonts w:hint="default" w:ascii="Times New Roman" w:hAnsi="Times New Roman" w:cs="Times New Roman"/>
                <w:sz w:val="24"/>
                <w:u w:val="none"/>
              </w:rPr>
              <w:t>/h</w:t>
            </w:r>
            <w:r>
              <w:rPr>
                <w:rFonts w:hint="eastAsia"/>
                <w:sz w:val="24"/>
              </w:rPr>
              <w:t>；第二种情况为</w:t>
            </w:r>
            <w:r>
              <w:rPr>
                <w:rFonts w:hint="eastAsia"/>
                <w:sz w:val="24"/>
                <w:lang w:val="en-US" w:eastAsia="zh-CN"/>
              </w:rPr>
              <w:t>启动</w:t>
            </w:r>
            <w:r>
              <w:rPr>
                <w:rFonts w:hint="eastAsia"/>
                <w:sz w:val="24"/>
              </w:rPr>
              <w:t>脱附</w:t>
            </w:r>
            <w:r>
              <w:rPr>
                <w:rFonts w:hint="eastAsia"/>
                <w:sz w:val="24"/>
                <w:lang w:val="en-US" w:eastAsia="zh-CN"/>
              </w:rPr>
              <w:t>和催化</w:t>
            </w:r>
            <w:r>
              <w:rPr>
                <w:rFonts w:hint="eastAsia"/>
                <w:sz w:val="24"/>
              </w:rPr>
              <w:t>燃烧程序，</w:t>
            </w:r>
            <w:r>
              <w:rPr>
                <w:rFonts w:hint="eastAsia"/>
                <w:sz w:val="24"/>
                <w:lang w:val="en-US" w:eastAsia="zh-CN"/>
              </w:rPr>
              <w:t>活性炭</w:t>
            </w:r>
            <w:r>
              <w:rPr>
                <w:rFonts w:hint="eastAsia"/>
                <w:sz w:val="24"/>
              </w:rPr>
              <w:t>脱附产出的废气污染物经催化燃烧处理后与经活性炭吸附处理后的废气一同排放，设计脱附风机风量</w:t>
            </w:r>
            <w:r>
              <w:rPr>
                <w:rFonts w:hint="eastAsia"/>
                <w:sz w:val="24"/>
                <w:u w:val="none"/>
              </w:rPr>
              <w:t>2000</w:t>
            </w:r>
            <w:r>
              <w:rPr>
                <w:sz w:val="24"/>
                <w:u w:val="none"/>
              </w:rPr>
              <w:t>m</w:t>
            </w:r>
            <w:r>
              <w:rPr>
                <w:sz w:val="24"/>
                <w:u w:val="none"/>
                <w:vertAlign w:val="superscript"/>
              </w:rPr>
              <w:t>3</w:t>
            </w:r>
            <w:r>
              <w:rPr>
                <w:sz w:val="24"/>
                <w:u w:val="none"/>
              </w:rPr>
              <w:t>/h</w:t>
            </w:r>
            <w:r>
              <w:rPr>
                <w:rFonts w:hint="eastAsia"/>
                <w:sz w:val="24"/>
                <w:u w:val="none"/>
              </w:rPr>
              <w:t>，</w:t>
            </w:r>
            <w:r>
              <w:rPr>
                <w:rFonts w:hint="eastAsia"/>
                <w:sz w:val="24"/>
              </w:rPr>
              <w:t>平均每5天进行一次脱附燃烧，每次脱附燃烧时间4h，年脱附燃烧时间240h。</w:t>
            </w:r>
          </w:p>
          <w:p w14:paraId="28BE53D2">
            <w:pPr>
              <w:spacing w:line="360" w:lineRule="auto"/>
              <w:ind w:firstLine="470" w:firstLineChars="196"/>
              <w:rPr>
                <w:rFonts w:hint="default" w:eastAsia="宋体"/>
                <w:sz w:val="24"/>
                <w:lang w:val="en-US" w:eastAsia="zh-CN"/>
              </w:rPr>
            </w:pPr>
            <w:r>
              <w:rPr>
                <w:rFonts w:hint="eastAsia" w:ascii="宋体" w:hAnsi="宋体" w:cs="宋体"/>
                <w:sz w:val="24"/>
              </w:rPr>
              <w:t>①</w:t>
            </w:r>
            <w:r>
              <w:rPr>
                <w:sz w:val="24"/>
              </w:rPr>
              <w:t>第一种情况：</w:t>
            </w:r>
            <w:r>
              <w:rPr>
                <w:rFonts w:hint="eastAsia"/>
                <w:sz w:val="24"/>
                <w:lang w:val="en-US" w:eastAsia="zh-CN"/>
              </w:rPr>
              <w:t>活性炭吸附后排放情况</w:t>
            </w:r>
          </w:p>
          <w:p w14:paraId="2F6C92F4">
            <w:pPr>
              <w:spacing w:line="360" w:lineRule="auto"/>
              <w:ind w:firstLine="470" w:firstLineChars="196"/>
              <w:rPr>
                <w:sz w:val="24"/>
              </w:rPr>
            </w:pPr>
            <w:r>
              <w:rPr>
                <w:rFonts w:hint="eastAsia"/>
                <w:sz w:val="24"/>
              </w:rPr>
              <w:t>项目</w:t>
            </w:r>
            <w:r>
              <w:rPr>
                <w:rFonts w:hint="eastAsia"/>
                <w:sz w:val="24"/>
                <w:lang w:val="en-US" w:eastAsia="zh-CN"/>
              </w:rPr>
              <w:t>有机</w:t>
            </w:r>
            <w:r>
              <w:rPr>
                <w:rFonts w:hint="eastAsia"/>
                <w:sz w:val="24"/>
              </w:rPr>
              <w:t>废气经活性炭吸附处理后排放，</w:t>
            </w:r>
            <w:r>
              <w:rPr>
                <w:rFonts w:hint="default" w:ascii="Times New Roman" w:hAnsi="Times New Roman" w:cs="Times New Roman"/>
                <w:sz w:val="24"/>
                <w:u w:val="single"/>
              </w:rPr>
              <w:t>设计风量1</w:t>
            </w:r>
            <w:r>
              <w:rPr>
                <w:rFonts w:hint="default" w:ascii="Times New Roman" w:hAnsi="Times New Roman" w:cs="Times New Roman"/>
                <w:sz w:val="24"/>
                <w:u w:val="single"/>
                <w:lang w:val="en-US" w:eastAsia="zh-CN"/>
              </w:rPr>
              <w:t>3</w:t>
            </w:r>
            <w:r>
              <w:rPr>
                <w:rFonts w:hint="default" w:ascii="Times New Roman" w:hAnsi="Times New Roman" w:cs="Times New Roman"/>
                <w:sz w:val="24"/>
                <w:u w:val="single"/>
              </w:rPr>
              <w:t>000m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/h，</w:t>
            </w:r>
            <w:r>
              <w:rPr>
                <w:rFonts w:hint="eastAsia"/>
                <w:sz w:val="24"/>
                <w:u w:val="single"/>
              </w:rPr>
              <w:t>根据《吸附法工业有机废气治理工程技术规范》</w:t>
            </w:r>
            <w:r>
              <w:rPr>
                <w:sz w:val="24"/>
                <w:u w:val="single"/>
              </w:rPr>
              <w:t>(HJ 2026</w:t>
            </w:r>
            <w:r>
              <w:rPr>
                <w:rFonts w:hint="eastAsia"/>
                <w:sz w:val="24"/>
                <w:u w:val="single"/>
              </w:rPr>
              <w:t>-</w:t>
            </w:r>
            <w:r>
              <w:rPr>
                <w:sz w:val="24"/>
                <w:u w:val="single"/>
              </w:rPr>
              <w:t>2013)</w:t>
            </w:r>
            <w:r>
              <w:rPr>
                <w:rFonts w:hint="eastAsia"/>
                <w:sz w:val="24"/>
                <w:u w:val="single"/>
              </w:rPr>
              <w:t>，“吸附装置的净化效率不得低于</w:t>
            </w:r>
            <w:r>
              <w:rPr>
                <w:sz w:val="24"/>
                <w:u w:val="single"/>
              </w:rPr>
              <w:t>90%</w:t>
            </w:r>
            <w:r>
              <w:rPr>
                <w:rFonts w:hint="eastAsia"/>
                <w:sz w:val="24"/>
                <w:u w:val="single"/>
              </w:rPr>
              <w:t>”，本项目活性炭吸附处理效率以90%计，则中空工序废气非甲烷总烃有组织排放量为0.05</w:t>
            </w:r>
            <w:r>
              <w:rPr>
                <w:rFonts w:hint="eastAsia"/>
                <w:sz w:val="24"/>
                <w:u w:val="single"/>
                <w:lang w:val="en-US" w:eastAsia="zh-CN"/>
              </w:rPr>
              <w:t>53</w:t>
            </w:r>
            <w:r>
              <w:rPr>
                <w:rFonts w:hint="eastAsia"/>
                <w:sz w:val="24"/>
                <w:u w:val="single"/>
              </w:rPr>
              <w:t>t/a，</w:t>
            </w:r>
            <w:r>
              <w:rPr>
                <w:rFonts w:hint="eastAsia"/>
                <w:sz w:val="24"/>
              </w:rPr>
              <w:t>具体产排情况见下表：</w:t>
            </w:r>
          </w:p>
          <w:p w14:paraId="01A92708">
            <w:pPr>
              <w:pStyle w:val="137"/>
              <w:numPr>
                <w:ilvl w:val="0"/>
                <w:numId w:val="7"/>
              </w:numPr>
              <w:adjustRightInd w:val="0"/>
              <w:snapToGrid w:val="0"/>
              <w:ind w:firstLineChars="0"/>
              <w:jc w:val="center"/>
              <w:rPr>
                <w:b/>
                <w:bCs/>
                <w:szCs w:val="21"/>
              </w:rPr>
            </w:pPr>
            <w:r>
              <w:rPr>
                <w:rFonts w:hint="eastAsia"/>
                <w:b/>
                <w:bCs/>
                <w:szCs w:val="21"/>
              </w:rPr>
              <w:t>项目中空工艺有机废气产排情况一览表（</w:t>
            </w:r>
            <w:r>
              <w:rPr>
                <w:rFonts w:hint="eastAsia"/>
                <w:b/>
                <w:bCs/>
                <w:szCs w:val="21"/>
                <w:lang w:val="en-US" w:eastAsia="zh-CN"/>
              </w:rPr>
              <w:t>活性炭吸附后</w:t>
            </w:r>
            <w:r>
              <w:rPr>
                <w:rFonts w:hint="eastAsia"/>
                <w:b/>
                <w:bCs/>
                <w:szCs w:val="21"/>
              </w:rPr>
              <w:t>）</w:t>
            </w:r>
          </w:p>
          <w:tbl>
            <w:tblPr>
              <w:tblStyle w:val="39"/>
              <w:tblW w:w="797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747"/>
              <w:gridCol w:w="1064"/>
              <w:gridCol w:w="776"/>
              <w:gridCol w:w="777"/>
              <w:gridCol w:w="778"/>
              <w:gridCol w:w="1345"/>
              <w:gridCol w:w="825"/>
              <w:gridCol w:w="801"/>
              <w:gridCol w:w="866"/>
            </w:tblGrid>
            <w:tr w14:paraId="391C53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811" w:type="dxa"/>
                  <w:gridSpan w:val="2"/>
                  <w:vMerge w:val="restart"/>
                  <w:tcBorders>
                    <w:top w:val="single" w:color="auto" w:sz="4" w:space="0"/>
                    <w:left w:val="single" w:color="auto" w:sz="4" w:space="0"/>
                    <w:bottom w:val="single" w:color="auto" w:sz="6" w:space="0"/>
                    <w:right w:val="single" w:color="auto" w:sz="6" w:space="0"/>
                  </w:tcBorders>
                  <w:shd w:val="clear" w:color="auto" w:fill="auto"/>
                  <w:vAlign w:val="center"/>
                </w:tcPr>
                <w:p w14:paraId="7BCE429B">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污染源及污染物名称</w:t>
                  </w:r>
                </w:p>
              </w:tc>
              <w:tc>
                <w:tcPr>
                  <w:tcW w:w="2331" w:type="dxa"/>
                  <w:gridSpan w:val="3"/>
                  <w:tcBorders>
                    <w:top w:val="single" w:color="auto" w:sz="4" w:space="0"/>
                    <w:left w:val="single" w:color="auto" w:sz="6" w:space="0"/>
                    <w:bottom w:val="single" w:color="auto" w:sz="6" w:space="0"/>
                    <w:right w:val="single" w:color="auto" w:sz="6" w:space="0"/>
                  </w:tcBorders>
                  <w:shd w:val="clear" w:color="auto" w:fill="auto"/>
                  <w:vAlign w:val="center"/>
                </w:tcPr>
                <w:p w14:paraId="3ADF148D">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产生情况</w:t>
                  </w:r>
                </w:p>
              </w:tc>
              <w:tc>
                <w:tcPr>
                  <w:tcW w:w="1345" w:type="dxa"/>
                  <w:vMerge w:val="restart"/>
                  <w:tcBorders>
                    <w:top w:val="single" w:color="auto" w:sz="4" w:space="0"/>
                    <w:left w:val="single" w:color="auto" w:sz="6" w:space="0"/>
                    <w:bottom w:val="single" w:color="auto" w:sz="6" w:space="0"/>
                    <w:right w:val="single" w:color="auto" w:sz="6" w:space="0"/>
                  </w:tcBorders>
                  <w:shd w:val="clear" w:color="auto" w:fill="auto"/>
                  <w:vAlign w:val="center"/>
                </w:tcPr>
                <w:p w14:paraId="14FDBF9D">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措施</w:t>
                  </w:r>
                </w:p>
              </w:tc>
              <w:tc>
                <w:tcPr>
                  <w:tcW w:w="2492" w:type="dxa"/>
                  <w:gridSpan w:val="3"/>
                  <w:tcBorders>
                    <w:top w:val="single" w:color="auto" w:sz="4" w:space="0"/>
                    <w:left w:val="single" w:color="auto" w:sz="6" w:space="0"/>
                    <w:bottom w:val="single" w:color="auto" w:sz="6" w:space="0"/>
                    <w:right w:val="single" w:color="auto" w:sz="4" w:space="0"/>
                  </w:tcBorders>
                  <w:shd w:val="clear" w:color="auto" w:fill="auto"/>
                  <w:vAlign w:val="center"/>
                </w:tcPr>
                <w:p w14:paraId="47BE36A1">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排放情况</w:t>
                  </w:r>
                </w:p>
              </w:tc>
            </w:tr>
            <w:tr w14:paraId="447A5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811" w:type="dxa"/>
                  <w:gridSpan w:val="2"/>
                  <w:vMerge w:val="continue"/>
                  <w:tcBorders>
                    <w:top w:val="single" w:color="auto" w:sz="4" w:space="0"/>
                    <w:left w:val="single" w:color="auto" w:sz="4" w:space="0"/>
                    <w:bottom w:val="single" w:color="auto" w:sz="6" w:space="0"/>
                    <w:right w:val="single" w:color="auto" w:sz="6" w:space="0"/>
                  </w:tcBorders>
                  <w:shd w:val="clear" w:color="auto" w:fill="auto"/>
                  <w:vAlign w:val="center"/>
                </w:tcPr>
                <w:p w14:paraId="63A0975E">
                  <w:pPr>
                    <w:rPr>
                      <w:szCs w:val="21"/>
                    </w:rPr>
                  </w:pP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14:paraId="1C0EB6C8">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浓度</w:t>
                  </w:r>
                  <w:r>
                    <w:rPr>
                      <w:rFonts w:ascii="Times New Roman" w:hAnsi="Times New Roman" w:eastAsia="宋体"/>
                      <w:sz w:val="21"/>
                      <w:szCs w:val="21"/>
                      <w:lang w:bidi="ar"/>
                    </w:rPr>
                    <w:t>mg/m</w:t>
                  </w:r>
                  <w:r>
                    <w:rPr>
                      <w:rFonts w:ascii="Times New Roman" w:hAnsi="Times New Roman" w:eastAsia="宋体"/>
                      <w:sz w:val="21"/>
                      <w:szCs w:val="21"/>
                      <w:vertAlign w:val="superscript"/>
                      <w:lang w:bidi="ar"/>
                    </w:rPr>
                    <w:t>3</w:t>
                  </w:r>
                </w:p>
              </w:tc>
              <w:tc>
                <w:tcPr>
                  <w:tcW w:w="777" w:type="dxa"/>
                  <w:tcBorders>
                    <w:top w:val="single" w:color="auto" w:sz="6" w:space="0"/>
                    <w:left w:val="single" w:color="auto" w:sz="6" w:space="0"/>
                    <w:bottom w:val="single" w:color="auto" w:sz="6" w:space="0"/>
                    <w:right w:val="single" w:color="auto" w:sz="6" w:space="0"/>
                  </w:tcBorders>
                  <w:shd w:val="clear" w:color="auto" w:fill="auto"/>
                  <w:vAlign w:val="center"/>
                </w:tcPr>
                <w:p w14:paraId="523A0A63">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速率</w:t>
                  </w:r>
                  <w:r>
                    <w:rPr>
                      <w:rFonts w:ascii="Times New Roman" w:hAnsi="Times New Roman" w:eastAsia="宋体"/>
                      <w:sz w:val="21"/>
                      <w:szCs w:val="21"/>
                      <w:lang w:bidi="ar"/>
                    </w:rPr>
                    <w:t>kg/h</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14:paraId="5C46677D">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产生量</w:t>
                  </w:r>
                  <w:r>
                    <w:rPr>
                      <w:rFonts w:ascii="Times New Roman" w:hAnsi="Times New Roman" w:eastAsia="宋体"/>
                      <w:sz w:val="21"/>
                      <w:szCs w:val="21"/>
                      <w:lang w:bidi="ar"/>
                    </w:rPr>
                    <w:t>t/a</w:t>
                  </w:r>
                </w:p>
              </w:tc>
              <w:tc>
                <w:tcPr>
                  <w:tcW w:w="1345" w:type="dxa"/>
                  <w:vMerge w:val="continue"/>
                  <w:tcBorders>
                    <w:top w:val="single" w:color="auto" w:sz="4" w:space="0"/>
                    <w:left w:val="single" w:color="auto" w:sz="6" w:space="0"/>
                    <w:bottom w:val="single" w:color="auto" w:sz="6" w:space="0"/>
                    <w:right w:val="single" w:color="auto" w:sz="6" w:space="0"/>
                  </w:tcBorders>
                  <w:shd w:val="clear" w:color="auto" w:fill="auto"/>
                  <w:vAlign w:val="center"/>
                </w:tcPr>
                <w:p w14:paraId="447B2C2F">
                  <w:pPr>
                    <w:rPr>
                      <w:szCs w:val="21"/>
                    </w:rPr>
                  </w:pPr>
                </w:p>
              </w:tc>
              <w:tc>
                <w:tcPr>
                  <w:tcW w:w="825" w:type="dxa"/>
                  <w:tcBorders>
                    <w:top w:val="single" w:color="auto" w:sz="6" w:space="0"/>
                    <w:left w:val="single" w:color="auto" w:sz="6" w:space="0"/>
                    <w:bottom w:val="single" w:color="auto" w:sz="6" w:space="0"/>
                    <w:right w:val="single" w:color="auto" w:sz="6" w:space="0"/>
                  </w:tcBorders>
                  <w:shd w:val="clear" w:color="auto" w:fill="auto"/>
                  <w:vAlign w:val="center"/>
                </w:tcPr>
                <w:p w14:paraId="6A2389C8">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浓度</w:t>
                  </w:r>
                  <w:r>
                    <w:rPr>
                      <w:rFonts w:ascii="Times New Roman" w:hAnsi="Times New Roman" w:eastAsia="宋体"/>
                      <w:sz w:val="21"/>
                      <w:szCs w:val="21"/>
                      <w:lang w:bidi="ar"/>
                    </w:rPr>
                    <w:t>mg/m</w:t>
                  </w:r>
                  <w:r>
                    <w:rPr>
                      <w:rFonts w:ascii="Times New Roman" w:hAnsi="Times New Roman" w:eastAsia="宋体"/>
                      <w:sz w:val="21"/>
                      <w:szCs w:val="21"/>
                      <w:vertAlign w:val="superscript"/>
                      <w:lang w:bidi="ar"/>
                    </w:rPr>
                    <w:t>3</w:t>
                  </w:r>
                </w:p>
              </w:tc>
              <w:tc>
                <w:tcPr>
                  <w:tcW w:w="801" w:type="dxa"/>
                  <w:tcBorders>
                    <w:top w:val="single" w:color="auto" w:sz="6" w:space="0"/>
                    <w:left w:val="single" w:color="auto" w:sz="6" w:space="0"/>
                    <w:bottom w:val="single" w:color="auto" w:sz="6" w:space="0"/>
                    <w:right w:val="single" w:color="auto" w:sz="6" w:space="0"/>
                  </w:tcBorders>
                  <w:shd w:val="clear" w:color="auto" w:fill="auto"/>
                  <w:vAlign w:val="center"/>
                </w:tcPr>
                <w:p w14:paraId="0C31E77A">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速率</w:t>
                  </w:r>
                  <w:r>
                    <w:rPr>
                      <w:rFonts w:ascii="Times New Roman" w:hAnsi="Times New Roman" w:eastAsia="宋体"/>
                      <w:sz w:val="21"/>
                      <w:szCs w:val="21"/>
                      <w:lang w:bidi="ar"/>
                    </w:rPr>
                    <w:t>kg/h</w:t>
                  </w:r>
                </w:p>
              </w:tc>
              <w:tc>
                <w:tcPr>
                  <w:tcW w:w="866" w:type="dxa"/>
                  <w:tcBorders>
                    <w:top w:val="single" w:color="auto" w:sz="6" w:space="0"/>
                    <w:left w:val="single" w:color="auto" w:sz="6" w:space="0"/>
                    <w:bottom w:val="single" w:color="auto" w:sz="6" w:space="0"/>
                    <w:right w:val="single" w:color="auto" w:sz="4" w:space="0"/>
                  </w:tcBorders>
                  <w:shd w:val="clear" w:color="auto" w:fill="auto"/>
                  <w:vAlign w:val="center"/>
                </w:tcPr>
                <w:p w14:paraId="7873BDBE">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排放量</w:t>
                  </w:r>
                  <w:r>
                    <w:rPr>
                      <w:rFonts w:ascii="Times New Roman" w:hAnsi="Times New Roman" w:eastAsia="宋体"/>
                      <w:sz w:val="21"/>
                      <w:szCs w:val="21"/>
                      <w:lang w:bidi="ar"/>
                    </w:rPr>
                    <w:t>t/a</w:t>
                  </w:r>
                </w:p>
              </w:tc>
            </w:tr>
            <w:tr w14:paraId="132958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9" w:hRule="atLeast"/>
                <w:jc w:val="center"/>
              </w:trPr>
              <w:tc>
                <w:tcPr>
                  <w:tcW w:w="747" w:type="dxa"/>
                  <w:tcBorders>
                    <w:top w:val="single" w:color="auto" w:sz="6" w:space="0"/>
                    <w:left w:val="single" w:color="auto" w:sz="4" w:space="0"/>
                    <w:bottom w:val="single" w:color="auto" w:sz="6" w:space="0"/>
                    <w:right w:val="single" w:color="auto" w:sz="6" w:space="0"/>
                  </w:tcBorders>
                  <w:shd w:val="clear" w:color="auto" w:fill="auto"/>
                  <w:vAlign w:val="center"/>
                </w:tcPr>
                <w:p w14:paraId="620B0995">
                  <w:pPr>
                    <w:pStyle w:val="33"/>
                    <w:widowControl w:val="0"/>
                    <w:tabs>
                      <w:tab w:val="left" w:pos="1260"/>
                    </w:tabs>
                    <w:autoSpaceDE w:val="0"/>
                    <w:autoSpaceDN w:val="0"/>
                    <w:adjustRightInd w:val="0"/>
                    <w:spacing w:line="240" w:lineRule="auto"/>
                    <w:rPr>
                      <w:rFonts w:ascii="Times New Roman" w:hAnsi="Times New Roman"/>
                      <w:b w:val="0"/>
                      <w:bCs/>
                      <w:sz w:val="21"/>
                      <w:szCs w:val="21"/>
                    </w:rPr>
                  </w:pPr>
                  <w:r>
                    <w:rPr>
                      <w:rFonts w:ascii="Times New Roman" w:hAnsi="Times New Roman" w:eastAsia="宋体"/>
                      <w:b w:val="0"/>
                      <w:bCs/>
                      <w:sz w:val="21"/>
                      <w:szCs w:val="21"/>
                      <w:lang w:bidi="ar"/>
                    </w:rPr>
                    <w:t>DA00</w:t>
                  </w:r>
                  <w:r>
                    <w:rPr>
                      <w:rFonts w:hint="eastAsia" w:ascii="Times New Roman" w:hAnsi="Times New Roman" w:eastAsia="宋体"/>
                      <w:b w:val="0"/>
                      <w:bCs/>
                      <w:sz w:val="21"/>
                      <w:szCs w:val="21"/>
                      <w:lang w:bidi="ar"/>
                    </w:rPr>
                    <w:t>1</w:t>
                  </w:r>
                </w:p>
              </w:tc>
              <w:tc>
                <w:tcPr>
                  <w:tcW w:w="1064" w:type="dxa"/>
                  <w:tcBorders>
                    <w:top w:val="single" w:color="auto" w:sz="6" w:space="0"/>
                    <w:left w:val="single" w:color="auto" w:sz="6" w:space="0"/>
                    <w:bottom w:val="single" w:color="auto" w:sz="6" w:space="0"/>
                    <w:right w:val="single" w:color="auto" w:sz="6" w:space="0"/>
                  </w:tcBorders>
                  <w:shd w:val="clear" w:color="auto" w:fill="auto"/>
                  <w:vAlign w:val="center"/>
                </w:tcPr>
                <w:p w14:paraId="2083CBA9">
                  <w:pPr>
                    <w:pStyle w:val="33"/>
                    <w:widowControl w:val="0"/>
                    <w:tabs>
                      <w:tab w:val="left" w:pos="1260"/>
                    </w:tabs>
                    <w:autoSpaceDE w:val="0"/>
                    <w:autoSpaceDN w:val="0"/>
                    <w:adjustRightInd w:val="0"/>
                    <w:spacing w:line="240" w:lineRule="auto"/>
                    <w:rPr>
                      <w:rFonts w:ascii="Times New Roman" w:hAnsi="Times New Roman"/>
                      <w:b w:val="0"/>
                      <w:bCs/>
                      <w:sz w:val="21"/>
                      <w:szCs w:val="21"/>
                    </w:rPr>
                  </w:pPr>
                  <w:r>
                    <w:rPr>
                      <w:rFonts w:hint="eastAsia" w:ascii="Times New Roman" w:hAnsi="Times New Roman" w:eastAsia="宋体"/>
                      <w:b w:val="0"/>
                      <w:bCs/>
                      <w:sz w:val="21"/>
                      <w:szCs w:val="21"/>
                      <w:lang w:bidi="ar"/>
                    </w:rPr>
                    <w:t>非甲烷总烃</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14:paraId="28D0A6FA">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lang w:val="en-US" w:eastAsia="zh-CN"/>
                    </w:rPr>
                  </w:pPr>
                  <w:r>
                    <w:rPr>
                      <w:rFonts w:hint="eastAsia" w:ascii="Times New Roman" w:hAnsi="Times New Roman"/>
                      <w:b w:val="0"/>
                      <w:bCs/>
                      <w:sz w:val="21"/>
                      <w:szCs w:val="21"/>
                      <w:u w:val="single"/>
                      <w:lang w:val="en-US" w:eastAsia="zh-CN"/>
                    </w:rPr>
                    <w:t>17.71</w:t>
                  </w:r>
                </w:p>
              </w:tc>
              <w:tc>
                <w:tcPr>
                  <w:tcW w:w="777" w:type="dxa"/>
                  <w:tcBorders>
                    <w:top w:val="single" w:color="auto" w:sz="6" w:space="0"/>
                    <w:left w:val="single" w:color="auto" w:sz="6" w:space="0"/>
                    <w:bottom w:val="single" w:color="auto" w:sz="6" w:space="0"/>
                    <w:right w:val="single" w:color="auto" w:sz="6" w:space="0"/>
                  </w:tcBorders>
                  <w:shd w:val="clear" w:color="auto" w:fill="auto"/>
                  <w:vAlign w:val="center"/>
                </w:tcPr>
                <w:p w14:paraId="7153367A">
                  <w:pPr>
                    <w:pStyle w:val="33"/>
                    <w:widowControl w:val="0"/>
                    <w:tabs>
                      <w:tab w:val="left" w:pos="1260"/>
                    </w:tabs>
                    <w:autoSpaceDE w:val="0"/>
                    <w:autoSpaceDN w:val="0"/>
                    <w:adjustRightInd w:val="0"/>
                    <w:spacing w:line="240" w:lineRule="auto"/>
                    <w:rPr>
                      <w:rFonts w:hint="eastAsia" w:ascii="Times New Roman" w:hAnsi="Times New Roman" w:eastAsiaTheme="minorEastAsia"/>
                      <w:b w:val="0"/>
                      <w:bCs/>
                      <w:sz w:val="21"/>
                      <w:szCs w:val="21"/>
                      <w:u w:val="single"/>
                      <w:lang w:eastAsia="zh-CN"/>
                    </w:rPr>
                  </w:pPr>
                  <w:r>
                    <w:rPr>
                      <w:rFonts w:hint="eastAsia" w:ascii="Times New Roman" w:hAnsi="Times New Roman"/>
                      <w:b w:val="0"/>
                      <w:bCs/>
                      <w:sz w:val="21"/>
                      <w:szCs w:val="21"/>
                      <w:u w:val="single"/>
                    </w:rPr>
                    <w:t>0.2</w:t>
                  </w:r>
                  <w:r>
                    <w:rPr>
                      <w:rFonts w:hint="eastAsia" w:ascii="Times New Roman" w:hAnsi="Times New Roman"/>
                      <w:b w:val="0"/>
                      <w:bCs/>
                      <w:sz w:val="21"/>
                      <w:szCs w:val="21"/>
                      <w:u w:val="single"/>
                      <w:lang w:val="en-US" w:eastAsia="zh-CN"/>
                    </w:rPr>
                    <w:t>3</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14:paraId="14FD0E02">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0.5</w:t>
                  </w:r>
                  <w:r>
                    <w:rPr>
                      <w:rFonts w:hint="eastAsia" w:ascii="Times New Roman" w:hAnsi="Times New Roman"/>
                      <w:b w:val="0"/>
                      <w:bCs/>
                      <w:sz w:val="21"/>
                      <w:szCs w:val="21"/>
                      <w:u w:val="single"/>
                      <w:lang w:val="en-US" w:eastAsia="zh-CN"/>
                    </w:rPr>
                    <w:t>525</w:t>
                  </w:r>
                </w:p>
              </w:tc>
              <w:tc>
                <w:tcPr>
                  <w:tcW w:w="1345" w:type="dxa"/>
                  <w:tcBorders>
                    <w:top w:val="single" w:color="auto" w:sz="6" w:space="0"/>
                    <w:left w:val="single" w:color="auto" w:sz="6" w:space="0"/>
                    <w:bottom w:val="single" w:color="auto" w:sz="6" w:space="0"/>
                    <w:right w:val="single" w:color="auto" w:sz="6" w:space="0"/>
                  </w:tcBorders>
                  <w:shd w:val="clear" w:color="auto" w:fill="auto"/>
                  <w:vAlign w:val="center"/>
                </w:tcPr>
                <w:p w14:paraId="58F72699">
                  <w:pPr>
                    <w:pStyle w:val="33"/>
                    <w:widowControl w:val="0"/>
                    <w:tabs>
                      <w:tab w:val="left" w:pos="1260"/>
                    </w:tabs>
                    <w:autoSpaceDE w:val="0"/>
                    <w:autoSpaceDN w:val="0"/>
                    <w:adjustRightInd w:val="0"/>
                    <w:spacing w:line="240" w:lineRule="auto"/>
                    <w:rPr>
                      <w:rFonts w:ascii="Times New Roman" w:hAnsi="Times New Roman"/>
                      <w:b w:val="0"/>
                      <w:bCs/>
                      <w:sz w:val="21"/>
                      <w:szCs w:val="21"/>
                    </w:rPr>
                  </w:pPr>
                  <w:r>
                    <w:rPr>
                      <w:rFonts w:hint="eastAsia" w:ascii="Times New Roman" w:hAnsi="Times New Roman"/>
                      <w:b w:val="0"/>
                      <w:bCs/>
                      <w:sz w:val="21"/>
                      <w:szCs w:val="21"/>
                    </w:rPr>
                    <w:t>活性炭吸附</w:t>
                  </w:r>
                </w:p>
                <w:p w14:paraId="245C6BA8">
                  <w:pPr>
                    <w:pStyle w:val="33"/>
                    <w:widowControl w:val="0"/>
                    <w:tabs>
                      <w:tab w:val="left" w:pos="1260"/>
                    </w:tabs>
                    <w:autoSpaceDE w:val="0"/>
                    <w:autoSpaceDN w:val="0"/>
                    <w:adjustRightInd w:val="0"/>
                    <w:spacing w:line="240" w:lineRule="auto"/>
                    <w:rPr>
                      <w:rFonts w:ascii="Times New Roman" w:hAnsi="Times New Roman"/>
                      <w:b w:val="0"/>
                      <w:bCs/>
                      <w:sz w:val="21"/>
                      <w:szCs w:val="21"/>
                    </w:rPr>
                  </w:pPr>
                  <w:r>
                    <w:rPr>
                      <w:rFonts w:hint="eastAsia" w:ascii="Times New Roman" w:hAnsi="Times New Roman"/>
                      <w:b w:val="0"/>
                      <w:bCs/>
                      <w:sz w:val="21"/>
                      <w:szCs w:val="21"/>
                    </w:rPr>
                    <w:t>（</w:t>
                  </w:r>
                  <w:r>
                    <w:rPr>
                      <w:rFonts w:hint="eastAsia" w:ascii="Times New Roman" w:hAnsi="Times New Roman"/>
                      <w:b w:val="0"/>
                      <w:bCs/>
                      <w:sz w:val="21"/>
                      <w:szCs w:val="21"/>
                      <w:lang w:val="en-US" w:eastAsia="zh-CN"/>
                    </w:rPr>
                    <w:t>13</w:t>
                  </w:r>
                  <w:r>
                    <w:rPr>
                      <w:rFonts w:hint="eastAsia" w:ascii="Times New Roman" w:hAnsi="Times New Roman"/>
                      <w:b w:val="0"/>
                      <w:bCs/>
                      <w:sz w:val="21"/>
                      <w:szCs w:val="21"/>
                    </w:rPr>
                    <w:t>000</w:t>
                  </w:r>
                  <w:r>
                    <w:rPr>
                      <w:rFonts w:ascii="Times New Roman" w:hAnsi="Times New Roman"/>
                      <w:b w:val="0"/>
                      <w:bCs/>
                      <w:sz w:val="21"/>
                      <w:szCs w:val="21"/>
                    </w:rPr>
                    <w:t>m</w:t>
                  </w:r>
                  <w:r>
                    <w:rPr>
                      <w:rFonts w:ascii="Times New Roman" w:hAnsi="Times New Roman"/>
                      <w:b w:val="0"/>
                      <w:bCs/>
                      <w:sz w:val="21"/>
                      <w:szCs w:val="21"/>
                      <w:vertAlign w:val="superscript"/>
                    </w:rPr>
                    <w:t>3</w:t>
                  </w:r>
                  <w:r>
                    <w:rPr>
                      <w:rFonts w:ascii="Times New Roman" w:hAnsi="Times New Roman"/>
                      <w:b w:val="0"/>
                      <w:bCs/>
                      <w:sz w:val="21"/>
                      <w:szCs w:val="21"/>
                    </w:rPr>
                    <w:t>/h</w:t>
                  </w:r>
                  <w:r>
                    <w:rPr>
                      <w:rFonts w:hint="eastAsia" w:ascii="Times New Roman" w:hAnsi="Times New Roman"/>
                      <w:b w:val="0"/>
                      <w:bCs/>
                      <w:sz w:val="21"/>
                      <w:szCs w:val="21"/>
                    </w:rPr>
                    <w:t>）</w:t>
                  </w:r>
                </w:p>
              </w:tc>
              <w:tc>
                <w:tcPr>
                  <w:tcW w:w="825" w:type="dxa"/>
                  <w:tcBorders>
                    <w:top w:val="single" w:color="auto" w:sz="6" w:space="0"/>
                    <w:left w:val="single" w:color="auto" w:sz="6" w:space="0"/>
                    <w:bottom w:val="single" w:color="auto" w:sz="6" w:space="0"/>
                    <w:right w:val="single" w:color="auto" w:sz="6" w:space="0"/>
                  </w:tcBorders>
                  <w:shd w:val="clear" w:color="auto" w:fill="auto"/>
                  <w:vAlign w:val="center"/>
                </w:tcPr>
                <w:p w14:paraId="30025525">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lang w:val="en-US" w:eastAsia="zh-CN"/>
                    </w:rPr>
                  </w:pPr>
                  <w:r>
                    <w:rPr>
                      <w:rFonts w:hint="eastAsia" w:ascii="Times New Roman" w:hAnsi="Times New Roman"/>
                      <w:b w:val="0"/>
                      <w:bCs/>
                      <w:sz w:val="21"/>
                      <w:szCs w:val="21"/>
                      <w:u w:val="single"/>
                      <w:lang w:val="en-US" w:eastAsia="zh-CN"/>
                    </w:rPr>
                    <w:t>1.77</w:t>
                  </w:r>
                </w:p>
              </w:tc>
              <w:tc>
                <w:tcPr>
                  <w:tcW w:w="801" w:type="dxa"/>
                  <w:tcBorders>
                    <w:top w:val="single" w:color="auto" w:sz="6" w:space="0"/>
                    <w:left w:val="single" w:color="auto" w:sz="6" w:space="0"/>
                    <w:bottom w:val="single" w:color="auto" w:sz="6" w:space="0"/>
                    <w:right w:val="single" w:color="auto" w:sz="6" w:space="0"/>
                  </w:tcBorders>
                  <w:shd w:val="clear" w:color="auto" w:fill="auto"/>
                  <w:vAlign w:val="center"/>
                </w:tcPr>
                <w:p w14:paraId="368D9777">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0.0</w:t>
                  </w:r>
                  <w:r>
                    <w:rPr>
                      <w:rFonts w:hint="eastAsia" w:ascii="Times New Roman" w:hAnsi="Times New Roman"/>
                      <w:b w:val="0"/>
                      <w:bCs/>
                      <w:sz w:val="21"/>
                      <w:szCs w:val="21"/>
                      <w:u w:val="single"/>
                      <w:lang w:val="en-US" w:eastAsia="zh-CN"/>
                    </w:rPr>
                    <w:t>23</w:t>
                  </w:r>
                </w:p>
              </w:tc>
              <w:tc>
                <w:tcPr>
                  <w:tcW w:w="866" w:type="dxa"/>
                  <w:tcBorders>
                    <w:top w:val="single" w:color="auto" w:sz="6" w:space="0"/>
                    <w:left w:val="single" w:color="auto" w:sz="6" w:space="0"/>
                    <w:bottom w:val="single" w:color="auto" w:sz="6" w:space="0"/>
                    <w:right w:val="single" w:color="auto" w:sz="4" w:space="0"/>
                  </w:tcBorders>
                  <w:shd w:val="clear" w:color="auto" w:fill="auto"/>
                  <w:vAlign w:val="center"/>
                </w:tcPr>
                <w:p w14:paraId="66CC9982">
                  <w:pPr>
                    <w:pStyle w:val="33"/>
                    <w:widowControl w:val="0"/>
                    <w:tabs>
                      <w:tab w:val="left" w:pos="1260"/>
                    </w:tabs>
                    <w:autoSpaceDE w:val="0"/>
                    <w:autoSpaceDN w:val="0"/>
                    <w:adjustRightInd w:val="0"/>
                    <w:spacing w:line="240" w:lineRule="auto"/>
                    <w:rPr>
                      <w:rFonts w:ascii="Times New Roman" w:hAnsi="Times New Roman"/>
                      <w:b w:val="0"/>
                      <w:bCs/>
                      <w:sz w:val="21"/>
                      <w:szCs w:val="21"/>
                      <w:u w:val="single"/>
                    </w:rPr>
                  </w:pPr>
                  <w:r>
                    <w:rPr>
                      <w:rFonts w:hint="eastAsia" w:ascii="Times New Roman" w:hAnsi="Times New Roman"/>
                      <w:b w:val="0"/>
                      <w:bCs/>
                      <w:sz w:val="21"/>
                      <w:szCs w:val="21"/>
                      <w:u w:val="single"/>
                    </w:rPr>
                    <w:t>0.05</w:t>
                  </w:r>
                  <w:r>
                    <w:rPr>
                      <w:rFonts w:hint="eastAsia" w:ascii="Times New Roman" w:hAnsi="Times New Roman"/>
                      <w:b w:val="0"/>
                      <w:bCs/>
                      <w:sz w:val="21"/>
                      <w:szCs w:val="21"/>
                      <w:u w:val="single"/>
                      <w:lang w:val="en-US" w:eastAsia="zh-CN"/>
                    </w:rPr>
                    <w:t>53</w:t>
                  </w:r>
                </w:p>
              </w:tc>
            </w:tr>
            <w:tr w14:paraId="3160E7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47" w:type="dxa"/>
                  <w:tcBorders>
                    <w:top w:val="single" w:color="auto" w:sz="6" w:space="0"/>
                    <w:left w:val="single" w:color="auto" w:sz="4" w:space="0"/>
                    <w:bottom w:val="single" w:color="auto" w:sz="4" w:space="0"/>
                    <w:right w:val="single" w:color="auto" w:sz="6" w:space="0"/>
                  </w:tcBorders>
                  <w:shd w:val="clear" w:color="auto" w:fill="auto"/>
                  <w:vAlign w:val="center"/>
                </w:tcPr>
                <w:p w14:paraId="68143AD4">
                  <w:pPr>
                    <w:pStyle w:val="33"/>
                    <w:widowControl w:val="0"/>
                    <w:tabs>
                      <w:tab w:val="left" w:pos="1260"/>
                    </w:tabs>
                    <w:autoSpaceDE w:val="0"/>
                    <w:autoSpaceDN w:val="0"/>
                    <w:adjustRightInd w:val="0"/>
                    <w:spacing w:line="240" w:lineRule="auto"/>
                    <w:rPr>
                      <w:rFonts w:ascii="Times New Roman" w:hAnsi="Times New Roman"/>
                      <w:b w:val="0"/>
                      <w:bCs/>
                      <w:sz w:val="21"/>
                      <w:szCs w:val="21"/>
                      <w:u w:val="single"/>
                    </w:rPr>
                  </w:pPr>
                  <w:r>
                    <w:rPr>
                      <w:rFonts w:hint="eastAsia" w:ascii="Times New Roman" w:hAnsi="Times New Roman" w:eastAsia="宋体"/>
                      <w:b w:val="0"/>
                      <w:bCs/>
                      <w:sz w:val="21"/>
                      <w:szCs w:val="21"/>
                      <w:u w:val="single"/>
                      <w:lang w:bidi="ar"/>
                    </w:rPr>
                    <w:t>无组织</w:t>
                  </w:r>
                </w:p>
              </w:tc>
              <w:tc>
                <w:tcPr>
                  <w:tcW w:w="1064" w:type="dxa"/>
                  <w:tcBorders>
                    <w:top w:val="single" w:color="auto" w:sz="6" w:space="0"/>
                    <w:left w:val="single" w:color="auto" w:sz="6" w:space="0"/>
                    <w:bottom w:val="single" w:color="auto" w:sz="6" w:space="0"/>
                    <w:right w:val="single" w:color="auto" w:sz="6" w:space="0"/>
                  </w:tcBorders>
                  <w:shd w:val="clear" w:color="auto" w:fill="auto"/>
                  <w:vAlign w:val="center"/>
                </w:tcPr>
                <w:p w14:paraId="0EA2287A">
                  <w:pPr>
                    <w:pStyle w:val="33"/>
                    <w:widowControl w:val="0"/>
                    <w:tabs>
                      <w:tab w:val="left" w:pos="1260"/>
                    </w:tabs>
                    <w:autoSpaceDE w:val="0"/>
                    <w:autoSpaceDN w:val="0"/>
                    <w:adjustRightInd w:val="0"/>
                    <w:spacing w:line="240" w:lineRule="auto"/>
                    <w:rPr>
                      <w:rFonts w:ascii="Times New Roman" w:hAnsi="Times New Roman"/>
                      <w:b w:val="0"/>
                      <w:bCs/>
                      <w:sz w:val="21"/>
                      <w:szCs w:val="21"/>
                      <w:u w:val="single"/>
                    </w:rPr>
                  </w:pPr>
                  <w:r>
                    <w:rPr>
                      <w:rFonts w:hint="eastAsia" w:ascii="Times New Roman" w:hAnsi="Times New Roman" w:eastAsia="宋体"/>
                      <w:b w:val="0"/>
                      <w:bCs/>
                      <w:sz w:val="21"/>
                      <w:szCs w:val="21"/>
                      <w:u w:val="single"/>
                      <w:lang w:bidi="ar"/>
                    </w:rPr>
                    <w:t>非甲烷总烃</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14:paraId="57284847">
                  <w:pPr>
                    <w:pStyle w:val="33"/>
                    <w:widowControl w:val="0"/>
                    <w:tabs>
                      <w:tab w:val="left" w:pos="1260"/>
                    </w:tabs>
                    <w:autoSpaceDE w:val="0"/>
                    <w:autoSpaceDN w:val="0"/>
                    <w:adjustRightInd w:val="0"/>
                    <w:spacing w:line="240" w:lineRule="auto"/>
                    <w:rPr>
                      <w:rFonts w:ascii="Times New Roman" w:hAnsi="Times New Roman"/>
                      <w:b w:val="0"/>
                      <w:bCs/>
                      <w:sz w:val="21"/>
                      <w:szCs w:val="21"/>
                      <w:u w:val="single"/>
                    </w:rPr>
                  </w:pPr>
                  <w:r>
                    <w:rPr>
                      <w:rFonts w:ascii="Times New Roman" w:hAnsi="Times New Roman" w:eastAsia="宋体"/>
                      <w:b w:val="0"/>
                      <w:bCs/>
                      <w:sz w:val="21"/>
                      <w:szCs w:val="21"/>
                      <w:u w:val="single"/>
                      <w:lang w:bidi="ar"/>
                    </w:rPr>
                    <w:t>/</w:t>
                  </w:r>
                </w:p>
              </w:tc>
              <w:tc>
                <w:tcPr>
                  <w:tcW w:w="777" w:type="dxa"/>
                  <w:tcBorders>
                    <w:top w:val="single" w:color="auto" w:sz="6" w:space="0"/>
                    <w:left w:val="single" w:color="auto" w:sz="6" w:space="0"/>
                    <w:bottom w:val="single" w:color="auto" w:sz="6" w:space="0"/>
                    <w:right w:val="single" w:color="auto" w:sz="6" w:space="0"/>
                  </w:tcBorders>
                  <w:shd w:val="clear" w:color="auto" w:fill="auto"/>
                  <w:vAlign w:val="center"/>
                </w:tcPr>
                <w:p w14:paraId="68CD3069">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0.0</w:t>
                  </w:r>
                  <w:r>
                    <w:rPr>
                      <w:rFonts w:hint="eastAsia" w:ascii="Times New Roman" w:hAnsi="Times New Roman"/>
                      <w:b w:val="0"/>
                      <w:bCs/>
                      <w:sz w:val="21"/>
                      <w:szCs w:val="21"/>
                      <w:u w:val="single"/>
                      <w:lang w:val="en-US" w:eastAsia="zh-CN"/>
                    </w:rPr>
                    <w:t>406</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14:paraId="3A2AE5FE">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0.0</w:t>
                  </w:r>
                  <w:r>
                    <w:rPr>
                      <w:rFonts w:hint="eastAsia" w:ascii="Times New Roman" w:hAnsi="Times New Roman"/>
                      <w:b w:val="0"/>
                      <w:bCs/>
                      <w:sz w:val="21"/>
                      <w:szCs w:val="21"/>
                      <w:u w:val="single"/>
                      <w:lang w:val="en-US" w:eastAsia="zh-CN"/>
                    </w:rPr>
                    <w:t>975</w:t>
                  </w:r>
                </w:p>
              </w:tc>
              <w:tc>
                <w:tcPr>
                  <w:tcW w:w="1345" w:type="dxa"/>
                  <w:tcBorders>
                    <w:top w:val="single" w:color="auto" w:sz="6" w:space="0"/>
                    <w:left w:val="single" w:color="auto" w:sz="6" w:space="0"/>
                    <w:bottom w:val="single" w:color="auto" w:sz="4" w:space="0"/>
                    <w:right w:val="single" w:color="auto" w:sz="6" w:space="0"/>
                  </w:tcBorders>
                  <w:shd w:val="clear" w:color="auto" w:fill="auto"/>
                  <w:vAlign w:val="center"/>
                </w:tcPr>
                <w:p w14:paraId="0544B6D8">
                  <w:pPr>
                    <w:pStyle w:val="33"/>
                    <w:widowControl w:val="0"/>
                    <w:tabs>
                      <w:tab w:val="left" w:pos="1260"/>
                    </w:tabs>
                    <w:autoSpaceDE w:val="0"/>
                    <w:autoSpaceDN w:val="0"/>
                    <w:adjustRightInd w:val="0"/>
                    <w:spacing w:line="240" w:lineRule="auto"/>
                    <w:rPr>
                      <w:rFonts w:ascii="Times New Roman" w:hAnsi="Times New Roman"/>
                      <w:b w:val="0"/>
                      <w:bCs/>
                      <w:sz w:val="21"/>
                      <w:szCs w:val="21"/>
                      <w:u w:val="single"/>
                    </w:rPr>
                  </w:pPr>
                  <w:r>
                    <w:rPr>
                      <w:rFonts w:hint="eastAsia" w:ascii="Times New Roman" w:hAnsi="Times New Roman" w:eastAsia="宋体"/>
                      <w:b w:val="0"/>
                      <w:bCs/>
                      <w:sz w:val="21"/>
                      <w:szCs w:val="21"/>
                      <w:u w:val="none"/>
                      <w:lang w:bidi="ar"/>
                    </w:rPr>
                    <w:t>车间密闭</w:t>
                  </w:r>
                </w:p>
              </w:tc>
              <w:tc>
                <w:tcPr>
                  <w:tcW w:w="825" w:type="dxa"/>
                  <w:tcBorders>
                    <w:top w:val="single" w:color="auto" w:sz="6" w:space="0"/>
                    <w:left w:val="single" w:color="auto" w:sz="6" w:space="0"/>
                    <w:bottom w:val="single" w:color="auto" w:sz="6" w:space="0"/>
                    <w:right w:val="single" w:color="auto" w:sz="6" w:space="0"/>
                  </w:tcBorders>
                  <w:shd w:val="clear" w:color="auto" w:fill="auto"/>
                  <w:vAlign w:val="center"/>
                </w:tcPr>
                <w:p w14:paraId="7DECE48C">
                  <w:pPr>
                    <w:pStyle w:val="33"/>
                    <w:widowControl w:val="0"/>
                    <w:tabs>
                      <w:tab w:val="left" w:pos="1260"/>
                    </w:tabs>
                    <w:autoSpaceDE w:val="0"/>
                    <w:autoSpaceDN w:val="0"/>
                    <w:adjustRightInd w:val="0"/>
                    <w:spacing w:line="240" w:lineRule="auto"/>
                    <w:rPr>
                      <w:rFonts w:ascii="Times New Roman" w:hAnsi="Times New Roman"/>
                      <w:b w:val="0"/>
                      <w:bCs/>
                      <w:sz w:val="21"/>
                      <w:szCs w:val="21"/>
                      <w:u w:val="single"/>
                    </w:rPr>
                  </w:pPr>
                  <w:r>
                    <w:rPr>
                      <w:rFonts w:ascii="Times New Roman" w:hAnsi="Times New Roman" w:eastAsia="宋体"/>
                      <w:b w:val="0"/>
                      <w:bCs/>
                      <w:sz w:val="21"/>
                      <w:szCs w:val="21"/>
                      <w:u w:val="single"/>
                      <w:lang w:bidi="ar"/>
                    </w:rPr>
                    <w:t>/</w:t>
                  </w:r>
                </w:p>
              </w:tc>
              <w:tc>
                <w:tcPr>
                  <w:tcW w:w="801" w:type="dxa"/>
                  <w:tcBorders>
                    <w:top w:val="single" w:color="auto" w:sz="6" w:space="0"/>
                    <w:left w:val="single" w:color="auto" w:sz="6" w:space="0"/>
                    <w:bottom w:val="single" w:color="auto" w:sz="6" w:space="0"/>
                    <w:right w:val="single" w:color="auto" w:sz="6" w:space="0"/>
                  </w:tcBorders>
                  <w:shd w:val="clear" w:color="auto" w:fill="auto"/>
                  <w:vAlign w:val="center"/>
                </w:tcPr>
                <w:p w14:paraId="1E43ECD6">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0.0</w:t>
                  </w:r>
                  <w:r>
                    <w:rPr>
                      <w:rFonts w:hint="eastAsia" w:ascii="Times New Roman" w:hAnsi="Times New Roman"/>
                      <w:b w:val="0"/>
                      <w:bCs/>
                      <w:sz w:val="21"/>
                      <w:szCs w:val="21"/>
                      <w:u w:val="single"/>
                      <w:lang w:val="en-US" w:eastAsia="zh-CN"/>
                    </w:rPr>
                    <w:t>406</w:t>
                  </w:r>
                </w:p>
              </w:tc>
              <w:tc>
                <w:tcPr>
                  <w:tcW w:w="866" w:type="dxa"/>
                  <w:tcBorders>
                    <w:top w:val="single" w:color="auto" w:sz="6" w:space="0"/>
                    <w:left w:val="single" w:color="auto" w:sz="6" w:space="0"/>
                    <w:bottom w:val="single" w:color="auto" w:sz="6" w:space="0"/>
                    <w:right w:val="single" w:color="auto" w:sz="4" w:space="0"/>
                  </w:tcBorders>
                  <w:shd w:val="clear" w:color="auto" w:fill="auto"/>
                  <w:vAlign w:val="center"/>
                </w:tcPr>
                <w:p w14:paraId="45A6A9E0">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0.0</w:t>
                  </w:r>
                  <w:r>
                    <w:rPr>
                      <w:rFonts w:hint="eastAsia" w:ascii="Times New Roman" w:hAnsi="Times New Roman"/>
                      <w:b w:val="0"/>
                      <w:bCs/>
                      <w:sz w:val="21"/>
                      <w:szCs w:val="21"/>
                      <w:u w:val="single"/>
                      <w:lang w:val="en-US" w:eastAsia="zh-CN"/>
                    </w:rPr>
                    <w:t>975</w:t>
                  </w:r>
                </w:p>
              </w:tc>
            </w:tr>
          </w:tbl>
          <w:p w14:paraId="7458D815">
            <w:pPr>
              <w:spacing w:line="360" w:lineRule="auto"/>
              <w:ind w:firstLine="470" w:firstLineChars="196"/>
              <w:rPr>
                <w:rFonts w:hint="default" w:eastAsia="宋体"/>
                <w:sz w:val="24"/>
                <w:lang w:val="en-US" w:eastAsia="zh-CN"/>
              </w:rPr>
            </w:pPr>
            <w:r>
              <w:rPr>
                <w:rFonts w:hint="eastAsia" w:ascii="宋体" w:hAnsi="宋体" w:cs="宋体"/>
                <w:sz w:val="24"/>
              </w:rPr>
              <w:t>①</w:t>
            </w:r>
            <w:r>
              <w:rPr>
                <w:sz w:val="24"/>
              </w:rPr>
              <w:t>第二种情况：</w:t>
            </w:r>
            <w:r>
              <w:rPr>
                <w:rFonts w:hint="eastAsia"/>
                <w:sz w:val="24"/>
              </w:rPr>
              <w:t>活性炭吸附-脱附+催化燃烧后排放情况</w:t>
            </w:r>
          </w:p>
          <w:p w14:paraId="6EDB3494">
            <w:pPr>
              <w:spacing w:line="360" w:lineRule="auto"/>
              <w:ind w:firstLine="470" w:firstLineChars="196"/>
              <w:rPr>
                <w:sz w:val="24"/>
                <w:u w:val="single"/>
              </w:rPr>
            </w:pPr>
            <w:r>
              <w:rPr>
                <w:rFonts w:hint="eastAsia"/>
                <w:sz w:val="24"/>
                <w:lang w:val="en-US" w:eastAsia="zh-CN"/>
              </w:rPr>
              <w:t>启动活性炭脱附+催化燃烧装置，</w:t>
            </w:r>
            <w:r>
              <w:rPr>
                <w:rFonts w:hint="eastAsia"/>
                <w:sz w:val="24"/>
              </w:rPr>
              <w:t>脱附产出的废气污染物经催化燃烧处理后与经活性炭吸附处理后的废气一同排放。</w:t>
            </w:r>
            <w:r>
              <w:rPr>
                <w:rFonts w:hint="eastAsia"/>
                <w:sz w:val="24"/>
                <w:u w:val="single"/>
              </w:rPr>
              <w:t>经核算，活性炭吸附的非甲烷总烃的量为0.</w:t>
            </w:r>
            <w:r>
              <w:rPr>
                <w:rFonts w:hint="eastAsia"/>
                <w:sz w:val="24"/>
                <w:u w:val="single"/>
                <w:lang w:val="en-US" w:eastAsia="zh-CN"/>
              </w:rPr>
              <w:t>4972</w:t>
            </w:r>
            <w:r>
              <w:rPr>
                <w:rFonts w:hint="eastAsia"/>
                <w:sz w:val="24"/>
                <w:u w:val="single"/>
              </w:rPr>
              <w:t>t/a。项目脱附风机设计风量2000</w:t>
            </w:r>
            <w:r>
              <w:rPr>
                <w:sz w:val="24"/>
                <w:u w:val="single"/>
              </w:rPr>
              <w:t>m</w:t>
            </w:r>
            <w:r>
              <w:rPr>
                <w:sz w:val="24"/>
                <w:u w:val="single"/>
                <w:vertAlign w:val="superscript"/>
              </w:rPr>
              <w:t>3</w:t>
            </w:r>
            <w:r>
              <w:rPr>
                <w:sz w:val="24"/>
                <w:u w:val="single"/>
              </w:rPr>
              <w:t>/h</w:t>
            </w:r>
            <w:r>
              <w:rPr>
                <w:rFonts w:hint="eastAsia"/>
                <w:sz w:val="24"/>
                <w:u w:val="single"/>
              </w:rPr>
              <w:t>，根据《催化燃烧法工业有机废气治理工程技术规范》（</w:t>
            </w:r>
            <w:r>
              <w:rPr>
                <w:sz w:val="24"/>
                <w:u w:val="single"/>
              </w:rPr>
              <w:t>HJ 2027-2013</w:t>
            </w:r>
            <w:r>
              <w:rPr>
                <w:rFonts w:hint="eastAsia"/>
                <w:sz w:val="24"/>
                <w:u w:val="single"/>
              </w:rPr>
              <w:t>）中工艺设计规定，催化燃烧装置的净化效率不低于</w:t>
            </w:r>
            <w:r>
              <w:rPr>
                <w:sz w:val="24"/>
                <w:u w:val="single"/>
              </w:rPr>
              <w:t>97%</w:t>
            </w:r>
            <w:r>
              <w:rPr>
                <w:rFonts w:hint="eastAsia"/>
                <w:sz w:val="24"/>
                <w:u w:val="single"/>
              </w:rPr>
              <w:t>，本项目催化燃烧装置处理效率以97%计，则脱附燃烧后非甲烷总烃排放量为0.01</w:t>
            </w:r>
            <w:r>
              <w:rPr>
                <w:rFonts w:hint="eastAsia"/>
                <w:sz w:val="24"/>
                <w:u w:val="single"/>
                <w:lang w:val="en-US" w:eastAsia="zh-CN"/>
              </w:rPr>
              <w:t>49</w:t>
            </w:r>
            <w:r>
              <w:rPr>
                <w:rFonts w:hint="eastAsia"/>
                <w:sz w:val="24"/>
                <w:u w:val="single"/>
              </w:rPr>
              <w:t>t/a，脱附</w:t>
            </w:r>
            <w:r>
              <w:rPr>
                <w:rFonts w:hint="eastAsia"/>
                <w:sz w:val="24"/>
                <w:u w:val="single"/>
                <w:lang w:val="en-US" w:eastAsia="zh-CN"/>
              </w:rPr>
              <w:t>燃烧</w:t>
            </w:r>
            <w:r>
              <w:rPr>
                <w:rFonts w:hint="eastAsia"/>
                <w:sz w:val="24"/>
                <w:u w:val="single"/>
              </w:rPr>
              <w:t>运行时间240h/a，则脱附燃烧后非甲烷总烃排放速率为0.06</w:t>
            </w:r>
            <w:r>
              <w:rPr>
                <w:rFonts w:hint="eastAsia"/>
                <w:sz w:val="24"/>
                <w:u w:val="single"/>
                <w:lang w:val="en-US" w:eastAsia="zh-CN"/>
              </w:rPr>
              <w:t>21</w:t>
            </w:r>
            <w:r>
              <w:rPr>
                <w:rFonts w:hint="eastAsia"/>
                <w:sz w:val="24"/>
                <w:u w:val="single"/>
              </w:rPr>
              <w:t>kg/h</w:t>
            </w:r>
            <w:r>
              <w:rPr>
                <w:rFonts w:hint="eastAsia"/>
                <w:sz w:val="24"/>
                <w:u w:val="single"/>
                <w:lang w:eastAsia="zh-CN"/>
              </w:rPr>
              <w:t>。</w:t>
            </w:r>
            <w:r>
              <w:rPr>
                <w:rFonts w:hint="eastAsia"/>
                <w:sz w:val="24"/>
                <w:u w:val="single"/>
                <w:lang w:val="en-US" w:eastAsia="zh-CN"/>
              </w:rPr>
              <w:t>叠加</w:t>
            </w:r>
            <w:r>
              <w:rPr>
                <w:rFonts w:hint="eastAsia"/>
                <w:sz w:val="24"/>
                <w:u w:val="single"/>
              </w:rPr>
              <w:t>经活性炭吸附处理后非甲烷总烃排放速率为0.02</w:t>
            </w:r>
            <w:r>
              <w:rPr>
                <w:rFonts w:hint="eastAsia"/>
                <w:sz w:val="24"/>
                <w:u w:val="single"/>
                <w:lang w:val="en-US" w:eastAsia="zh-CN"/>
              </w:rPr>
              <w:t>3</w:t>
            </w:r>
            <w:r>
              <w:rPr>
                <w:rFonts w:hint="eastAsia"/>
                <w:sz w:val="24"/>
                <w:u w:val="single"/>
              </w:rPr>
              <w:t>kg/h</w:t>
            </w:r>
            <w:r>
              <w:rPr>
                <w:rFonts w:hint="eastAsia"/>
                <w:sz w:val="24"/>
                <w:u w:val="single"/>
                <w:lang w:eastAsia="zh-CN"/>
              </w:rPr>
              <w:t>，</w:t>
            </w:r>
            <w:r>
              <w:rPr>
                <w:rFonts w:hint="eastAsia"/>
                <w:sz w:val="24"/>
                <w:u w:val="single"/>
                <w:lang w:val="en-US" w:eastAsia="zh-CN"/>
              </w:rPr>
              <w:t>经核算，废气经</w:t>
            </w:r>
            <w:r>
              <w:rPr>
                <w:rFonts w:hint="eastAsia"/>
                <w:sz w:val="24"/>
                <w:u w:val="single"/>
              </w:rPr>
              <w:t>活性炭吸附</w:t>
            </w:r>
            <w:r>
              <w:rPr>
                <w:rFonts w:hint="eastAsia"/>
                <w:sz w:val="24"/>
                <w:u w:val="single"/>
                <w:lang w:val="en-US" w:eastAsia="zh-CN"/>
              </w:rPr>
              <w:t>-</w:t>
            </w:r>
            <w:r>
              <w:rPr>
                <w:rFonts w:hint="eastAsia"/>
                <w:sz w:val="24"/>
                <w:u w:val="single"/>
              </w:rPr>
              <w:t>脱附</w:t>
            </w:r>
            <w:r>
              <w:rPr>
                <w:rFonts w:hint="eastAsia"/>
                <w:sz w:val="24"/>
                <w:u w:val="single"/>
                <w:lang w:val="en-US" w:eastAsia="zh-CN"/>
              </w:rPr>
              <w:t>+催化</w:t>
            </w:r>
            <w:r>
              <w:rPr>
                <w:rFonts w:hint="eastAsia"/>
                <w:sz w:val="24"/>
                <w:u w:val="single"/>
              </w:rPr>
              <w:t>燃烧</w:t>
            </w:r>
            <w:r>
              <w:rPr>
                <w:rFonts w:hint="eastAsia"/>
                <w:sz w:val="24"/>
                <w:u w:val="single"/>
                <w:lang w:val="en-US" w:eastAsia="zh-CN"/>
              </w:rPr>
              <w:t>处理后</w:t>
            </w:r>
            <w:r>
              <w:rPr>
                <w:rFonts w:hint="eastAsia"/>
                <w:sz w:val="24"/>
                <w:u w:val="single"/>
              </w:rPr>
              <w:t>非甲烷总烃最大排放速率为0.0</w:t>
            </w:r>
            <w:r>
              <w:rPr>
                <w:rFonts w:hint="eastAsia"/>
                <w:sz w:val="24"/>
                <w:u w:val="single"/>
                <w:lang w:val="en-US" w:eastAsia="zh-CN"/>
              </w:rPr>
              <w:t>851</w:t>
            </w:r>
            <w:r>
              <w:rPr>
                <w:rFonts w:hint="eastAsia"/>
                <w:sz w:val="24"/>
                <w:u w:val="single"/>
              </w:rPr>
              <w:t>kg/h，脱附风机与主风机合并处理风量为1</w:t>
            </w:r>
            <w:r>
              <w:rPr>
                <w:rFonts w:hint="eastAsia"/>
                <w:sz w:val="24"/>
                <w:u w:val="single"/>
                <w:lang w:val="en-US" w:eastAsia="zh-CN"/>
              </w:rPr>
              <w:t>5</w:t>
            </w:r>
            <w:r>
              <w:rPr>
                <w:rFonts w:hint="eastAsia"/>
                <w:sz w:val="24"/>
                <w:u w:val="single"/>
              </w:rPr>
              <w:t>000m</w:t>
            </w:r>
            <w:r>
              <w:rPr>
                <w:rFonts w:hint="eastAsia"/>
                <w:sz w:val="24"/>
                <w:u w:val="single"/>
                <w:vertAlign w:val="superscript"/>
              </w:rPr>
              <w:t>3</w:t>
            </w:r>
            <w:r>
              <w:rPr>
                <w:rFonts w:hint="eastAsia"/>
                <w:sz w:val="24"/>
                <w:u w:val="single"/>
              </w:rPr>
              <w:t>/h，则非甲烷总烃最大排放浓度为</w:t>
            </w:r>
            <w:r>
              <w:rPr>
                <w:rFonts w:hint="eastAsia"/>
                <w:sz w:val="24"/>
                <w:u w:val="single"/>
                <w:lang w:val="en-US" w:eastAsia="zh-CN"/>
              </w:rPr>
              <w:t>5.67</w:t>
            </w:r>
            <w:r>
              <w:rPr>
                <w:sz w:val="24"/>
                <w:u w:val="single"/>
              </w:rPr>
              <w:t>mg/m</w:t>
            </w:r>
            <w:r>
              <w:rPr>
                <w:sz w:val="24"/>
                <w:u w:val="single"/>
                <w:vertAlign w:val="superscript"/>
              </w:rPr>
              <w:t>3</w:t>
            </w:r>
            <w:r>
              <w:rPr>
                <w:rFonts w:hint="eastAsia"/>
                <w:sz w:val="24"/>
                <w:u w:val="single"/>
              </w:rPr>
              <w:t>，具体产排情况见下表：</w:t>
            </w:r>
          </w:p>
          <w:p w14:paraId="288B2263">
            <w:pPr>
              <w:pStyle w:val="137"/>
              <w:numPr>
                <w:ilvl w:val="0"/>
                <w:numId w:val="7"/>
              </w:numPr>
              <w:adjustRightInd w:val="0"/>
              <w:snapToGrid w:val="0"/>
              <w:ind w:firstLineChars="0"/>
              <w:jc w:val="center"/>
              <w:rPr>
                <w:b/>
                <w:bCs/>
                <w:szCs w:val="21"/>
              </w:rPr>
            </w:pPr>
            <w:r>
              <w:rPr>
                <w:rFonts w:hint="eastAsia"/>
                <w:b/>
                <w:bCs/>
                <w:szCs w:val="21"/>
              </w:rPr>
              <w:t>项目中空工艺有机废气产排情况一览表（</w:t>
            </w:r>
            <w:r>
              <w:rPr>
                <w:rFonts w:hint="eastAsia"/>
                <w:b/>
                <w:bCs/>
                <w:szCs w:val="21"/>
                <w:lang w:val="en-US" w:eastAsia="zh-CN"/>
              </w:rPr>
              <w:t>活性炭吸附-脱附燃烧后</w:t>
            </w:r>
            <w:r>
              <w:rPr>
                <w:rFonts w:hint="eastAsia"/>
                <w:b/>
                <w:bCs/>
                <w:szCs w:val="21"/>
              </w:rPr>
              <w:t>）</w:t>
            </w:r>
          </w:p>
          <w:tbl>
            <w:tblPr>
              <w:tblStyle w:val="39"/>
              <w:tblW w:w="797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747"/>
              <w:gridCol w:w="1064"/>
              <w:gridCol w:w="776"/>
              <w:gridCol w:w="777"/>
              <w:gridCol w:w="778"/>
              <w:gridCol w:w="1345"/>
              <w:gridCol w:w="825"/>
              <w:gridCol w:w="801"/>
              <w:gridCol w:w="866"/>
            </w:tblGrid>
            <w:tr w14:paraId="12B9B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811" w:type="dxa"/>
                  <w:gridSpan w:val="2"/>
                  <w:vMerge w:val="restart"/>
                  <w:tcBorders>
                    <w:top w:val="single" w:color="auto" w:sz="4" w:space="0"/>
                    <w:left w:val="single" w:color="auto" w:sz="4" w:space="0"/>
                    <w:bottom w:val="single" w:color="auto" w:sz="6" w:space="0"/>
                    <w:right w:val="single" w:color="auto" w:sz="6" w:space="0"/>
                  </w:tcBorders>
                  <w:shd w:val="clear" w:color="auto" w:fill="auto"/>
                  <w:vAlign w:val="center"/>
                </w:tcPr>
                <w:p w14:paraId="510801C1">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污染源及污染物名称</w:t>
                  </w:r>
                </w:p>
              </w:tc>
              <w:tc>
                <w:tcPr>
                  <w:tcW w:w="2331" w:type="dxa"/>
                  <w:gridSpan w:val="3"/>
                  <w:tcBorders>
                    <w:top w:val="single" w:color="auto" w:sz="4" w:space="0"/>
                    <w:left w:val="single" w:color="auto" w:sz="6" w:space="0"/>
                    <w:bottom w:val="single" w:color="auto" w:sz="6" w:space="0"/>
                    <w:right w:val="single" w:color="auto" w:sz="6" w:space="0"/>
                  </w:tcBorders>
                  <w:shd w:val="clear" w:color="auto" w:fill="auto"/>
                  <w:vAlign w:val="center"/>
                </w:tcPr>
                <w:p w14:paraId="19F3ED7D">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产生情况</w:t>
                  </w:r>
                </w:p>
              </w:tc>
              <w:tc>
                <w:tcPr>
                  <w:tcW w:w="1345" w:type="dxa"/>
                  <w:vMerge w:val="restart"/>
                  <w:tcBorders>
                    <w:top w:val="single" w:color="auto" w:sz="4" w:space="0"/>
                    <w:left w:val="single" w:color="auto" w:sz="6" w:space="0"/>
                    <w:bottom w:val="single" w:color="auto" w:sz="6" w:space="0"/>
                    <w:right w:val="single" w:color="auto" w:sz="6" w:space="0"/>
                  </w:tcBorders>
                  <w:shd w:val="clear" w:color="auto" w:fill="auto"/>
                  <w:vAlign w:val="center"/>
                </w:tcPr>
                <w:p w14:paraId="7AA36ACF">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措施</w:t>
                  </w:r>
                </w:p>
              </w:tc>
              <w:tc>
                <w:tcPr>
                  <w:tcW w:w="2492" w:type="dxa"/>
                  <w:gridSpan w:val="3"/>
                  <w:tcBorders>
                    <w:top w:val="single" w:color="auto" w:sz="4" w:space="0"/>
                    <w:left w:val="single" w:color="auto" w:sz="6" w:space="0"/>
                    <w:bottom w:val="single" w:color="auto" w:sz="6" w:space="0"/>
                    <w:right w:val="single" w:color="auto" w:sz="4" w:space="0"/>
                  </w:tcBorders>
                  <w:shd w:val="clear" w:color="auto" w:fill="auto"/>
                  <w:vAlign w:val="center"/>
                </w:tcPr>
                <w:p w14:paraId="57B7B5D6">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排放情况</w:t>
                  </w:r>
                </w:p>
              </w:tc>
            </w:tr>
            <w:tr w14:paraId="62F2F0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811" w:type="dxa"/>
                  <w:gridSpan w:val="2"/>
                  <w:vMerge w:val="continue"/>
                  <w:tcBorders>
                    <w:top w:val="single" w:color="auto" w:sz="4" w:space="0"/>
                    <w:left w:val="single" w:color="auto" w:sz="4" w:space="0"/>
                    <w:bottom w:val="single" w:color="auto" w:sz="6" w:space="0"/>
                    <w:right w:val="single" w:color="auto" w:sz="6" w:space="0"/>
                  </w:tcBorders>
                  <w:shd w:val="clear" w:color="auto" w:fill="auto"/>
                  <w:vAlign w:val="center"/>
                </w:tcPr>
                <w:p w14:paraId="6E8A260D">
                  <w:pPr>
                    <w:rPr>
                      <w:szCs w:val="21"/>
                    </w:rPr>
                  </w:pP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14:paraId="1EB1CF87">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浓度</w:t>
                  </w:r>
                  <w:r>
                    <w:rPr>
                      <w:rFonts w:ascii="Times New Roman" w:hAnsi="Times New Roman" w:eastAsia="宋体"/>
                      <w:sz w:val="21"/>
                      <w:szCs w:val="21"/>
                      <w:lang w:bidi="ar"/>
                    </w:rPr>
                    <w:t>mg/m</w:t>
                  </w:r>
                  <w:r>
                    <w:rPr>
                      <w:rFonts w:ascii="Times New Roman" w:hAnsi="Times New Roman" w:eastAsia="宋体"/>
                      <w:sz w:val="21"/>
                      <w:szCs w:val="21"/>
                      <w:vertAlign w:val="superscript"/>
                      <w:lang w:bidi="ar"/>
                    </w:rPr>
                    <w:t>3</w:t>
                  </w:r>
                </w:p>
              </w:tc>
              <w:tc>
                <w:tcPr>
                  <w:tcW w:w="777" w:type="dxa"/>
                  <w:tcBorders>
                    <w:top w:val="single" w:color="auto" w:sz="6" w:space="0"/>
                    <w:left w:val="single" w:color="auto" w:sz="6" w:space="0"/>
                    <w:bottom w:val="single" w:color="auto" w:sz="6" w:space="0"/>
                    <w:right w:val="single" w:color="auto" w:sz="6" w:space="0"/>
                  </w:tcBorders>
                  <w:shd w:val="clear" w:color="auto" w:fill="auto"/>
                  <w:vAlign w:val="center"/>
                </w:tcPr>
                <w:p w14:paraId="061F49C1">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速率</w:t>
                  </w:r>
                  <w:r>
                    <w:rPr>
                      <w:rFonts w:ascii="Times New Roman" w:hAnsi="Times New Roman" w:eastAsia="宋体"/>
                      <w:sz w:val="21"/>
                      <w:szCs w:val="21"/>
                      <w:lang w:bidi="ar"/>
                    </w:rPr>
                    <w:t>kg/h</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14:paraId="18C739FA">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产生量</w:t>
                  </w:r>
                  <w:r>
                    <w:rPr>
                      <w:rFonts w:ascii="Times New Roman" w:hAnsi="Times New Roman" w:eastAsia="宋体"/>
                      <w:sz w:val="21"/>
                      <w:szCs w:val="21"/>
                      <w:lang w:bidi="ar"/>
                    </w:rPr>
                    <w:t>t/a</w:t>
                  </w:r>
                </w:p>
              </w:tc>
              <w:tc>
                <w:tcPr>
                  <w:tcW w:w="1345" w:type="dxa"/>
                  <w:vMerge w:val="continue"/>
                  <w:tcBorders>
                    <w:top w:val="single" w:color="auto" w:sz="4" w:space="0"/>
                    <w:left w:val="single" w:color="auto" w:sz="6" w:space="0"/>
                    <w:bottom w:val="single" w:color="auto" w:sz="6" w:space="0"/>
                    <w:right w:val="single" w:color="auto" w:sz="6" w:space="0"/>
                  </w:tcBorders>
                  <w:shd w:val="clear" w:color="auto" w:fill="auto"/>
                  <w:vAlign w:val="center"/>
                </w:tcPr>
                <w:p w14:paraId="63447D0C">
                  <w:pPr>
                    <w:rPr>
                      <w:szCs w:val="21"/>
                    </w:rPr>
                  </w:pPr>
                </w:p>
              </w:tc>
              <w:tc>
                <w:tcPr>
                  <w:tcW w:w="825" w:type="dxa"/>
                  <w:tcBorders>
                    <w:top w:val="single" w:color="auto" w:sz="6" w:space="0"/>
                    <w:left w:val="single" w:color="auto" w:sz="6" w:space="0"/>
                    <w:bottom w:val="single" w:color="auto" w:sz="6" w:space="0"/>
                    <w:right w:val="single" w:color="auto" w:sz="6" w:space="0"/>
                  </w:tcBorders>
                  <w:shd w:val="clear" w:color="auto" w:fill="auto"/>
                  <w:vAlign w:val="center"/>
                </w:tcPr>
                <w:p w14:paraId="14BD0286">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val="en-US" w:eastAsia="zh-CN" w:bidi="ar"/>
                    </w:rPr>
                    <w:t>最大</w:t>
                  </w:r>
                  <w:r>
                    <w:rPr>
                      <w:rFonts w:hint="eastAsia" w:ascii="Times New Roman" w:hAnsi="Times New Roman" w:eastAsia="宋体"/>
                      <w:sz w:val="21"/>
                      <w:szCs w:val="21"/>
                      <w:lang w:bidi="ar"/>
                    </w:rPr>
                    <w:t>浓度</w:t>
                  </w:r>
                  <w:r>
                    <w:rPr>
                      <w:rFonts w:ascii="Times New Roman" w:hAnsi="Times New Roman" w:eastAsia="宋体"/>
                      <w:sz w:val="21"/>
                      <w:szCs w:val="21"/>
                      <w:lang w:bidi="ar"/>
                    </w:rPr>
                    <w:t>mg/m</w:t>
                  </w:r>
                  <w:r>
                    <w:rPr>
                      <w:rFonts w:ascii="Times New Roman" w:hAnsi="Times New Roman" w:eastAsia="宋体"/>
                      <w:sz w:val="21"/>
                      <w:szCs w:val="21"/>
                      <w:vertAlign w:val="superscript"/>
                      <w:lang w:bidi="ar"/>
                    </w:rPr>
                    <w:t>3</w:t>
                  </w:r>
                </w:p>
              </w:tc>
              <w:tc>
                <w:tcPr>
                  <w:tcW w:w="801" w:type="dxa"/>
                  <w:tcBorders>
                    <w:top w:val="single" w:color="auto" w:sz="6" w:space="0"/>
                    <w:left w:val="single" w:color="auto" w:sz="6" w:space="0"/>
                    <w:bottom w:val="single" w:color="auto" w:sz="6" w:space="0"/>
                    <w:right w:val="single" w:color="auto" w:sz="6" w:space="0"/>
                  </w:tcBorders>
                  <w:shd w:val="clear" w:color="auto" w:fill="auto"/>
                  <w:vAlign w:val="center"/>
                </w:tcPr>
                <w:p w14:paraId="40E27115">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val="en-US" w:eastAsia="zh-CN" w:bidi="ar"/>
                    </w:rPr>
                    <w:t>最大</w:t>
                  </w:r>
                  <w:r>
                    <w:rPr>
                      <w:rFonts w:hint="eastAsia" w:ascii="Times New Roman" w:hAnsi="Times New Roman" w:eastAsia="宋体"/>
                      <w:sz w:val="21"/>
                      <w:szCs w:val="21"/>
                      <w:lang w:bidi="ar"/>
                    </w:rPr>
                    <w:t>速率</w:t>
                  </w:r>
                  <w:r>
                    <w:rPr>
                      <w:rFonts w:ascii="Times New Roman" w:hAnsi="Times New Roman" w:eastAsia="宋体"/>
                      <w:sz w:val="21"/>
                      <w:szCs w:val="21"/>
                      <w:lang w:bidi="ar"/>
                    </w:rPr>
                    <w:t>kg/h</w:t>
                  </w:r>
                </w:p>
              </w:tc>
              <w:tc>
                <w:tcPr>
                  <w:tcW w:w="866" w:type="dxa"/>
                  <w:tcBorders>
                    <w:top w:val="single" w:color="auto" w:sz="6" w:space="0"/>
                    <w:left w:val="single" w:color="auto" w:sz="6" w:space="0"/>
                    <w:bottom w:val="single" w:color="auto" w:sz="6" w:space="0"/>
                    <w:right w:val="single" w:color="auto" w:sz="4" w:space="0"/>
                  </w:tcBorders>
                  <w:shd w:val="clear" w:color="auto" w:fill="auto"/>
                  <w:vAlign w:val="center"/>
                </w:tcPr>
                <w:p w14:paraId="67DC207B">
                  <w:pPr>
                    <w:pStyle w:val="33"/>
                    <w:widowControl w:val="0"/>
                    <w:tabs>
                      <w:tab w:val="left" w:pos="1260"/>
                    </w:tabs>
                    <w:autoSpaceDE w:val="0"/>
                    <w:autoSpaceDN w:val="0"/>
                    <w:adjustRightInd w:val="0"/>
                    <w:spacing w:line="240" w:lineRule="auto"/>
                    <w:rPr>
                      <w:rFonts w:ascii="Times New Roman" w:hAnsi="Times New Roman"/>
                      <w:sz w:val="21"/>
                      <w:szCs w:val="21"/>
                    </w:rPr>
                  </w:pPr>
                  <w:r>
                    <w:rPr>
                      <w:rFonts w:hint="eastAsia" w:ascii="Times New Roman" w:hAnsi="Times New Roman" w:eastAsia="宋体"/>
                      <w:sz w:val="21"/>
                      <w:szCs w:val="21"/>
                      <w:lang w:bidi="ar"/>
                    </w:rPr>
                    <w:t>排放量</w:t>
                  </w:r>
                  <w:r>
                    <w:rPr>
                      <w:rFonts w:ascii="Times New Roman" w:hAnsi="Times New Roman" w:eastAsia="宋体"/>
                      <w:sz w:val="21"/>
                      <w:szCs w:val="21"/>
                      <w:lang w:bidi="ar"/>
                    </w:rPr>
                    <w:t>t/a</w:t>
                  </w:r>
                </w:p>
              </w:tc>
            </w:tr>
            <w:tr w14:paraId="5D73AF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9" w:hRule="atLeast"/>
                <w:jc w:val="center"/>
              </w:trPr>
              <w:tc>
                <w:tcPr>
                  <w:tcW w:w="747" w:type="dxa"/>
                  <w:tcBorders>
                    <w:top w:val="single" w:color="auto" w:sz="6" w:space="0"/>
                    <w:left w:val="single" w:color="auto" w:sz="4" w:space="0"/>
                    <w:bottom w:val="single" w:color="auto" w:sz="6" w:space="0"/>
                    <w:right w:val="single" w:color="auto" w:sz="6" w:space="0"/>
                  </w:tcBorders>
                  <w:shd w:val="clear" w:color="auto" w:fill="auto"/>
                  <w:vAlign w:val="center"/>
                </w:tcPr>
                <w:p w14:paraId="4904AA15">
                  <w:pPr>
                    <w:pStyle w:val="33"/>
                    <w:widowControl w:val="0"/>
                    <w:tabs>
                      <w:tab w:val="left" w:pos="1260"/>
                    </w:tabs>
                    <w:autoSpaceDE w:val="0"/>
                    <w:autoSpaceDN w:val="0"/>
                    <w:adjustRightInd w:val="0"/>
                    <w:spacing w:line="240" w:lineRule="auto"/>
                    <w:rPr>
                      <w:rFonts w:ascii="Times New Roman" w:hAnsi="Times New Roman"/>
                      <w:b w:val="0"/>
                      <w:bCs/>
                      <w:sz w:val="21"/>
                      <w:szCs w:val="21"/>
                    </w:rPr>
                  </w:pPr>
                  <w:r>
                    <w:rPr>
                      <w:rFonts w:ascii="Times New Roman" w:hAnsi="Times New Roman" w:eastAsia="宋体"/>
                      <w:b w:val="0"/>
                      <w:bCs/>
                      <w:sz w:val="21"/>
                      <w:szCs w:val="21"/>
                      <w:lang w:bidi="ar"/>
                    </w:rPr>
                    <w:t>DA00</w:t>
                  </w:r>
                  <w:r>
                    <w:rPr>
                      <w:rFonts w:hint="eastAsia" w:ascii="Times New Roman" w:hAnsi="Times New Roman" w:eastAsia="宋体"/>
                      <w:b w:val="0"/>
                      <w:bCs/>
                      <w:sz w:val="21"/>
                      <w:szCs w:val="21"/>
                      <w:lang w:bidi="ar"/>
                    </w:rPr>
                    <w:t>1</w:t>
                  </w:r>
                </w:p>
              </w:tc>
              <w:tc>
                <w:tcPr>
                  <w:tcW w:w="1064" w:type="dxa"/>
                  <w:tcBorders>
                    <w:top w:val="single" w:color="auto" w:sz="6" w:space="0"/>
                    <w:left w:val="single" w:color="auto" w:sz="6" w:space="0"/>
                    <w:bottom w:val="single" w:color="auto" w:sz="6" w:space="0"/>
                    <w:right w:val="single" w:color="auto" w:sz="6" w:space="0"/>
                  </w:tcBorders>
                  <w:shd w:val="clear" w:color="auto" w:fill="auto"/>
                  <w:vAlign w:val="center"/>
                </w:tcPr>
                <w:p w14:paraId="4EE3FAAC">
                  <w:pPr>
                    <w:pStyle w:val="33"/>
                    <w:widowControl w:val="0"/>
                    <w:tabs>
                      <w:tab w:val="left" w:pos="1260"/>
                    </w:tabs>
                    <w:autoSpaceDE w:val="0"/>
                    <w:autoSpaceDN w:val="0"/>
                    <w:adjustRightInd w:val="0"/>
                    <w:spacing w:line="240" w:lineRule="auto"/>
                    <w:rPr>
                      <w:rFonts w:ascii="Times New Roman" w:hAnsi="Times New Roman"/>
                      <w:b w:val="0"/>
                      <w:bCs/>
                      <w:sz w:val="21"/>
                      <w:szCs w:val="21"/>
                    </w:rPr>
                  </w:pPr>
                  <w:r>
                    <w:rPr>
                      <w:rFonts w:hint="eastAsia" w:ascii="Times New Roman" w:hAnsi="Times New Roman" w:eastAsia="宋体"/>
                      <w:b w:val="0"/>
                      <w:bCs/>
                      <w:sz w:val="21"/>
                      <w:szCs w:val="21"/>
                      <w:lang w:bidi="ar"/>
                    </w:rPr>
                    <w:t>非甲烷总烃</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14:paraId="40B80F10">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lang w:val="en-US" w:eastAsia="zh-CN"/>
                    </w:rPr>
                    <w:t>17.71</w:t>
                  </w:r>
                </w:p>
              </w:tc>
              <w:tc>
                <w:tcPr>
                  <w:tcW w:w="777" w:type="dxa"/>
                  <w:tcBorders>
                    <w:top w:val="single" w:color="auto" w:sz="6" w:space="0"/>
                    <w:left w:val="single" w:color="auto" w:sz="6" w:space="0"/>
                    <w:bottom w:val="single" w:color="auto" w:sz="6" w:space="0"/>
                    <w:right w:val="single" w:color="auto" w:sz="6" w:space="0"/>
                  </w:tcBorders>
                  <w:shd w:val="clear" w:color="auto" w:fill="auto"/>
                  <w:vAlign w:val="center"/>
                </w:tcPr>
                <w:p w14:paraId="25DFD73B">
                  <w:pPr>
                    <w:pStyle w:val="33"/>
                    <w:widowControl w:val="0"/>
                    <w:tabs>
                      <w:tab w:val="left" w:pos="1260"/>
                    </w:tabs>
                    <w:autoSpaceDE w:val="0"/>
                    <w:autoSpaceDN w:val="0"/>
                    <w:adjustRightInd w:val="0"/>
                    <w:spacing w:line="240" w:lineRule="auto"/>
                    <w:rPr>
                      <w:rFonts w:hint="eastAsia" w:ascii="Times New Roman" w:hAnsi="Times New Roman" w:eastAsiaTheme="minorEastAsia"/>
                      <w:b w:val="0"/>
                      <w:bCs/>
                      <w:sz w:val="21"/>
                      <w:szCs w:val="21"/>
                      <w:u w:val="single"/>
                      <w:lang w:eastAsia="zh-CN"/>
                    </w:rPr>
                  </w:pPr>
                  <w:r>
                    <w:rPr>
                      <w:rFonts w:hint="eastAsia" w:ascii="Times New Roman" w:hAnsi="Times New Roman"/>
                      <w:b w:val="0"/>
                      <w:bCs/>
                      <w:sz w:val="21"/>
                      <w:szCs w:val="21"/>
                      <w:u w:val="single"/>
                    </w:rPr>
                    <w:t>0.2</w:t>
                  </w:r>
                  <w:r>
                    <w:rPr>
                      <w:rFonts w:hint="eastAsia" w:ascii="Times New Roman" w:hAnsi="Times New Roman"/>
                      <w:b w:val="0"/>
                      <w:bCs/>
                      <w:sz w:val="21"/>
                      <w:szCs w:val="21"/>
                      <w:u w:val="single"/>
                      <w:lang w:val="en-US" w:eastAsia="zh-CN"/>
                    </w:rPr>
                    <w:t>3</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14:paraId="49C4F28D">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0.5</w:t>
                  </w:r>
                  <w:r>
                    <w:rPr>
                      <w:rFonts w:hint="eastAsia" w:ascii="Times New Roman" w:hAnsi="Times New Roman"/>
                      <w:b w:val="0"/>
                      <w:bCs/>
                      <w:sz w:val="21"/>
                      <w:szCs w:val="21"/>
                      <w:u w:val="single"/>
                      <w:lang w:val="en-US" w:eastAsia="zh-CN"/>
                    </w:rPr>
                    <w:t>525</w:t>
                  </w:r>
                </w:p>
              </w:tc>
              <w:tc>
                <w:tcPr>
                  <w:tcW w:w="1345" w:type="dxa"/>
                  <w:tcBorders>
                    <w:top w:val="single" w:color="auto" w:sz="6" w:space="0"/>
                    <w:left w:val="single" w:color="auto" w:sz="6" w:space="0"/>
                    <w:bottom w:val="single" w:color="auto" w:sz="6" w:space="0"/>
                    <w:right w:val="single" w:color="auto" w:sz="6" w:space="0"/>
                  </w:tcBorders>
                  <w:shd w:val="clear" w:color="auto" w:fill="auto"/>
                  <w:vAlign w:val="center"/>
                </w:tcPr>
                <w:p w14:paraId="66176204">
                  <w:pPr>
                    <w:jc w:val="center"/>
                  </w:pPr>
                  <w:r>
                    <w:rPr>
                      <w:rFonts w:hint="eastAsia"/>
                    </w:rPr>
                    <w:t>活性炭吸附+脱附燃烧（</w:t>
                  </w:r>
                  <w:r>
                    <w:rPr>
                      <w:rFonts w:hint="eastAsia"/>
                      <w:bCs/>
                      <w:szCs w:val="21"/>
                      <w:lang w:val="en-US" w:eastAsia="zh-CN"/>
                    </w:rPr>
                    <w:t>15</w:t>
                  </w:r>
                  <w:r>
                    <w:rPr>
                      <w:rFonts w:hint="eastAsia"/>
                      <w:bCs/>
                      <w:szCs w:val="21"/>
                    </w:rPr>
                    <w:t>000</w:t>
                  </w:r>
                  <w:r>
                    <w:rPr>
                      <w:bCs/>
                      <w:szCs w:val="21"/>
                    </w:rPr>
                    <w:t>m</w:t>
                  </w:r>
                  <w:r>
                    <w:rPr>
                      <w:bCs/>
                      <w:szCs w:val="21"/>
                      <w:vertAlign w:val="superscript"/>
                    </w:rPr>
                    <w:t>3</w:t>
                  </w:r>
                  <w:r>
                    <w:rPr>
                      <w:bCs/>
                      <w:szCs w:val="21"/>
                    </w:rPr>
                    <w:t>/h</w:t>
                  </w:r>
                  <w:r>
                    <w:rPr>
                      <w:rFonts w:hint="eastAsia"/>
                    </w:rPr>
                    <w:t>）</w:t>
                  </w:r>
                </w:p>
              </w:tc>
              <w:tc>
                <w:tcPr>
                  <w:tcW w:w="825" w:type="dxa"/>
                  <w:tcBorders>
                    <w:top w:val="single" w:color="auto" w:sz="6" w:space="0"/>
                    <w:left w:val="single" w:color="auto" w:sz="6" w:space="0"/>
                    <w:bottom w:val="single" w:color="auto" w:sz="6" w:space="0"/>
                    <w:right w:val="single" w:color="auto" w:sz="6" w:space="0"/>
                  </w:tcBorders>
                  <w:shd w:val="clear" w:color="auto" w:fill="auto"/>
                  <w:vAlign w:val="center"/>
                </w:tcPr>
                <w:p w14:paraId="6948B427">
                  <w:pPr>
                    <w:pStyle w:val="33"/>
                    <w:widowControl w:val="0"/>
                    <w:tabs>
                      <w:tab w:val="left" w:pos="1260"/>
                    </w:tabs>
                    <w:autoSpaceDE w:val="0"/>
                    <w:autoSpaceDN w:val="0"/>
                    <w:adjustRightInd w:val="0"/>
                    <w:spacing w:line="240" w:lineRule="auto"/>
                    <w:rPr>
                      <w:rFonts w:hint="eastAsia" w:ascii="Times New Roman" w:hAnsi="Times New Roman"/>
                      <w:b w:val="0"/>
                      <w:bCs/>
                      <w:sz w:val="21"/>
                      <w:szCs w:val="21"/>
                      <w:u w:val="single"/>
                      <w:lang w:val="en-US" w:eastAsia="zh-CN"/>
                    </w:rPr>
                  </w:pPr>
                  <w:r>
                    <w:rPr>
                      <w:rFonts w:hint="eastAsia" w:ascii="Times New Roman" w:hAnsi="Times New Roman"/>
                      <w:b w:val="0"/>
                      <w:bCs/>
                      <w:sz w:val="21"/>
                      <w:szCs w:val="21"/>
                      <w:u w:val="single"/>
                      <w:lang w:val="en-US" w:eastAsia="zh-CN"/>
                    </w:rPr>
                    <w:t>5.67</w:t>
                  </w:r>
                </w:p>
                <w:p w14:paraId="540004E1">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lang w:val="en-US" w:eastAsia="zh-CN"/>
                    </w:rPr>
                  </w:pPr>
                  <w:r>
                    <w:rPr>
                      <w:rFonts w:hint="eastAsia" w:ascii="Times New Roman" w:hAnsi="Times New Roman"/>
                      <w:b w:val="0"/>
                      <w:bCs/>
                      <w:sz w:val="21"/>
                      <w:szCs w:val="21"/>
                      <w:u w:val="single"/>
                      <w:lang w:val="en-US" w:eastAsia="zh-CN"/>
                    </w:rPr>
                    <w:t>（最大）</w:t>
                  </w:r>
                </w:p>
              </w:tc>
              <w:tc>
                <w:tcPr>
                  <w:tcW w:w="801" w:type="dxa"/>
                  <w:tcBorders>
                    <w:top w:val="single" w:color="auto" w:sz="6" w:space="0"/>
                    <w:left w:val="single" w:color="auto" w:sz="6" w:space="0"/>
                    <w:bottom w:val="single" w:color="auto" w:sz="6" w:space="0"/>
                    <w:right w:val="single" w:color="auto" w:sz="6" w:space="0"/>
                  </w:tcBorders>
                  <w:shd w:val="clear" w:color="auto" w:fill="auto"/>
                  <w:vAlign w:val="center"/>
                </w:tcPr>
                <w:p w14:paraId="75E082DD">
                  <w:pPr>
                    <w:pStyle w:val="33"/>
                    <w:widowControl w:val="0"/>
                    <w:tabs>
                      <w:tab w:val="left" w:pos="1260"/>
                    </w:tabs>
                    <w:autoSpaceDE w:val="0"/>
                    <w:autoSpaceDN w:val="0"/>
                    <w:adjustRightInd w:val="0"/>
                    <w:spacing w:line="240" w:lineRule="auto"/>
                    <w:rPr>
                      <w:rFonts w:hint="default" w:ascii="Times New Roman" w:hAnsi="Times New Roman"/>
                      <w:b w:val="0"/>
                      <w:bCs/>
                      <w:sz w:val="21"/>
                      <w:szCs w:val="21"/>
                      <w:u w:val="single"/>
                      <w:lang w:val="en-US"/>
                    </w:rPr>
                  </w:pPr>
                  <w:r>
                    <w:rPr>
                      <w:rFonts w:hint="eastAsia" w:ascii="Times New Roman" w:hAnsi="Times New Roman"/>
                      <w:b w:val="0"/>
                      <w:bCs/>
                      <w:sz w:val="21"/>
                      <w:szCs w:val="21"/>
                      <w:u w:val="single"/>
                    </w:rPr>
                    <w:t>0.0</w:t>
                  </w:r>
                  <w:r>
                    <w:rPr>
                      <w:rFonts w:hint="eastAsia" w:ascii="Times New Roman" w:hAnsi="Times New Roman"/>
                      <w:b w:val="0"/>
                      <w:bCs/>
                      <w:sz w:val="21"/>
                      <w:szCs w:val="21"/>
                      <w:u w:val="single"/>
                      <w:lang w:val="en-US" w:eastAsia="zh-CN"/>
                    </w:rPr>
                    <w:t>851</w:t>
                  </w:r>
                </w:p>
                <w:p w14:paraId="41DEC93E">
                  <w:r>
                    <w:rPr>
                      <w:rFonts w:hint="eastAsia"/>
                      <w:u w:val="single"/>
                    </w:rPr>
                    <w:t>（最大）</w:t>
                  </w:r>
                </w:p>
              </w:tc>
              <w:tc>
                <w:tcPr>
                  <w:tcW w:w="866" w:type="dxa"/>
                  <w:tcBorders>
                    <w:top w:val="single" w:color="auto" w:sz="6" w:space="0"/>
                    <w:left w:val="single" w:color="auto" w:sz="6" w:space="0"/>
                    <w:bottom w:val="single" w:color="auto" w:sz="6" w:space="0"/>
                    <w:right w:val="single" w:color="auto" w:sz="4" w:space="0"/>
                  </w:tcBorders>
                  <w:shd w:val="clear" w:color="auto" w:fill="auto"/>
                  <w:vAlign w:val="center"/>
                </w:tcPr>
                <w:p w14:paraId="6E1E71AD">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0.07</w:t>
                  </w:r>
                  <w:r>
                    <w:rPr>
                      <w:rFonts w:hint="eastAsia" w:ascii="Times New Roman" w:hAnsi="Times New Roman"/>
                      <w:b w:val="0"/>
                      <w:bCs/>
                      <w:sz w:val="21"/>
                      <w:szCs w:val="21"/>
                      <w:u w:val="single"/>
                      <w:lang w:val="en-US" w:eastAsia="zh-CN"/>
                    </w:rPr>
                    <w:t>02</w:t>
                  </w:r>
                </w:p>
              </w:tc>
            </w:tr>
            <w:tr w14:paraId="49F768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47" w:type="dxa"/>
                  <w:tcBorders>
                    <w:top w:val="single" w:color="auto" w:sz="6" w:space="0"/>
                    <w:left w:val="single" w:color="auto" w:sz="4" w:space="0"/>
                    <w:bottom w:val="single" w:color="auto" w:sz="4" w:space="0"/>
                    <w:right w:val="single" w:color="auto" w:sz="6" w:space="0"/>
                  </w:tcBorders>
                  <w:shd w:val="clear" w:color="auto" w:fill="auto"/>
                  <w:vAlign w:val="center"/>
                </w:tcPr>
                <w:p w14:paraId="3C32274A">
                  <w:pPr>
                    <w:pStyle w:val="33"/>
                    <w:widowControl w:val="0"/>
                    <w:tabs>
                      <w:tab w:val="left" w:pos="1260"/>
                    </w:tabs>
                    <w:autoSpaceDE w:val="0"/>
                    <w:autoSpaceDN w:val="0"/>
                    <w:adjustRightInd w:val="0"/>
                    <w:spacing w:line="240" w:lineRule="auto"/>
                    <w:rPr>
                      <w:rFonts w:ascii="Times New Roman" w:hAnsi="Times New Roman"/>
                      <w:b w:val="0"/>
                      <w:bCs/>
                      <w:sz w:val="21"/>
                      <w:szCs w:val="21"/>
                    </w:rPr>
                  </w:pPr>
                  <w:r>
                    <w:rPr>
                      <w:rFonts w:hint="eastAsia" w:ascii="Times New Roman" w:hAnsi="Times New Roman" w:eastAsia="宋体"/>
                      <w:b w:val="0"/>
                      <w:bCs/>
                      <w:sz w:val="21"/>
                      <w:szCs w:val="21"/>
                      <w:lang w:bidi="ar"/>
                    </w:rPr>
                    <w:t>无组织</w:t>
                  </w:r>
                </w:p>
              </w:tc>
              <w:tc>
                <w:tcPr>
                  <w:tcW w:w="1064" w:type="dxa"/>
                  <w:tcBorders>
                    <w:top w:val="single" w:color="auto" w:sz="6" w:space="0"/>
                    <w:left w:val="single" w:color="auto" w:sz="6" w:space="0"/>
                    <w:bottom w:val="single" w:color="auto" w:sz="6" w:space="0"/>
                    <w:right w:val="single" w:color="auto" w:sz="6" w:space="0"/>
                  </w:tcBorders>
                  <w:shd w:val="clear" w:color="auto" w:fill="auto"/>
                  <w:vAlign w:val="center"/>
                </w:tcPr>
                <w:p w14:paraId="4D23535B">
                  <w:pPr>
                    <w:pStyle w:val="33"/>
                    <w:widowControl w:val="0"/>
                    <w:tabs>
                      <w:tab w:val="left" w:pos="1260"/>
                    </w:tabs>
                    <w:autoSpaceDE w:val="0"/>
                    <w:autoSpaceDN w:val="0"/>
                    <w:adjustRightInd w:val="0"/>
                    <w:spacing w:line="240" w:lineRule="auto"/>
                    <w:rPr>
                      <w:rFonts w:ascii="Times New Roman" w:hAnsi="Times New Roman"/>
                      <w:b w:val="0"/>
                      <w:bCs/>
                      <w:sz w:val="21"/>
                      <w:szCs w:val="21"/>
                    </w:rPr>
                  </w:pPr>
                  <w:r>
                    <w:rPr>
                      <w:rFonts w:hint="eastAsia" w:ascii="Times New Roman" w:hAnsi="Times New Roman" w:eastAsia="宋体"/>
                      <w:b w:val="0"/>
                      <w:bCs/>
                      <w:sz w:val="21"/>
                      <w:szCs w:val="21"/>
                      <w:lang w:bidi="ar"/>
                    </w:rPr>
                    <w:t>非甲烷总烃</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14:paraId="25AF85D3">
                  <w:pPr>
                    <w:pStyle w:val="33"/>
                    <w:widowControl w:val="0"/>
                    <w:tabs>
                      <w:tab w:val="left" w:pos="1260"/>
                    </w:tabs>
                    <w:autoSpaceDE w:val="0"/>
                    <w:autoSpaceDN w:val="0"/>
                    <w:adjustRightInd w:val="0"/>
                    <w:spacing w:line="240" w:lineRule="auto"/>
                    <w:rPr>
                      <w:rFonts w:ascii="Times New Roman" w:hAnsi="Times New Roman"/>
                      <w:b w:val="0"/>
                      <w:bCs/>
                      <w:sz w:val="21"/>
                      <w:szCs w:val="21"/>
                    </w:rPr>
                  </w:pPr>
                  <w:r>
                    <w:rPr>
                      <w:rFonts w:ascii="Times New Roman" w:hAnsi="Times New Roman" w:eastAsia="宋体"/>
                      <w:b w:val="0"/>
                      <w:bCs/>
                      <w:sz w:val="21"/>
                      <w:szCs w:val="21"/>
                      <w:lang w:bidi="ar"/>
                    </w:rPr>
                    <w:t>/</w:t>
                  </w:r>
                </w:p>
              </w:tc>
              <w:tc>
                <w:tcPr>
                  <w:tcW w:w="777" w:type="dxa"/>
                  <w:tcBorders>
                    <w:top w:val="single" w:color="auto" w:sz="6" w:space="0"/>
                    <w:left w:val="single" w:color="auto" w:sz="6" w:space="0"/>
                    <w:bottom w:val="single" w:color="auto" w:sz="6" w:space="0"/>
                    <w:right w:val="single" w:color="auto" w:sz="6" w:space="0"/>
                  </w:tcBorders>
                  <w:shd w:val="clear" w:color="auto" w:fill="auto"/>
                  <w:vAlign w:val="center"/>
                </w:tcPr>
                <w:p w14:paraId="3BF90384">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0.0</w:t>
                  </w:r>
                  <w:r>
                    <w:rPr>
                      <w:rFonts w:hint="eastAsia" w:ascii="Times New Roman" w:hAnsi="Times New Roman"/>
                      <w:b w:val="0"/>
                      <w:bCs/>
                      <w:sz w:val="21"/>
                      <w:szCs w:val="21"/>
                      <w:u w:val="single"/>
                      <w:lang w:val="en-US" w:eastAsia="zh-CN"/>
                    </w:rPr>
                    <w:t>406</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14:paraId="1BC08EA6">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w:t>
                  </w:r>
                  <w:r>
                    <w:rPr>
                      <w:rFonts w:hint="eastAsia" w:ascii="Times New Roman" w:hAnsi="Times New Roman"/>
                      <w:b w:val="0"/>
                      <w:bCs/>
                      <w:sz w:val="21"/>
                      <w:szCs w:val="21"/>
                      <w:u w:val="single"/>
                      <w:lang w:val="en-US" w:eastAsia="zh-CN"/>
                    </w:rPr>
                    <w:t>0975</w:t>
                  </w:r>
                </w:p>
              </w:tc>
              <w:tc>
                <w:tcPr>
                  <w:tcW w:w="1345" w:type="dxa"/>
                  <w:tcBorders>
                    <w:top w:val="single" w:color="auto" w:sz="6" w:space="0"/>
                    <w:left w:val="single" w:color="auto" w:sz="6" w:space="0"/>
                    <w:bottom w:val="single" w:color="auto" w:sz="4" w:space="0"/>
                    <w:right w:val="single" w:color="auto" w:sz="6" w:space="0"/>
                  </w:tcBorders>
                  <w:shd w:val="clear" w:color="auto" w:fill="auto"/>
                  <w:vAlign w:val="center"/>
                </w:tcPr>
                <w:p w14:paraId="05ADB10F">
                  <w:pPr>
                    <w:pStyle w:val="33"/>
                    <w:widowControl w:val="0"/>
                    <w:tabs>
                      <w:tab w:val="left" w:pos="1260"/>
                    </w:tabs>
                    <w:autoSpaceDE w:val="0"/>
                    <w:autoSpaceDN w:val="0"/>
                    <w:adjustRightInd w:val="0"/>
                    <w:spacing w:line="240" w:lineRule="auto"/>
                    <w:rPr>
                      <w:rFonts w:ascii="Times New Roman" w:hAnsi="Times New Roman"/>
                      <w:b w:val="0"/>
                      <w:bCs/>
                      <w:sz w:val="21"/>
                      <w:szCs w:val="21"/>
                    </w:rPr>
                  </w:pPr>
                  <w:r>
                    <w:rPr>
                      <w:rFonts w:hint="eastAsia" w:ascii="Times New Roman" w:hAnsi="Times New Roman" w:eastAsia="宋体"/>
                      <w:b w:val="0"/>
                      <w:bCs/>
                      <w:sz w:val="21"/>
                      <w:szCs w:val="21"/>
                      <w:lang w:bidi="ar"/>
                    </w:rPr>
                    <w:t>车间密闭</w:t>
                  </w:r>
                </w:p>
              </w:tc>
              <w:tc>
                <w:tcPr>
                  <w:tcW w:w="825" w:type="dxa"/>
                  <w:tcBorders>
                    <w:top w:val="single" w:color="auto" w:sz="6" w:space="0"/>
                    <w:left w:val="single" w:color="auto" w:sz="6" w:space="0"/>
                    <w:bottom w:val="single" w:color="auto" w:sz="6" w:space="0"/>
                    <w:right w:val="single" w:color="auto" w:sz="6" w:space="0"/>
                  </w:tcBorders>
                  <w:shd w:val="clear" w:color="auto" w:fill="auto"/>
                  <w:vAlign w:val="center"/>
                </w:tcPr>
                <w:p w14:paraId="3D784429">
                  <w:pPr>
                    <w:pStyle w:val="33"/>
                    <w:widowControl w:val="0"/>
                    <w:tabs>
                      <w:tab w:val="left" w:pos="1260"/>
                    </w:tabs>
                    <w:autoSpaceDE w:val="0"/>
                    <w:autoSpaceDN w:val="0"/>
                    <w:adjustRightInd w:val="0"/>
                    <w:spacing w:line="240" w:lineRule="auto"/>
                    <w:rPr>
                      <w:rFonts w:ascii="Times New Roman" w:hAnsi="Times New Roman"/>
                      <w:b w:val="0"/>
                      <w:bCs/>
                      <w:sz w:val="21"/>
                      <w:szCs w:val="21"/>
                    </w:rPr>
                  </w:pPr>
                  <w:r>
                    <w:rPr>
                      <w:rFonts w:ascii="Times New Roman" w:hAnsi="Times New Roman" w:eastAsia="宋体"/>
                      <w:b w:val="0"/>
                      <w:bCs/>
                      <w:sz w:val="21"/>
                      <w:szCs w:val="21"/>
                      <w:lang w:bidi="ar"/>
                    </w:rPr>
                    <w:t>/</w:t>
                  </w:r>
                </w:p>
              </w:tc>
              <w:tc>
                <w:tcPr>
                  <w:tcW w:w="801" w:type="dxa"/>
                  <w:tcBorders>
                    <w:top w:val="single" w:color="auto" w:sz="6" w:space="0"/>
                    <w:left w:val="single" w:color="auto" w:sz="6" w:space="0"/>
                    <w:bottom w:val="single" w:color="auto" w:sz="6" w:space="0"/>
                    <w:right w:val="single" w:color="auto" w:sz="6" w:space="0"/>
                  </w:tcBorders>
                  <w:shd w:val="clear" w:color="auto" w:fill="auto"/>
                  <w:vAlign w:val="center"/>
                </w:tcPr>
                <w:p w14:paraId="6279E67A">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0.0</w:t>
                  </w:r>
                  <w:r>
                    <w:rPr>
                      <w:rFonts w:hint="eastAsia" w:ascii="Times New Roman" w:hAnsi="Times New Roman"/>
                      <w:b w:val="0"/>
                      <w:bCs/>
                      <w:sz w:val="21"/>
                      <w:szCs w:val="21"/>
                      <w:u w:val="single"/>
                      <w:lang w:val="en-US" w:eastAsia="zh-CN"/>
                    </w:rPr>
                    <w:t>406</w:t>
                  </w:r>
                </w:p>
              </w:tc>
              <w:tc>
                <w:tcPr>
                  <w:tcW w:w="866" w:type="dxa"/>
                  <w:tcBorders>
                    <w:top w:val="single" w:color="auto" w:sz="6" w:space="0"/>
                    <w:left w:val="single" w:color="auto" w:sz="6" w:space="0"/>
                    <w:bottom w:val="single" w:color="auto" w:sz="6" w:space="0"/>
                    <w:right w:val="single" w:color="auto" w:sz="4" w:space="0"/>
                  </w:tcBorders>
                  <w:shd w:val="clear" w:color="auto" w:fill="auto"/>
                  <w:vAlign w:val="center"/>
                </w:tcPr>
                <w:p w14:paraId="6BC1725A">
                  <w:pPr>
                    <w:pStyle w:val="33"/>
                    <w:widowControl w:val="0"/>
                    <w:tabs>
                      <w:tab w:val="left" w:pos="1260"/>
                    </w:tabs>
                    <w:autoSpaceDE w:val="0"/>
                    <w:autoSpaceDN w:val="0"/>
                    <w:adjustRightInd w:val="0"/>
                    <w:spacing w:line="240" w:lineRule="auto"/>
                    <w:rPr>
                      <w:rFonts w:hint="default" w:ascii="Times New Roman" w:hAnsi="Times New Roman" w:eastAsiaTheme="minorEastAsia"/>
                      <w:b w:val="0"/>
                      <w:bCs/>
                      <w:sz w:val="21"/>
                      <w:szCs w:val="21"/>
                      <w:u w:val="single"/>
                      <w:lang w:val="en-US" w:eastAsia="zh-CN"/>
                    </w:rPr>
                  </w:pPr>
                  <w:r>
                    <w:rPr>
                      <w:rFonts w:hint="eastAsia" w:ascii="Times New Roman" w:hAnsi="Times New Roman"/>
                      <w:b w:val="0"/>
                      <w:bCs/>
                      <w:sz w:val="21"/>
                      <w:szCs w:val="21"/>
                      <w:u w:val="single"/>
                    </w:rPr>
                    <w:t>0.</w:t>
                  </w:r>
                  <w:r>
                    <w:rPr>
                      <w:rFonts w:hint="eastAsia" w:ascii="Times New Roman" w:hAnsi="Times New Roman"/>
                      <w:b w:val="0"/>
                      <w:bCs/>
                      <w:sz w:val="21"/>
                      <w:szCs w:val="21"/>
                      <w:u w:val="single"/>
                      <w:lang w:val="en-US" w:eastAsia="zh-CN"/>
                    </w:rPr>
                    <w:t>0975</w:t>
                  </w:r>
                </w:p>
              </w:tc>
            </w:tr>
          </w:tbl>
          <w:p w14:paraId="40B986DC">
            <w:pPr>
              <w:spacing w:line="360" w:lineRule="auto"/>
              <w:ind w:firstLine="470" w:firstLineChars="196"/>
              <w:rPr>
                <w:sz w:val="24"/>
              </w:rPr>
            </w:pPr>
            <w:r>
              <w:rPr>
                <w:rFonts w:hint="eastAsia"/>
                <w:sz w:val="24"/>
              </w:rPr>
              <w:t>综上，废气处理装置在两种运行情况下，中空工艺有机废气的排放浓度均能满足《玻璃工业大气污染物排放标准》（GB26453-2022）表1排放限值要求，同时能满足《关于全省开展工业企业挥发性有机物专项治理工作中排放建议值的通知》（豫环攻坚办〔2017〕162号）中挥发性有机物其他行业排放建议值要求、《重污染天气重点行业应急减排措施制定技术指南（2020年修订版）》中玻璃后加工企业绩效引领性指标要求。</w:t>
            </w:r>
          </w:p>
          <w:p w14:paraId="5C53F9D7">
            <w:pPr>
              <w:spacing w:line="360" w:lineRule="auto"/>
              <w:ind w:firstLine="472" w:firstLineChars="196"/>
              <w:rPr>
                <w:b/>
                <w:sz w:val="24"/>
                <w:u w:val="single"/>
              </w:rPr>
            </w:pPr>
            <w:r>
              <w:rPr>
                <w:rFonts w:hint="eastAsia"/>
                <w:b/>
                <w:sz w:val="24"/>
                <w:u w:val="single"/>
              </w:rPr>
              <w:t>（2）危废暂存间废气</w:t>
            </w:r>
          </w:p>
          <w:p w14:paraId="3C4A2055">
            <w:pPr>
              <w:spacing w:line="360" w:lineRule="auto"/>
              <w:ind w:firstLine="470" w:firstLineChars="196"/>
              <w:rPr>
                <w:sz w:val="24"/>
                <w:u w:val="single"/>
              </w:rPr>
            </w:pPr>
            <w:r>
              <w:rPr>
                <w:sz w:val="24"/>
                <w:u w:val="single"/>
              </w:rPr>
              <w:t>本项目危险废物收集后暂存在危废暂存间内</w:t>
            </w:r>
            <w:r>
              <w:rPr>
                <w:rFonts w:hint="eastAsia"/>
                <w:sz w:val="24"/>
                <w:u w:val="single"/>
              </w:rPr>
              <w:t>，暂存过程可能会有少量有机废气挥发，主要污染物以非甲烷总烃计，项目危险废物均加盖密闭储存，废气产生量较少，不再定量分析，本次评价要求企业将危废间废气经集气管道收集后引入活性炭吸附-脱附+催化燃烧装置进行处理。危废暂存间废气通过管道连接到主管道，在管道上安装风阀，风阀一般处于关闭状态，定时开启风阀，换气后关闭风阀，故危废暂存间收集系统风量不计入活性炭吸附装置废气收集风量。</w:t>
            </w:r>
          </w:p>
          <w:p w14:paraId="30B03095">
            <w:pPr>
              <w:spacing w:line="360" w:lineRule="auto"/>
              <w:ind w:firstLine="482" w:firstLineChars="200"/>
              <w:rPr>
                <w:b/>
                <w:sz w:val="24"/>
              </w:rPr>
            </w:pPr>
            <w:r>
              <w:rPr>
                <w:rFonts w:hint="eastAsia"/>
                <w:b/>
                <w:sz w:val="24"/>
              </w:rPr>
              <w:t>1.2废气污染防治措施可行性分析</w:t>
            </w:r>
          </w:p>
          <w:p w14:paraId="04726DEF">
            <w:pPr>
              <w:autoSpaceDE w:val="0"/>
              <w:autoSpaceDN w:val="0"/>
              <w:adjustRightInd w:val="0"/>
              <w:spacing w:line="360" w:lineRule="auto"/>
              <w:ind w:firstLine="480" w:firstLineChars="200"/>
              <w:rPr>
                <w:sz w:val="24"/>
                <w:szCs w:val="21"/>
                <w:u w:val="single"/>
              </w:rPr>
            </w:pPr>
            <w:r>
              <w:rPr>
                <w:sz w:val="24"/>
                <w:szCs w:val="21"/>
                <w:u w:val="single"/>
              </w:rPr>
              <w:t>本项目属于C3042特种玻璃制造，</w:t>
            </w:r>
            <w:r>
              <w:rPr>
                <w:rFonts w:hint="eastAsia" w:ascii="宋体"/>
                <w:sz w:val="24"/>
                <w:szCs w:val="21"/>
                <w:u w:val="single"/>
              </w:rPr>
              <w:t>根据工程分析</w:t>
            </w:r>
            <w:r>
              <w:rPr>
                <w:sz w:val="24"/>
                <w:szCs w:val="21"/>
                <w:u w:val="single"/>
              </w:rPr>
              <w:t>，本项目废气主要为中空工艺过程产生的有机废气和危废间产生少量有机废气</w:t>
            </w:r>
            <w:r>
              <w:rPr>
                <w:rFonts w:hint="eastAsia"/>
                <w:sz w:val="24"/>
                <w:szCs w:val="21"/>
                <w:u w:val="single"/>
              </w:rPr>
              <w:t>。参照《排污许可证申请与核发技术规范总则》（HJ942-2018）“废气污染治理设施工艺-有机废气治理设施”包括焚烧、吸附、催化分解、其他。</w:t>
            </w:r>
          </w:p>
          <w:p w14:paraId="7A51F902">
            <w:pPr>
              <w:pStyle w:val="137"/>
              <w:numPr>
                <w:ilvl w:val="0"/>
                <w:numId w:val="7"/>
              </w:numPr>
              <w:adjustRightInd w:val="0"/>
              <w:snapToGrid w:val="0"/>
              <w:ind w:firstLineChars="0"/>
              <w:jc w:val="center"/>
              <w:rPr>
                <w:sz w:val="24"/>
                <w:szCs w:val="21"/>
                <w:u w:val="single"/>
              </w:rPr>
            </w:pPr>
            <w:r>
              <w:rPr>
                <w:rFonts w:hint="eastAsia"/>
                <w:b/>
                <w:bCs/>
                <w:szCs w:val="21"/>
                <w:u w:val="single"/>
              </w:rPr>
              <w:t>常用有机废气治理方法对比情况一览表</w:t>
            </w:r>
          </w:p>
          <w:tbl>
            <w:tblPr>
              <w:tblStyle w:val="39"/>
              <w:tblW w:w="7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52"/>
              <w:gridCol w:w="3214"/>
              <w:gridCol w:w="3065"/>
            </w:tblGrid>
            <w:tr w14:paraId="68CB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754" w:type="dxa"/>
                  <w:vAlign w:val="center"/>
                </w:tcPr>
                <w:p w14:paraId="3D4C905D">
                  <w:pPr>
                    <w:autoSpaceDE w:val="0"/>
                    <w:autoSpaceDN w:val="0"/>
                    <w:adjustRightInd w:val="0"/>
                    <w:jc w:val="center"/>
                    <w:rPr>
                      <w:szCs w:val="21"/>
                      <w:u w:val="single"/>
                    </w:rPr>
                  </w:pPr>
                  <w:r>
                    <w:rPr>
                      <w:rFonts w:hint="eastAsia"/>
                      <w:szCs w:val="21"/>
                      <w:u w:val="single"/>
                    </w:rPr>
                    <w:t>治理内容</w:t>
                  </w:r>
                </w:p>
              </w:tc>
              <w:tc>
                <w:tcPr>
                  <w:tcW w:w="852" w:type="dxa"/>
                  <w:vAlign w:val="center"/>
                </w:tcPr>
                <w:p w14:paraId="7D91EAD2">
                  <w:pPr>
                    <w:autoSpaceDE w:val="0"/>
                    <w:autoSpaceDN w:val="0"/>
                    <w:adjustRightInd w:val="0"/>
                    <w:jc w:val="center"/>
                    <w:rPr>
                      <w:szCs w:val="21"/>
                      <w:u w:val="single"/>
                    </w:rPr>
                  </w:pPr>
                  <w:r>
                    <w:rPr>
                      <w:rFonts w:hint="eastAsia"/>
                      <w:szCs w:val="21"/>
                      <w:u w:val="single"/>
                    </w:rPr>
                    <w:t>治理方法</w:t>
                  </w:r>
                </w:p>
              </w:tc>
              <w:tc>
                <w:tcPr>
                  <w:tcW w:w="3214" w:type="dxa"/>
                  <w:vAlign w:val="center"/>
                </w:tcPr>
                <w:p w14:paraId="095015B3">
                  <w:pPr>
                    <w:autoSpaceDE w:val="0"/>
                    <w:autoSpaceDN w:val="0"/>
                    <w:adjustRightInd w:val="0"/>
                    <w:jc w:val="center"/>
                    <w:rPr>
                      <w:szCs w:val="21"/>
                      <w:u w:val="single"/>
                    </w:rPr>
                  </w:pPr>
                  <w:r>
                    <w:rPr>
                      <w:rFonts w:hint="eastAsia"/>
                      <w:szCs w:val="21"/>
                      <w:u w:val="single"/>
                    </w:rPr>
                    <w:t>主要优点</w:t>
                  </w:r>
                </w:p>
              </w:tc>
              <w:tc>
                <w:tcPr>
                  <w:tcW w:w="3065" w:type="dxa"/>
                  <w:vAlign w:val="center"/>
                </w:tcPr>
                <w:p w14:paraId="38673DFA">
                  <w:pPr>
                    <w:autoSpaceDE w:val="0"/>
                    <w:autoSpaceDN w:val="0"/>
                    <w:adjustRightInd w:val="0"/>
                    <w:jc w:val="center"/>
                    <w:rPr>
                      <w:szCs w:val="21"/>
                      <w:u w:val="single"/>
                    </w:rPr>
                  </w:pPr>
                  <w:r>
                    <w:rPr>
                      <w:rFonts w:hint="eastAsia"/>
                      <w:szCs w:val="21"/>
                      <w:u w:val="single"/>
                    </w:rPr>
                    <w:t>主要缺点</w:t>
                  </w:r>
                </w:p>
              </w:tc>
            </w:tr>
            <w:tr w14:paraId="3983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54" w:type="dxa"/>
                  <w:vMerge w:val="restart"/>
                  <w:vAlign w:val="center"/>
                </w:tcPr>
                <w:p w14:paraId="56259EE6">
                  <w:pPr>
                    <w:autoSpaceDE w:val="0"/>
                    <w:autoSpaceDN w:val="0"/>
                    <w:adjustRightInd w:val="0"/>
                    <w:jc w:val="center"/>
                    <w:rPr>
                      <w:szCs w:val="21"/>
                      <w:u w:val="single"/>
                    </w:rPr>
                  </w:pPr>
                  <w:r>
                    <w:rPr>
                      <w:rFonts w:hint="eastAsia"/>
                      <w:szCs w:val="21"/>
                      <w:u w:val="single"/>
                    </w:rPr>
                    <w:t>有机废气</w:t>
                  </w:r>
                </w:p>
              </w:tc>
              <w:tc>
                <w:tcPr>
                  <w:tcW w:w="852" w:type="dxa"/>
                  <w:vAlign w:val="center"/>
                </w:tcPr>
                <w:p w14:paraId="49ED9787">
                  <w:pPr>
                    <w:autoSpaceDE w:val="0"/>
                    <w:autoSpaceDN w:val="0"/>
                    <w:adjustRightInd w:val="0"/>
                    <w:jc w:val="center"/>
                    <w:rPr>
                      <w:szCs w:val="21"/>
                      <w:u w:val="single"/>
                    </w:rPr>
                  </w:pPr>
                  <w:r>
                    <w:rPr>
                      <w:rFonts w:hint="eastAsia"/>
                      <w:szCs w:val="21"/>
                      <w:u w:val="single"/>
                    </w:rPr>
                    <w:t>焚烧</w:t>
                  </w:r>
                </w:p>
              </w:tc>
              <w:tc>
                <w:tcPr>
                  <w:tcW w:w="3214" w:type="dxa"/>
                  <w:vAlign w:val="center"/>
                </w:tcPr>
                <w:p w14:paraId="2B8E7F19">
                  <w:pPr>
                    <w:autoSpaceDE w:val="0"/>
                    <w:autoSpaceDN w:val="0"/>
                    <w:adjustRightInd w:val="0"/>
                    <w:jc w:val="center"/>
                    <w:rPr>
                      <w:szCs w:val="21"/>
                      <w:u w:val="single"/>
                    </w:rPr>
                  </w:pPr>
                  <w:r>
                    <w:rPr>
                      <w:rFonts w:hint="eastAsia"/>
                      <w:szCs w:val="21"/>
                      <w:u w:val="single"/>
                    </w:rPr>
                    <w:t>焚烧法对于浓度较高的有机废气处理效果比较好。这种方法主要分为两种，即直接燃烧和催化燃烧。直接燃烧对有机废气的热处理效率相对较高，一般情况下可达到99%。而催化燃烧指的是在催化床层的作用下，加快有机废气的化学反应速度</w:t>
                  </w:r>
                </w:p>
              </w:tc>
              <w:tc>
                <w:tcPr>
                  <w:tcW w:w="3065" w:type="dxa"/>
                  <w:vAlign w:val="center"/>
                </w:tcPr>
                <w:p w14:paraId="29161F14">
                  <w:pPr>
                    <w:autoSpaceDE w:val="0"/>
                    <w:autoSpaceDN w:val="0"/>
                    <w:adjustRightInd w:val="0"/>
                    <w:jc w:val="center"/>
                    <w:rPr>
                      <w:szCs w:val="21"/>
                      <w:u w:val="single"/>
                    </w:rPr>
                  </w:pPr>
                  <w:r>
                    <w:rPr>
                      <w:rFonts w:hint="eastAsia"/>
                      <w:szCs w:val="21"/>
                      <w:u w:val="single"/>
                    </w:rPr>
                    <w:t>催化燃烧法如果离开催化剂辅助，则无法发挥作用。现阶段，可作为催化剂使用的大都是金属、金属盐。这两种催化剂的催化效果虽说比较好，技术也已经相当成熟，但是其价格却比较高，所以处理成本也就比较高</w:t>
                  </w:r>
                </w:p>
              </w:tc>
            </w:tr>
            <w:tr w14:paraId="6A89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54" w:type="dxa"/>
                  <w:vMerge w:val="continue"/>
                  <w:vAlign w:val="center"/>
                </w:tcPr>
                <w:p w14:paraId="28F650B5">
                  <w:pPr>
                    <w:autoSpaceDE w:val="0"/>
                    <w:autoSpaceDN w:val="0"/>
                    <w:adjustRightInd w:val="0"/>
                    <w:jc w:val="center"/>
                    <w:rPr>
                      <w:szCs w:val="21"/>
                      <w:u w:val="single"/>
                    </w:rPr>
                  </w:pPr>
                </w:p>
              </w:tc>
              <w:tc>
                <w:tcPr>
                  <w:tcW w:w="852" w:type="dxa"/>
                  <w:vAlign w:val="center"/>
                </w:tcPr>
                <w:p w14:paraId="5635E22E">
                  <w:pPr>
                    <w:autoSpaceDE w:val="0"/>
                    <w:autoSpaceDN w:val="0"/>
                    <w:adjustRightInd w:val="0"/>
                    <w:jc w:val="center"/>
                    <w:rPr>
                      <w:szCs w:val="21"/>
                      <w:u w:val="single"/>
                    </w:rPr>
                  </w:pPr>
                  <w:r>
                    <w:rPr>
                      <w:rFonts w:hint="eastAsia"/>
                      <w:szCs w:val="21"/>
                      <w:u w:val="single"/>
                    </w:rPr>
                    <w:t>吸附</w:t>
                  </w:r>
                </w:p>
              </w:tc>
              <w:tc>
                <w:tcPr>
                  <w:tcW w:w="3214" w:type="dxa"/>
                  <w:vAlign w:val="center"/>
                </w:tcPr>
                <w:p w14:paraId="7C08EADB">
                  <w:pPr>
                    <w:autoSpaceDE w:val="0"/>
                    <w:autoSpaceDN w:val="0"/>
                    <w:adjustRightInd w:val="0"/>
                    <w:jc w:val="center"/>
                    <w:rPr>
                      <w:szCs w:val="21"/>
                      <w:u w:val="single"/>
                    </w:rPr>
                  </w:pPr>
                  <w:r>
                    <w:rPr>
                      <w:rFonts w:hint="eastAsia"/>
                      <w:szCs w:val="21"/>
                      <w:u w:val="single"/>
                    </w:rPr>
                    <w:t>有机废气中的吸附法主要适用于低浓度、高通量有机废气。现阶段这种有机废气的处理方法已经相当成熟，能消耗比较小，但是处理效率却非常高，而且可以彻底净化有害有机废气。</w:t>
                  </w:r>
                </w:p>
              </w:tc>
              <w:tc>
                <w:tcPr>
                  <w:tcW w:w="3065" w:type="dxa"/>
                  <w:vAlign w:val="center"/>
                </w:tcPr>
                <w:p w14:paraId="30ECAE90">
                  <w:pPr>
                    <w:autoSpaceDE w:val="0"/>
                    <w:autoSpaceDN w:val="0"/>
                    <w:adjustRightInd w:val="0"/>
                    <w:jc w:val="center"/>
                    <w:rPr>
                      <w:szCs w:val="21"/>
                      <w:u w:val="single"/>
                    </w:rPr>
                  </w:pPr>
                  <w:r>
                    <w:rPr>
                      <w:rFonts w:hint="eastAsia"/>
                      <w:szCs w:val="21"/>
                      <w:u w:val="single"/>
                    </w:rPr>
                    <w:t>如果废气中有大量杂质，则容易导致工作人员中毒，所以，使用此方法处理废气的关键在于吸附剂。当前，采用吸附法处理有机废气，多使用活性炭，主要是因为活性炭细孔结构比较好，吸附性比较强</w:t>
                  </w:r>
                </w:p>
              </w:tc>
            </w:tr>
            <w:tr w14:paraId="5A17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54" w:type="dxa"/>
                  <w:vMerge w:val="continue"/>
                  <w:vAlign w:val="center"/>
                </w:tcPr>
                <w:p w14:paraId="0FFF9511">
                  <w:pPr>
                    <w:autoSpaceDE w:val="0"/>
                    <w:autoSpaceDN w:val="0"/>
                    <w:adjustRightInd w:val="0"/>
                    <w:jc w:val="center"/>
                    <w:rPr>
                      <w:szCs w:val="21"/>
                      <w:u w:val="single"/>
                    </w:rPr>
                  </w:pPr>
                </w:p>
              </w:tc>
              <w:tc>
                <w:tcPr>
                  <w:tcW w:w="852" w:type="dxa"/>
                  <w:vAlign w:val="center"/>
                </w:tcPr>
                <w:p w14:paraId="2D00B4EE">
                  <w:pPr>
                    <w:autoSpaceDE w:val="0"/>
                    <w:autoSpaceDN w:val="0"/>
                    <w:adjustRightInd w:val="0"/>
                    <w:jc w:val="center"/>
                    <w:rPr>
                      <w:szCs w:val="21"/>
                      <w:u w:val="single"/>
                    </w:rPr>
                  </w:pPr>
                  <w:r>
                    <w:rPr>
                      <w:rFonts w:hint="eastAsia"/>
                      <w:szCs w:val="21"/>
                      <w:u w:val="single"/>
                    </w:rPr>
                    <w:t>催化分解</w:t>
                  </w:r>
                </w:p>
              </w:tc>
              <w:tc>
                <w:tcPr>
                  <w:tcW w:w="3214" w:type="dxa"/>
                  <w:vAlign w:val="center"/>
                </w:tcPr>
                <w:p w14:paraId="760B86C3">
                  <w:pPr>
                    <w:autoSpaceDE w:val="0"/>
                    <w:autoSpaceDN w:val="0"/>
                    <w:adjustRightInd w:val="0"/>
                    <w:jc w:val="center"/>
                    <w:rPr>
                      <w:szCs w:val="21"/>
                      <w:u w:val="single"/>
                    </w:rPr>
                  </w:pPr>
                  <w:r>
                    <w:rPr>
                      <w:rFonts w:hint="eastAsia"/>
                      <w:szCs w:val="21"/>
                      <w:u w:val="single"/>
                    </w:rPr>
                    <w:t>适用于有机物质含量较低的废气的净化处理，设备使用寿命长，抗老化，耐腐蚀。</w:t>
                  </w:r>
                </w:p>
              </w:tc>
              <w:tc>
                <w:tcPr>
                  <w:tcW w:w="3065" w:type="dxa"/>
                  <w:vAlign w:val="center"/>
                </w:tcPr>
                <w:p w14:paraId="6E3A23BC">
                  <w:pPr>
                    <w:autoSpaceDE w:val="0"/>
                    <w:autoSpaceDN w:val="0"/>
                    <w:adjustRightInd w:val="0"/>
                    <w:jc w:val="center"/>
                    <w:rPr>
                      <w:szCs w:val="21"/>
                      <w:u w:val="single"/>
                    </w:rPr>
                  </w:pPr>
                  <w:r>
                    <w:rPr>
                      <w:rFonts w:hint="eastAsia"/>
                      <w:szCs w:val="21"/>
                      <w:u w:val="single"/>
                    </w:rPr>
                    <w:t>光催化反应速率慢、产物不明，应用</w:t>
                  </w:r>
                  <w:r>
                    <w:rPr>
                      <w:szCs w:val="21"/>
                      <w:u w:val="single"/>
                    </w:rPr>
                    <w:t>VOCs</w:t>
                  </w:r>
                  <w:r>
                    <w:rPr>
                      <w:rFonts w:hint="eastAsia"/>
                      <w:szCs w:val="21"/>
                      <w:u w:val="single"/>
                    </w:rPr>
                    <w:t>治理时处理效率低，达不到治理要求</w:t>
                  </w:r>
                </w:p>
              </w:tc>
            </w:tr>
            <w:tr w14:paraId="6725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54" w:type="dxa"/>
                  <w:vMerge w:val="continue"/>
                  <w:vAlign w:val="center"/>
                </w:tcPr>
                <w:p w14:paraId="5475A096">
                  <w:pPr>
                    <w:autoSpaceDE w:val="0"/>
                    <w:autoSpaceDN w:val="0"/>
                    <w:adjustRightInd w:val="0"/>
                    <w:jc w:val="center"/>
                    <w:rPr>
                      <w:szCs w:val="21"/>
                      <w:u w:val="single"/>
                    </w:rPr>
                  </w:pPr>
                </w:p>
              </w:tc>
              <w:tc>
                <w:tcPr>
                  <w:tcW w:w="852" w:type="dxa"/>
                  <w:vAlign w:val="center"/>
                </w:tcPr>
                <w:p w14:paraId="424947C2">
                  <w:pPr>
                    <w:autoSpaceDE w:val="0"/>
                    <w:autoSpaceDN w:val="0"/>
                    <w:adjustRightInd w:val="0"/>
                    <w:jc w:val="center"/>
                    <w:rPr>
                      <w:rFonts w:hint="eastAsia"/>
                      <w:szCs w:val="21"/>
                      <w:u w:val="single"/>
                    </w:rPr>
                  </w:pPr>
                  <w:r>
                    <w:rPr>
                      <w:rFonts w:hint="eastAsia"/>
                      <w:szCs w:val="21"/>
                      <w:u w:val="single"/>
                    </w:rPr>
                    <w:t>生物法</w:t>
                  </w:r>
                </w:p>
              </w:tc>
              <w:tc>
                <w:tcPr>
                  <w:tcW w:w="3214" w:type="dxa"/>
                  <w:vAlign w:val="center"/>
                </w:tcPr>
                <w:p w14:paraId="265B1714">
                  <w:pPr>
                    <w:autoSpaceDE w:val="0"/>
                    <w:autoSpaceDN w:val="0"/>
                    <w:adjustRightInd w:val="0"/>
                    <w:jc w:val="center"/>
                    <w:rPr>
                      <w:szCs w:val="21"/>
                      <w:u w:val="single"/>
                    </w:rPr>
                  </w:pPr>
                  <w:r>
                    <w:rPr>
                      <w:rFonts w:hint="eastAsia"/>
                      <w:szCs w:val="21"/>
                      <w:u w:val="single"/>
                    </w:rPr>
                    <w:t>常见的生物处理工艺包括生物过滤法、生物滴滤法、生物洗涤法、</w:t>
                  </w:r>
                </w:p>
                <w:p w14:paraId="3973EA26">
                  <w:pPr>
                    <w:autoSpaceDE w:val="0"/>
                    <w:autoSpaceDN w:val="0"/>
                    <w:adjustRightInd w:val="0"/>
                    <w:jc w:val="center"/>
                    <w:rPr>
                      <w:rFonts w:hint="eastAsia"/>
                      <w:szCs w:val="21"/>
                      <w:u w:val="single"/>
                    </w:rPr>
                  </w:pPr>
                  <w:r>
                    <w:rPr>
                      <w:rFonts w:hint="eastAsia"/>
                      <w:szCs w:val="21"/>
                      <w:u w:val="single"/>
                    </w:rPr>
                    <w:t>膜生物反应器和转盘式生物过滤反应器法。该法具有设备简单，运行维护费用低，能耗低，无二次污染等优点</w:t>
                  </w:r>
                </w:p>
              </w:tc>
              <w:tc>
                <w:tcPr>
                  <w:tcW w:w="3065" w:type="dxa"/>
                  <w:vAlign w:val="center"/>
                </w:tcPr>
                <w:p w14:paraId="7187D8F3">
                  <w:pPr>
                    <w:autoSpaceDE w:val="0"/>
                    <w:autoSpaceDN w:val="0"/>
                    <w:adjustRightInd w:val="0"/>
                    <w:jc w:val="center"/>
                    <w:rPr>
                      <w:rFonts w:hint="eastAsia"/>
                      <w:szCs w:val="21"/>
                      <w:u w:val="single"/>
                    </w:rPr>
                  </w:pPr>
                  <w:r>
                    <w:rPr>
                      <w:rFonts w:hint="eastAsia"/>
                      <w:szCs w:val="21"/>
                      <w:u w:val="single"/>
                    </w:rPr>
                    <w:t>生物法存在气阻大、降解速率慢、设备体积庞大、易受污染物浓度及温度的影响，而且该法仅适用于亲水性及易生物降解物质的处理</w:t>
                  </w:r>
                </w:p>
              </w:tc>
            </w:tr>
          </w:tbl>
          <w:p w14:paraId="21B97F13">
            <w:pPr>
              <w:autoSpaceDE w:val="0"/>
              <w:autoSpaceDN w:val="0"/>
              <w:adjustRightInd w:val="0"/>
              <w:spacing w:line="360" w:lineRule="auto"/>
              <w:ind w:firstLine="480" w:firstLineChars="200"/>
              <w:rPr>
                <w:sz w:val="24"/>
                <w:szCs w:val="21"/>
                <w:u w:val="single"/>
              </w:rPr>
            </w:pPr>
            <w:r>
              <w:rPr>
                <w:rFonts w:hint="eastAsia"/>
                <w:sz w:val="24"/>
                <w:szCs w:val="21"/>
                <w:u w:val="single"/>
              </w:rPr>
              <w:t>由上表可知，几种方法各有优缺点，适用于不同的情况。本项目中空工序有机废气抽风量大，有机废气产生浓度较低，如果单一采用吸附法会产生较多的废活性炭，故采用活性炭吸附-脱附+催化燃烧法较为合适，可以减少废活性炭的产生量，同时保证有机废气稳定达标。</w:t>
            </w:r>
          </w:p>
          <w:p w14:paraId="5F39C84D">
            <w:pPr>
              <w:autoSpaceDE w:val="0"/>
              <w:autoSpaceDN w:val="0"/>
              <w:adjustRightInd w:val="0"/>
              <w:spacing w:line="360" w:lineRule="auto"/>
              <w:ind w:firstLine="482" w:firstLineChars="200"/>
              <w:rPr>
                <w:b/>
                <w:sz w:val="24"/>
                <w:szCs w:val="21"/>
              </w:rPr>
            </w:pPr>
            <w:r>
              <w:rPr>
                <w:rFonts w:hint="eastAsia"/>
                <w:b/>
                <w:sz w:val="24"/>
                <w:szCs w:val="21"/>
              </w:rPr>
              <w:t>活性炭吸附：</w:t>
            </w:r>
            <w:r>
              <w:rPr>
                <w:rFonts w:hint="eastAsia"/>
                <w:sz w:val="24"/>
                <w:szCs w:val="21"/>
              </w:rPr>
              <w:t>活性炭吸附原理是当废气由风机提供动力，废气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活性炭吸附是一种干式废气处理装置，由箱体和填装在箱体内的吸附单元组成。</w:t>
            </w:r>
          </w:p>
          <w:p w14:paraId="47E8051E">
            <w:pPr>
              <w:autoSpaceDE w:val="0"/>
              <w:autoSpaceDN w:val="0"/>
              <w:adjustRightInd w:val="0"/>
              <w:spacing w:line="360" w:lineRule="auto"/>
              <w:ind w:firstLine="480" w:firstLineChars="200"/>
              <w:rPr>
                <w:sz w:val="24"/>
                <w:szCs w:val="21"/>
              </w:rPr>
            </w:pPr>
            <w:r>
              <w:rPr>
                <w:rFonts w:hint="eastAsia"/>
                <w:sz w:val="24"/>
                <w:szCs w:val="21"/>
              </w:rPr>
              <w:t>活性炭是一种主要由含碳材料制成的外观呈黑色，内部孔隙结构发达、比表面积大、吸附能力强的一类微晶质碳素材料。活性炭材料中有大量肉眼看不见的微孔，1克活性炭材料中微孔，将其展开后表面积可高达800~1500平方米，特殊用途的更高。在一个米粒大小的活性炭颗粒中，微孔的内表面积可能相当于一个客厅面积的大小。正是这些高度发达，如人体毛细血管般的孔隙结构，使活性炭拥有了优良的吸附性能。分子之间相互吸附的作用力：也叫“范德华引力”。虽然分子运动速度受温度和材质等原因的影响，但它在微环境下始终是不停运动的。由于分子之间拥有相互吸引的作用力，当一个分子被活性炭内孔捕捉进入到活性炭内孔隙中后，由于分子之间相互吸引的原因，会导致更多的分子不断被吸引，直到添满活性炭内孔隙为止。</w:t>
            </w:r>
          </w:p>
          <w:p w14:paraId="22F86DB4">
            <w:pPr>
              <w:autoSpaceDE w:val="0"/>
              <w:autoSpaceDN w:val="0"/>
              <w:adjustRightInd w:val="0"/>
              <w:spacing w:line="360" w:lineRule="auto"/>
              <w:ind w:firstLine="480" w:firstLineChars="200"/>
              <w:rPr>
                <w:sz w:val="24"/>
                <w:szCs w:val="21"/>
              </w:rPr>
            </w:pPr>
            <w:r>
              <w:rPr>
                <w:rFonts w:hint="eastAsia"/>
                <w:sz w:val="24"/>
                <w:szCs w:val="21"/>
              </w:rPr>
              <w:t>利用活性炭多微孔的吸附特性吸附有机废气是一种最有效的工业处理手段。本次活性炭吸附装置采用新型活性炭，活性炭粒度为Ф4.0mm，强度≥98%，灰分≤3，水分≤5，填充比重为0.5g/mL，碘值≥800mg/g，比表面≥1200m2/g，孔容积≥0.8cc/g，活性炭比表面积和孔隙率大，吸附能力强，具有较好的机械强度、化学稳定性和热稳定性。有机废气通过吸附装置，与活性炭接触，废气中的有机污染物被吸附在活性炭表面，从而从气流中脱离出来，达到净化效果，活性炭孔隙内吸附的有机物达到一定含量时，可进行脱附作用，脱附的高浓度有机废气进入催化燃烧室进行催化燃烧作用，脱附后的活性炭可以再次利用进行吸附作用。</w:t>
            </w:r>
          </w:p>
          <w:p w14:paraId="0B9607D7">
            <w:pPr>
              <w:autoSpaceDE w:val="0"/>
              <w:autoSpaceDN w:val="0"/>
              <w:adjustRightInd w:val="0"/>
              <w:spacing w:line="360" w:lineRule="auto"/>
              <w:ind w:firstLine="482" w:firstLineChars="200"/>
              <w:rPr>
                <w:sz w:val="24"/>
                <w:szCs w:val="21"/>
              </w:rPr>
            </w:pPr>
            <w:r>
              <w:rPr>
                <w:rFonts w:hint="eastAsia"/>
                <w:b/>
                <w:sz w:val="24"/>
                <w:szCs w:val="21"/>
              </w:rPr>
              <w:t>催化燃烧：</w:t>
            </w:r>
            <w:r>
              <w:rPr>
                <w:rFonts w:hint="eastAsia"/>
                <w:sz w:val="24"/>
                <w:szCs w:val="21"/>
              </w:rPr>
              <w:t>催化燃烧设备工艺原理：催化净化是典型的气固相催化反应，其实质是活性氧参与的深度氧化作用。在催化净化过程中，催化剂的作用是降低活化能，同时催化剂表面具有吸附作用，使反应物分子富集于表面提高了反应速率，加快了反应的进行；借助催化剂可使有机废气在较低的起燃温度条件下，发生无焰燃烧，并氧化分解为CO</w:t>
            </w:r>
            <w:r>
              <w:rPr>
                <w:rFonts w:hint="eastAsia"/>
                <w:sz w:val="24"/>
                <w:szCs w:val="21"/>
                <w:vertAlign w:val="subscript"/>
              </w:rPr>
              <w:t>2</w:t>
            </w:r>
            <w:r>
              <w:rPr>
                <w:rFonts w:hint="eastAsia"/>
                <w:sz w:val="24"/>
                <w:szCs w:val="21"/>
              </w:rPr>
              <w:t>和H</w:t>
            </w:r>
            <w:r>
              <w:rPr>
                <w:rFonts w:hint="eastAsia"/>
                <w:sz w:val="24"/>
                <w:szCs w:val="21"/>
                <w:vertAlign w:val="subscript"/>
              </w:rPr>
              <w:t>2</w:t>
            </w:r>
            <w:r>
              <w:rPr>
                <w:rFonts w:hint="eastAsia"/>
                <w:sz w:val="24"/>
                <w:szCs w:val="21"/>
              </w:rPr>
              <w:t>O，同时放出大量热能，从而达到去除废气中的有害物的效果。</w:t>
            </w:r>
          </w:p>
          <w:p w14:paraId="483FC991">
            <w:pPr>
              <w:autoSpaceDE w:val="0"/>
              <w:autoSpaceDN w:val="0"/>
              <w:adjustRightInd w:val="0"/>
              <w:spacing w:line="360" w:lineRule="auto"/>
              <w:ind w:firstLine="480" w:firstLineChars="200"/>
              <w:rPr>
                <w:sz w:val="24"/>
                <w:szCs w:val="21"/>
              </w:rPr>
            </w:pPr>
            <w:r>
              <w:rPr>
                <w:rFonts w:hint="eastAsia"/>
                <w:sz w:val="24"/>
                <w:szCs w:val="21"/>
              </w:rPr>
              <w:t>催化燃烧设备采用多气路连续工作，多个活性炭吸附箱交替工作，一个催化燃烧室。活性炭吸附箱对废气进行吸附，当快达到饱和时停止吸附操作，马上进行脱附处理。同时第二个活性炭吸附箱进行吸附浓缩，当快达到饱和时停止吸附操作，马上进行脱附处理。依此类推，以后的几套活性炭吸附箱进行与首套活性炭吸附箱相同的吸附脱附过程。这些脱附下来的有机废气已被浓缩（浓度较原来提高几十倍）并送入催化燃烧室进行催化燃烧，在催化剂上在250～350℃的高温条件下进行催化氧化反应，即“燃烧”，使有机废气转化为无害的CO</w:t>
            </w:r>
            <w:r>
              <w:rPr>
                <w:rFonts w:hint="eastAsia"/>
                <w:sz w:val="24"/>
                <w:szCs w:val="21"/>
                <w:vertAlign w:val="subscript"/>
              </w:rPr>
              <w:t>2</w:t>
            </w:r>
            <w:r>
              <w:rPr>
                <w:rFonts w:hint="eastAsia"/>
                <w:sz w:val="24"/>
                <w:szCs w:val="21"/>
              </w:rPr>
              <w:t>和H</w:t>
            </w:r>
            <w:r>
              <w:rPr>
                <w:rFonts w:hint="eastAsia"/>
                <w:sz w:val="24"/>
                <w:szCs w:val="21"/>
                <w:vertAlign w:val="subscript"/>
              </w:rPr>
              <w:t>2</w:t>
            </w:r>
            <w:r>
              <w:rPr>
                <w:rFonts w:hint="eastAsia"/>
                <w:sz w:val="24"/>
                <w:szCs w:val="21"/>
              </w:rPr>
              <w:t>O排出。当有机废气浓度达到2000PPm以上时，有机废气在催化床可维持自燃，不用外加热，燃烧后的尾气大部分排出大气。</w:t>
            </w:r>
          </w:p>
          <w:p w14:paraId="1102575C">
            <w:pPr>
              <w:autoSpaceDE w:val="0"/>
              <w:autoSpaceDN w:val="0"/>
              <w:adjustRightInd w:val="0"/>
              <w:spacing w:line="360" w:lineRule="auto"/>
              <w:ind w:firstLine="480" w:firstLineChars="200"/>
              <w:rPr>
                <w:sz w:val="24"/>
                <w:szCs w:val="21"/>
              </w:rPr>
            </w:pPr>
            <w:r>
              <w:rPr>
                <w:rFonts w:hint="eastAsia"/>
                <w:sz w:val="24"/>
                <w:szCs w:val="21"/>
              </w:rPr>
              <w:t>活性炭吸附+催化燃烧设备废气处理过程主要包括三部分：吸附气体过程、脱附气体过程，催化燃烧过程。</w:t>
            </w:r>
          </w:p>
          <w:p w14:paraId="1A14B392">
            <w:pPr>
              <w:autoSpaceDE w:val="0"/>
              <w:autoSpaceDN w:val="0"/>
              <w:adjustRightInd w:val="0"/>
              <w:spacing w:line="360" w:lineRule="auto"/>
              <w:ind w:firstLine="480" w:firstLineChars="200"/>
              <w:rPr>
                <w:sz w:val="24"/>
                <w:szCs w:val="21"/>
              </w:rPr>
            </w:pPr>
            <w:r>
              <w:rPr>
                <w:rFonts w:hint="eastAsia"/>
                <w:sz w:val="24"/>
                <w:szCs w:val="21"/>
              </w:rPr>
              <w:t>①吸附气体过程：利用活性炭的物理特性对VOCs有机废气进行吸附，利用蜂窝状活性炭比表面积大、吸附能力强的特性，将有机废气吸附到活性炭的微孔中，待活性炭吸附饱和后，随即进行脱附气体过程。</w:t>
            </w:r>
          </w:p>
          <w:p w14:paraId="7CB1D18F">
            <w:pPr>
              <w:autoSpaceDE w:val="0"/>
              <w:autoSpaceDN w:val="0"/>
              <w:adjustRightInd w:val="0"/>
              <w:spacing w:line="360" w:lineRule="auto"/>
              <w:ind w:firstLine="480" w:firstLineChars="200"/>
              <w:rPr>
                <w:sz w:val="24"/>
                <w:szCs w:val="21"/>
              </w:rPr>
            </w:pPr>
            <w:r>
              <w:rPr>
                <w:rFonts w:hint="eastAsia"/>
                <w:sz w:val="24"/>
                <w:szCs w:val="21"/>
              </w:rPr>
              <w:t>②脱附气体过程：当活性炭微孔吸附饱和时，将不能再进行吸附，此时利用催化床产生的高温热风对吸附饱和后的活性炭进行升温脱附，活性炭微孔中的VOCs有机物遇高温后自动脱离活性炭，使活性炭脱附再生，脱附后的VOCs气体随即进入催化燃烧室进行催化燃烧。</w:t>
            </w:r>
          </w:p>
          <w:p w14:paraId="61644C2C">
            <w:pPr>
              <w:autoSpaceDE w:val="0"/>
              <w:autoSpaceDN w:val="0"/>
              <w:adjustRightInd w:val="0"/>
              <w:spacing w:line="360" w:lineRule="auto"/>
              <w:ind w:firstLine="480" w:firstLineChars="200"/>
              <w:rPr>
                <w:sz w:val="24"/>
                <w:szCs w:val="21"/>
              </w:rPr>
            </w:pPr>
            <w:r>
              <w:rPr>
                <w:rFonts w:hint="eastAsia"/>
                <w:sz w:val="24"/>
                <w:szCs w:val="21"/>
              </w:rPr>
              <w:t>③催化燃烧过程：脱附下来的VOCs有机废气已被浓缩，其浓度是原来的几十倍甚至几百倍并被送入催化燃烧室进行催化燃烧，在250～350℃的高温以及贵金属催化剂的催化氧化作用下，VOCs有机废气转化为无害的CO2和H2O排出，从而使气体得以净化。</w:t>
            </w:r>
          </w:p>
          <w:p w14:paraId="336ED403">
            <w:pPr>
              <w:autoSpaceDE w:val="0"/>
              <w:autoSpaceDN w:val="0"/>
              <w:adjustRightInd w:val="0"/>
              <w:spacing w:line="360" w:lineRule="auto"/>
              <w:ind w:firstLine="480" w:firstLineChars="200"/>
              <w:rPr>
                <w:sz w:val="24"/>
                <w:szCs w:val="21"/>
              </w:rPr>
            </w:pPr>
            <w:r>
              <w:rPr>
                <w:rFonts w:hint="eastAsia"/>
                <w:sz w:val="24"/>
                <w:szCs w:val="21"/>
              </w:rPr>
              <w:t>催化燃烧反应是一个放热反应，催化燃烧处理后的洁净空气一部分直接排到大气，大部分热气被再次回收利用，主要用于活性炭的脱附再生。所以催化燃烧设备既能满足燃烧和脱附所需热能，又能达到节能的目的，再生后的活性炭可用于下次吸附。</w:t>
            </w:r>
          </w:p>
          <w:p w14:paraId="326B21C5">
            <w:pPr>
              <w:autoSpaceDE w:val="0"/>
              <w:autoSpaceDN w:val="0"/>
              <w:adjustRightInd w:val="0"/>
              <w:spacing w:line="360" w:lineRule="auto"/>
              <w:ind w:firstLine="480" w:firstLineChars="200"/>
              <w:rPr>
                <w:sz w:val="24"/>
                <w:szCs w:val="21"/>
                <w:u w:val="single"/>
              </w:rPr>
            </w:pPr>
            <w:r>
              <w:rPr>
                <w:rFonts w:hint="eastAsia"/>
                <w:sz w:val="24"/>
                <w:szCs w:val="21"/>
                <w:u w:val="single"/>
              </w:rPr>
              <w:t>本项目有机废气处理采用活性炭吸附-脱附+催化燃烧，提高了废气处理的效率和稳定性，活性炭吸附-脱附+催化燃烧装置的综合净化效率为87.3%。根据前述计算，本项目有机废气经处理后可以满足《玻璃工业大气污染物排放标准》（</w:t>
            </w:r>
            <w:r>
              <w:rPr>
                <w:sz w:val="24"/>
                <w:szCs w:val="21"/>
                <w:u w:val="single"/>
              </w:rPr>
              <w:t>GB26453-2022</w:t>
            </w:r>
            <w:r>
              <w:rPr>
                <w:rFonts w:hint="eastAsia"/>
                <w:sz w:val="24"/>
                <w:szCs w:val="21"/>
                <w:u w:val="single"/>
              </w:rPr>
              <w:t>）表</w:t>
            </w:r>
            <w:r>
              <w:rPr>
                <w:sz w:val="24"/>
                <w:szCs w:val="21"/>
                <w:u w:val="single"/>
              </w:rPr>
              <w:t>1</w:t>
            </w:r>
            <w:r>
              <w:rPr>
                <w:rFonts w:hint="eastAsia"/>
                <w:sz w:val="24"/>
                <w:szCs w:val="21"/>
                <w:u w:val="single"/>
              </w:rPr>
              <w:t>排放限值要求（非甲烷总烃最高允许排放浓度</w:t>
            </w:r>
            <w:r>
              <w:rPr>
                <w:sz w:val="24"/>
                <w:szCs w:val="21"/>
                <w:u w:val="single"/>
              </w:rPr>
              <w:t>80mg/m</w:t>
            </w:r>
            <w:r>
              <w:rPr>
                <w:sz w:val="24"/>
                <w:szCs w:val="21"/>
                <w:u w:val="single"/>
                <w:vertAlign w:val="superscript"/>
              </w:rPr>
              <w:t>3</w:t>
            </w:r>
            <w:r>
              <w:rPr>
                <w:rFonts w:hint="eastAsia"/>
                <w:sz w:val="24"/>
                <w:szCs w:val="21"/>
                <w:u w:val="single"/>
              </w:rPr>
              <w:t>），同时满足《关于全省开展工业企业挥发性有机物专项治理工作中排放建议值的通知》（豫环攻坚办〔2017〕162号）中挥发性有机物其他行业排放建议值（非甲烷总烃</w:t>
            </w:r>
            <w:r>
              <w:rPr>
                <w:sz w:val="24"/>
                <w:szCs w:val="21"/>
                <w:u w:val="single"/>
              </w:rPr>
              <w:t>≤</w:t>
            </w:r>
            <w:r>
              <w:rPr>
                <w:rFonts w:hint="eastAsia"/>
                <w:sz w:val="24"/>
                <w:szCs w:val="21"/>
                <w:u w:val="single"/>
              </w:rPr>
              <w:t>80</w:t>
            </w:r>
            <w:r>
              <w:rPr>
                <w:sz w:val="24"/>
                <w:szCs w:val="21"/>
                <w:u w:val="single"/>
              </w:rPr>
              <w:t>mg/m</w:t>
            </w:r>
            <w:r>
              <w:rPr>
                <w:sz w:val="24"/>
                <w:szCs w:val="21"/>
                <w:u w:val="single"/>
                <w:vertAlign w:val="superscript"/>
              </w:rPr>
              <w:t>3</w:t>
            </w:r>
            <w:r>
              <w:rPr>
                <w:rFonts w:hint="eastAsia"/>
                <w:sz w:val="24"/>
                <w:szCs w:val="21"/>
                <w:u w:val="single"/>
              </w:rPr>
              <w:t>）要求和《重污染天气重点行业应急减排措施制定技术指南（</w:t>
            </w:r>
            <w:r>
              <w:rPr>
                <w:sz w:val="24"/>
                <w:szCs w:val="21"/>
                <w:u w:val="single"/>
              </w:rPr>
              <w:t>2020</w:t>
            </w:r>
            <w:r>
              <w:rPr>
                <w:rFonts w:hint="eastAsia"/>
                <w:sz w:val="24"/>
                <w:szCs w:val="21"/>
                <w:u w:val="single"/>
              </w:rPr>
              <w:t>年修订版）》中玻璃后加工企业绩效引领性指标（NMHC</w:t>
            </w:r>
            <w:r>
              <w:rPr>
                <w:sz w:val="24"/>
                <w:szCs w:val="21"/>
                <w:u w:val="single"/>
              </w:rPr>
              <w:t>≤60mg/m</w:t>
            </w:r>
            <w:r>
              <w:rPr>
                <w:sz w:val="24"/>
                <w:szCs w:val="21"/>
                <w:u w:val="single"/>
                <w:vertAlign w:val="superscript"/>
              </w:rPr>
              <w:t>3</w:t>
            </w:r>
            <w:r>
              <w:rPr>
                <w:rFonts w:hint="eastAsia"/>
                <w:sz w:val="24"/>
                <w:szCs w:val="21"/>
                <w:u w:val="single"/>
              </w:rPr>
              <w:t>）的要求。同时项目所采用技术不属于单一吸附、催化氧化等处理技术，</w:t>
            </w:r>
            <w:r>
              <w:rPr>
                <w:rFonts w:hint="eastAsia"/>
                <w:sz w:val="24"/>
                <w:szCs w:val="21"/>
                <w:u w:val="single"/>
                <w:lang w:val="en-US" w:eastAsia="zh-CN"/>
              </w:rPr>
              <w:t>因此，</w:t>
            </w:r>
            <w:r>
              <w:rPr>
                <w:rFonts w:hint="eastAsia"/>
                <w:sz w:val="24"/>
                <w:szCs w:val="21"/>
                <w:u w:val="single"/>
              </w:rPr>
              <w:t>本项目产生的非甲烷总烃采用“活性炭吸附-脱附+催化燃烧装置”处理，为可行技术。</w:t>
            </w:r>
          </w:p>
          <w:p w14:paraId="748DB59F">
            <w:pPr>
              <w:autoSpaceDE w:val="0"/>
              <w:autoSpaceDN w:val="0"/>
              <w:adjustRightInd w:val="0"/>
              <w:spacing w:line="360" w:lineRule="auto"/>
              <w:ind w:firstLine="480" w:firstLineChars="200"/>
              <w:rPr>
                <w:sz w:val="24"/>
                <w:szCs w:val="21"/>
              </w:rPr>
            </w:pPr>
            <w:r>
              <w:rPr>
                <w:rFonts w:hint="eastAsia"/>
                <w:sz w:val="24"/>
                <w:szCs w:val="21"/>
              </w:rPr>
              <w:t>综上，</w:t>
            </w:r>
            <w:r>
              <w:rPr>
                <w:sz w:val="24"/>
                <w:szCs w:val="21"/>
              </w:rPr>
              <w:t>本项目废气处理措施是可行</w:t>
            </w:r>
            <w:r>
              <w:rPr>
                <w:rFonts w:hint="eastAsia"/>
                <w:sz w:val="24"/>
                <w:szCs w:val="21"/>
              </w:rPr>
              <w:t>的</w:t>
            </w:r>
            <w:r>
              <w:rPr>
                <w:sz w:val="24"/>
              </w:rPr>
              <w:t>。</w:t>
            </w:r>
          </w:p>
          <w:p w14:paraId="1432531A">
            <w:pPr>
              <w:spacing w:line="360" w:lineRule="auto"/>
              <w:ind w:firstLine="482" w:firstLineChars="200"/>
              <w:rPr>
                <w:b/>
                <w:sz w:val="24"/>
              </w:rPr>
            </w:pPr>
            <w:r>
              <w:rPr>
                <w:rFonts w:hint="eastAsia"/>
                <w:b/>
                <w:sz w:val="24"/>
              </w:rPr>
              <w:t>1.3非正常情况排放</w:t>
            </w:r>
          </w:p>
          <w:p w14:paraId="1E294376">
            <w:pPr>
              <w:spacing w:line="360" w:lineRule="auto"/>
              <w:ind w:firstLine="480" w:firstLineChars="200"/>
              <w:rPr>
                <w:sz w:val="24"/>
              </w:rPr>
            </w:pPr>
            <w:r>
              <w:rPr>
                <w:rFonts w:hint="eastAsia"/>
                <w:sz w:val="24"/>
              </w:rPr>
              <w:t>非正常排放包括开停车、设备故障和检修、生产装置和环保设施达不到设计参数等情况的排污。</w:t>
            </w:r>
          </w:p>
          <w:p w14:paraId="12BC445B">
            <w:pPr>
              <w:spacing w:line="360" w:lineRule="auto"/>
              <w:ind w:firstLine="480" w:firstLineChars="200"/>
              <w:rPr>
                <w:sz w:val="24"/>
              </w:rPr>
            </w:pPr>
            <w:r>
              <w:rPr>
                <w:rFonts w:hint="eastAsia"/>
                <w:sz w:val="24"/>
              </w:rPr>
              <w:t>（1）开、停车及故障检修</w:t>
            </w:r>
          </w:p>
          <w:p w14:paraId="6EBF4236">
            <w:pPr>
              <w:spacing w:line="360" w:lineRule="auto"/>
              <w:ind w:firstLine="480" w:firstLineChars="200"/>
              <w:rPr>
                <w:sz w:val="24"/>
              </w:rPr>
            </w:pPr>
            <w:r>
              <w:rPr>
                <w:rFonts w:hint="eastAsia"/>
                <w:sz w:val="24"/>
              </w:rPr>
              <w:t>开、停车及设备故障时若处置不当会造成污染物直接排放并造成较重污染，项目废气治理设施均为电子自动控制，设施启动前环保设施自动开启，设施停车后继续运行一段时间后自动关闭，确保在开、停车排出污染物均得到有效处理。</w:t>
            </w:r>
          </w:p>
          <w:p w14:paraId="540E0867">
            <w:pPr>
              <w:spacing w:line="360" w:lineRule="auto"/>
              <w:ind w:firstLine="480" w:firstLineChars="200"/>
              <w:rPr>
                <w:sz w:val="24"/>
              </w:rPr>
            </w:pPr>
            <w:r>
              <w:rPr>
                <w:rFonts w:hint="eastAsia"/>
                <w:sz w:val="24"/>
              </w:rPr>
              <w:t>在运行期间，当出现设备故时废气可通过收集处理设备的风机抽出，不会通过其他途径进入大气环境。</w:t>
            </w:r>
          </w:p>
          <w:p w14:paraId="7A57EB91">
            <w:pPr>
              <w:spacing w:line="360" w:lineRule="auto"/>
              <w:ind w:firstLine="480" w:firstLineChars="200"/>
              <w:rPr>
                <w:sz w:val="24"/>
              </w:rPr>
            </w:pPr>
            <w:r>
              <w:rPr>
                <w:rFonts w:hint="eastAsia"/>
                <w:sz w:val="24"/>
              </w:rPr>
              <w:t>设备故障检修时企业必须做到先停止物料供应，所有的废气处理装置继续运转，待工艺中的废气排出之后才逐台关闭。以保证设备内部污染物得到有效处理，避免非正常排放情况出现。</w:t>
            </w:r>
          </w:p>
          <w:p w14:paraId="794191B1">
            <w:pPr>
              <w:spacing w:line="360" w:lineRule="auto"/>
              <w:ind w:firstLine="480" w:firstLineChars="200"/>
              <w:rPr>
                <w:sz w:val="24"/>
              </w:rPr>
            </w:pPr>
            <w:r>
              <w:rPr>
                <w:rFonts w:hint="eastAsia"/>
                <w:sz w:val="24"/>
              </w:rPr>
              <w:t>（2）环保处理设施故障</w:t>
            </w:r>
          </w:p>
          <w:p w14:paraId="3578FF24">
            <w:pPr>
              <w:spacing w:line="360" w:lineRule="auto"/>
              <w:ind w:firstLine="480" w:firstLineChars="200"/>
              <w:rPr>
                <w:sz w:val="24"/>
              </w:rPr>
            </w:pPr>
            <w:r>
              <w:rPr>
                <w:rFonts w:hint="eastAsia"/>
                <w:sz w:val="24"/>
              </w:rPr>
              <w:t>本项目废气主要为中空工艺有机废气和危废间废气，在废气收集或处理设施失效的情况下，项目废气会出现非正常排放工况，以活性炭吸附-脱附+催化燃烧装置发生故障时，对非正常排放进行分析，其排放量如下表所示。</w:t>
            </w:r>
          </w:p>
          <w:p w14:paraId="05C9E45C">
            <w:pPr>
              <w:pStyle w:val="137"/>
              <w:numPr>
                <w:ilvl w:val="0"/>
                <w:numId w:val="7"/>
              </w:numPr>
              <w:adjustRightInd w:val="0"/>
              <w:snapToGrid w:val="0"/>
              <w:ind w:firstLineChars="0"/>
              <w:jc w:val="center"/>
              <w:rPr>
                <w:b/>
                <w:szCs w:val="21"/>
              </w:rPr>
            </w:pPr>
            <w:r>
              <w:rPr>
                <w:b/>
                <w:szCs w:val="21"/>
              </w:rPr>
              <w:t>非正常排放量核算表</w:t>
            </w:r>
          </w:p>
          <w:tbl>
            <w:tblPr>
              <w:tblStyle w:val="38"/>
              <w:tblW w:w="788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50"/>
              <w:gridCol w:w="1431"/>
              <w:gridCol w:w="791"/>
              <w:gridCol w:w="787"/>
              <w:gridCol w:w="1134"/>
              <w:gridCol w:w="1134"/>
              <w:gridCol w:w="856"/>
              <w:gridCol w:w="799"/>
            </w:tblGrid>
            <w:tr w14:paraId="4A3F4F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6" w:hRule="atLeast"/>
                <w:tblHeader/>
                <w:jc w:val="center"/>
              </w:trPr>
              <w:tc>
                <w:tcPr>
                  <w:tcW w:w="950" w:type="dxa"/>
                  <w:vAlign w:val="center"/>
                </w:tcPr>
                <w:p w14:paraId="2F43028B">
                  <w:pPr>
                    <w:autoSpaceDE w:val="0"/>
                    <w:autoSpaceDN w:val="0"/>
                    <w:jc w:val="center"/>
                    <w:rPr>
                      <w:b/>
                      <w:szCs w:val="21"/>
                    </w:rPr>
                  </w:pPr>
                  <w:r>
                    <w:rPr>
                      <w:b/>
                      <w:szCs w:val="21"/>
                    </w:rPr>
                    <w:t>污染源</w:t>
                  </w:r>
                </w:p>
              </w:tc>
              <w:tc>
                <w:tcPr>
                  <w:tcW w:w="1431" w:type="dxa"/>
                  <w:vAlign w:val="center"/>
                </w:tcPr>
                <w:p w14:paraId="65A25B1A">
                  <w:pPr>
                    <w:autoSpaceDE w:val="0"/>
                    <w:autoSpaceDN w:val="0"/>
                    <w:jc w:val="center"/>
                    <w:rPr>
                      <w:b/>
                      <w:szCs w:val="21"/>
                    </w:rPr>
                  </w:pPr>
                  <w:r>
                    <w:rPr>
                      <w:b/>
                      <w:szCs w:val="21"/>
                    </w:rPr>
                    <w:t>非正常排放原因</w:t>
                  </w:r>
                </w:p>
              </w:tc>
              <w:tc>
                <w:tcPr>
                  <w:tcW w:w="791" w:type="dxa"/>
                  <w:vAlign w:val="center"/>
                </w:tcPr>
                <w:p w14:paraId="1A8542D6">
                  <w:pPr>
                    <w:autoSpaceDE w:val="0"/>
                    <w:autoSpaceDN w:val="0"/>
                    <w:jc w:val="center"/>
                    <w:rPr>
                      <w:szCs w:val="21"/>
                    </w:rPr>
                  </w:pPr>
                  <w:r>
                    <w:rPr>
                      <w:b/>
                      <w:szCs w:val="21"/>
                    </w:rPr>
                    <w:t>污染物</w:t>
                  </w:r>
                </w:p>
              </w:tc>
              <w:tc>
                <w:tcPr>
                  <w:tcW w:w="787" w:type="dxa"/>
                  <w:vAlign w:val="center"/>
                </w:tcPr>
                <w:p w14:paraId="1DB59297">
                  <w:pPr>
                    <w:autoSpaceDE w:val="0"/>
                    <w:autoSpaceDN w:val="0"/>
                    <w:jc w:val="center"/>
                    <w:rPr>
                      <w:b/>
                      <w:szCs w:val="21"/>
                    </w:rPr>
                  </w:pPr>
                  <w:r>
                    <w:rPr>
                      <w:b/>
                      <w:szCs w:val="21"/>
                    </w:rPr>
                    <w:t>去除效率</w:t>
                  </w:r>
                  <w:r>
                    <w:rPr>
                      <w:rFonts w:hint="eastAsia"/>
                      <w:b/>
                      <w:szCs w:val="21"/>
                    </w:rPr>
                    <w:t>%</w:t>
                  </w:r>
                </w:p>
              </w:tc>
              <w:tc>
                <w:tcPr>
                  <w:tcW w:w="1134" w:type="dxa"/>
                  <w:vAlign w:val="center"/>
                </w:tcPr>
                <w:p w14:paraId="7092D389">
                  <w:pPr>
                    <w:autoSpaceDE w:val="0"/>
                    <w:autoSpaceDN w:val="0"/>
                    <w:jc w:val="center"/>
                    <w:rPr>
                      <w:b/>
                      <w:szCs w:val="21"/>
                    </w:rPr>
                  </w:pPr>
                  <w:r>
                    <w:rPr>
                      <w:b/>
                      <w:szCs w:val="21"/>
                    </w:rPr>
                    <w:t>非正常排放浓度（</w:t>
                  </w:r>
                  <w:r>
                    <w:rPr>
                      <w:rFonts w:hint="eastAsia"/>
                      <w:b/>
                      <w:bCs/>
                      <w:kern w:val="0"/>
                      <w:szCs w:val="21"/>
                      <w:lang w:bidi="ar"/>
                    </w:rPr>
                    <w:t>m</w:t>
                  </w:r>
                  <w:r>
                    <w:rPr>
                      <w:b/>
                      <w:bCs/>
                      <w:kern w:val="0"/>
                      <w:szCs w:val="21"/>
                      <w:lang w:bidi="ar"/>
                    </w:rPr>
                    <w:t>g/m</w:t>
                  </w:r>
                  <w:r>
                    <w:rPr>
                      <w:b/>
                      <w:bCs/>
                      <w:kern w:val="0"/>
                      <w:szCs w:val="21"/>
                      <w:vertAlign w:val="superscript"/>
                      <w:lang w:bidi="ar"/>
                    </w:rPr>
                    <w:t>3</w:t>
                  </w:r>
                  <w:r>
                    <w:rPr>
                      <w:b/>
                      <w:szCs w:val="21"/>
                    </w:rPr>
                    <w:t>）</w:t>
                  </w:r>
                </w:p>
              </w:tc>
              <w:tc>
                <w:tcPr>
                  <w:tcW w:w="1134" w:type="dxa"/>
                  <w:vAlign w:val="center"/>
                </w:tcPr>
                <w:p w14:paraId="7632A389">
                  <w:pPr>
                    <w:autoSpaceDE w:val="0"/>
                    <w:autoSpaceDN w:val="0"/>
                    <w:jc w:val="center"/>
                    <w:rPr>
                      <w:b/>
                      <w:szCs w:val="21"/>
                    </w:rPr>
                  </w:pPr>
                  <w:r>
                    <w:rPr>
                      <w:b/>
                      <w:szCs w:val="21"/>
                    </w:rPr>
                    <w:t>非正常排放速率（kg/h）</w:t>
                  </w:r>
                </w:p>
              </w:tc>
              <w:tc>
                <w:tcPr>
                  <w:tcW w:w="856" w:type="dxa"/>
                  <w:vAlign w:val="center"/>
                </w:tcPr>
                <w:p w14:paraId="429BEA47">
                  <w:pPr>
                    <w:autoSpaceDE w:val="0"/>
                    <w:autoSpaceDN w:val="0"/>
                    <w:jc w:val="center"/>
                    <w:rPr>
                      <w:b/>
                      <w:szCs w:val="21"/>
                    </w:rPr>
                  </w:pPr>
                  <w:r>
                    <w:rPr>
                      <w:b/>
                      <w:szCs w:val="21"/>
                    </w:rPr>
                    <w:t>单次持续时间/min</w:t>
                  </w:r>
                </w:p>
              </w:tc>
              <w:tc>
                <w:tcPr>
                  <w:tcW w:w="799" w:type="dxa"/>
                  <w:vAlign w:val="center"/>
                </w:tcPr>
                <w:p w14:paraId="0920410F">
                  <w:pPr>
                    <w:autoSpaceDE w:val="0"/>
                    <w:autoSpaceDN w:val="0"/>
                    <w:jc w:val="center"/>
                    <w:rPr>
                      <w:b/>
                      <w:szCs w:val="21"/>
                    </w:rPr>
                  </w:pPr>
                  <w:r>
                    <w:rPr>
                      <w:b/>
                      <w:szCs w:val="21"/>
                    </w:rPr>
                    <w:t>年发生频次/次</w:t>
                  </w:r>
                </w:p>
              </w:tc>
            </w:tr>
            <w:tr w14:paraId="014643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950" w:type="dxa"/>
                  <w:vAlign w:val="center"/>
                </w:tcPr>
                <w:p w14:paraId="27D568C0">
                  <w:pPr>
                    <w:autoSpaceDE w:val="0"/>
                    <w:autoSpaceDN w:val="0"/>
                    <w:jc w:val="center"/>
                    <w:rPr>
                      <w:szCs w:val="21"/>
                    </w:rPr>
                  </w:pPr>
                  <w:r>
                    <w:rPr>
                      <w:rFonts w:hint="eastAsia"/>
                      <w:szCs w:val="21"/>
                    </w:rPr>
                    <w:t>中空工序有机废气及危废间废气DA001</w:t>
                  </w:r>
                </w:p>
              </w:tc>
              <w:tc>
                <w:tcPr>
                  <w:tcW w:w="1431" w:type="dxa"/>
                  <w:vAlign w:val="center"/>
                </w:tcPr>
                <w:p w14:paraId="003C5652">
                  <w:pPr>
                    <w:autoSpaceDE w:val="0"/>
                    <w:autoSpaceDN w:val="0"/>
                    <w:jc w:val="center"/>
                    <w:rPr>
                      <w:szCs w:val="21"/>
                    </w:rPr>
                  </w:pPr>
                  <w:r>
                    <w:rPr>
                      <w:rFonts w:hint="eastAsia"/>
                      <w:szCs w:val="21"/>
                    </w:rPr>
                    <w:t>活性炭吸附-脱附+催化燃烧装置故障，活性炭未及时脱附，处理效率降低</w:t>
                  </w:r>
                </w:p>
              </w:tc>
              <w:tc>
                <w:tcPr>
                  <w:tcW w:w="791" w:type="dxa"/>
                  <w:vAlign w:val="center"/>
                </w:tcPr>
                <w:p w14:paraId="3A3EF5EC">
                  <w:pPr>
                    <w:autoSpaceDE w:val="0"/>
                    <w:autoSpaceDN w:val="0"/>
                    <w:jc w:val="center"/>
                    <w:rPr>
                      <w:szCs w:val="21"/>
                    </w:rPr>
                  </w:pPr>
                  <w:r>
                    <w:rPr>
                      <w:rFonts w:hint="eastAsia"/>
                      <w:szCs w:val="21"/>
                    </w:rPr>
                    <w:t>非甲烷总烃</w:t>
                  </w:r>
                </w:p>
              </w:tc>
              <w:tc>
                <w:tcPr>
                  <w:tcW w:w="787" w:type="dxa"/>
                  <w:vAlign w:val="center"/>
                </w:tcPr>
                <w:p w14:paraId="7BCFCE9B">
                  <w:pPr>
                    <w:autoSpaceDE w:val="0"/>
                    <w:autoSpaceDN w:val="0"/>
                    <w:jc w:val="center"/>
                    <w:rPr>
                      <w:rFonts w:hint="eastAsia"/>
                      <w:szCs w:val="21"/>
                    </w:rPr>
                  </w:pPr>
                  <w:r>
                    <w:rPr>
                      <w:rFonts w:hint="eastAsia"/>
                      <w:szCs w:val="21"/>
                    </w:rPr>
                    <w:t>50</w:t>
                  </w:r>
                </w:p>
              </w:tc>
              <w:tc>
                <w:tcPr>
                  <w:tcW w:w="1134" w:type="dxa"/>
                  <w:vAlign w:val="center"/>
                </w:tcPr>
                <w:p w14:paraId="2253CE8F">
                  <w:pPr>
                    <w:autoSpaceDE w:val="0"/>
                    <w:autoSpaceDN w:val="0"/>
                    <w:jc w:val="center"/>
                    <w:rPr>
                      <w:rFonts w:hint="default" w:eastAsia="宋体"/>
                      <w:szCs w:val="21"/>
                      <w:lang w:val="en-US" w:eastAsia="zh-CN"/>
                    </w:rPr>
                  </w:pPr>
                  <w:r>
                    <w:rPr>
                      <w:rFonts w:hint="eastAsia"/>
                      <w:szCs w:val="21"/>
                      <w:lang w:val="en-US" w:eastAsia="zh-CN"/>
                    </w:rPr>
                    <w:t>8.86</w:t>
                  </w:r>
                </w:p>
              </w:tc>
              <w:tc>
                <w:tcPr>
                  <w:tcW w:w="1134" w:type="dxa"/>
                  <w:vAlign w:val="center"/>
                </w:tcPr>
                <w:p w14:paraId="185B0191">
                  <w:pPr>
                    <w:autoSpaceDE w:val="0"/>
                    <w:autoSpaceDN w:val="0"/>
                    <w:jc w:val="center"/>
                    <w:rPr>
                      <w:rFonts w:hint="default" w:eastAsia="宋体"/>
                      <w:szCs w:val="21"/>
                      <w:lang w:val="en-US" w:eastAsia="zh-CN"/>
                    </w:rPr>
                  </w:pPr>
                  <w:r>
                    <w:rPr>
                      <w:rFonts w:hint="eastAsia"/>
                      <w:szCs w:val="21"/>
                      <w:lang w:val="en-US" w:eastAsia="zh-CN"/>
                    </w:rPr>
                    <w:t>0.115</w:t>
                  </w:r>
                </w:p>
              </w:tc>
              <w:tc>
                <w:tcPr>
                  <w:tcW w:w="856" w:type="dxa"/>
                  <w:vAlign w:val="center"/>
                </w:tcPr>
                <w:p w14:paraId="09173470">
                  <w:pPr>
                    <w:autoSpaceDE w:val="0"/>
                    <w:autoSpaceDN w:val="0"/>
                    <w:jc w:val="center"/>
                    <w:rPr>
                      <w:szCs w:val="21"/>
                    </w:rPr>
                  </w:pPr>
                  <w:r>
                    <w:rPr>
                      <w:rFonts w:hint="eastAsia"/>
                      <w:szCs w:val="21"/>
                    </w:rPr>
                    <w:t>60</w:t>
                  </w:r>
                </w:p>
              </w:tc>
              <w:tc>
                <w:tcPr>
                  <w:tcW w:w="799" w:type="dxa"/>
                  <w:vAlign w:val="center"/>
                </w:tcPr>
                <w:p w14:paraId="64A04758">
                  <w:pPr>
                    <w:autoSpaceDE w:val="0"/>
                    <w:autoSpaceDN w:val="0"/>
                    <w:jc w:val="center"/>
                    <w:rPr>
                      <w:szCs w:val="21"/>
                    </w:rPr>
                  </w:pPr>
                  <w:r>
                    <w:rPr>
                      <w:rFonts w:hint="eastAsia"/>
                      <w:szCs w:val="21"/>
                    </w:rPr>
                    <w:t>1</w:t>
                  </w:r>
                </w:p>
              </w:tc>
            </w:tr>
          </w:tbl>
          <w:p w14:paraId="2D984CF7">
            <w:pPr>
              <w:spacing w:line="360" w:lineRule="auto"/>
              <w:ind w:firstLine="480" w:firstLineChars="200"/>
              <w:rPr>
                <w:sz w:val="24"/>
              </w:rPr>
            </w:pPr>
            <w:r>
              <w:rPr>
                <w:rFonts w:hint="eastAsia"/>
                <w:sz w:val="24"/>
              </w:rPr>
              <w:t>由上表可知，由于环保设施发生故障设备运转异常，中空工艺产生的有机废气非甲烷总烃非正常排放浓度较大，会对周围环境造成一定影响，因此，项目在营运过程中须加强对环保设施的维护，避免非正常工况的发生。</w:t>
            </w:r>
          </w:p>
          <w:p w14:paraId="290501A3">
            <w:pPr>
              <w:spacing w:line="360" w:lineRule="auto"/>
              <w:ind w:firstLine="480" w:firstLineChars="200"/>
              <w:rPr>
                <w:sz w:val="24"/>
              </w:rPr>
            </w:pPr>
            <w:r>
              <w:rPr>
                <w:rFonts w:hint="eastAsia"/>
                <w:sz w:val="24"/>
              </w:rPr>
              <w:t>为保证项目生产过程的正常运行，减少废气非正常排放发生，本次评价要求企业在生产过程中做好日常的检修工作，保证生产设备和环保设施的正常运行。企业要严格做到以下要求：</w:t>
            </w:r>
          </w:p>
          <w:p w14:paraId="65E80B43">
            <w:pPr>
              <w:spacing w:line="360" w:lineRule="auto"/>
              <w:ind w:firstLine="480" w:firstLineChars="200"/>
              <w:rPr>
                <w:sz w:val="24"/>
              </w:rPr>
            </w:pPr>
            <w:r>
              <w:rPr>
                <w:rFonts w:hint="eastAsia"/>
                <w:sz w:val="24"/>
              </w:rPr>
              <w:t>①由公司委派专人负责每日巡检废气处理装置，做好巡检记录。</w:t>
            </w:r>
          </w:p>
          <w:p w14:paraId="0F63AAE3">
            <w:pPr>
              <w:spacing w:line="360" w:lineRule="auto"/>
              <w:ind w:firstLine="480" w:firstLineChars="200"/>
              <w:rPr>
                <w:sz w:val="24"/>
              </w:rPr>
            </w:pPr>
            <w:r>
              <w:rPr>
                <w:rFonts w:hint="eastAsia"/>
                <w:sz w:val="24"/>
              </w:rPr>
              <w:t>②当发现废气处理设施故障并导致废气非正常排放时，应立即停止生产，待废气处理装置故障排除后并可正常运行时方可恢复生产。</w:t>
            </w:r>
          </w:p>
          <w:p w14:paraId="271CD536">
            <w:pPr>
              <w:spacing w:line="360" w:lineRule="auto"/>
              <w:ind w:firstLine="480" w:firstLineChars="200"/>
              <w:rPr>
                <w:sz w:val="24"/>
              </w:rPr>
            </w:pPr>
            <w:r>
              <w:rPr>
                <w:rFonts w:hint="eastAsia"/>
                <w:sz w:val="24"/>
              </w:rPr>
              <w:t>③按照环评要求定期对废气处理装置进行维护保养，保证废气处理装置的正常运行，以减少废气的非正常排放。</w:t>
            </w:r>
          </w:p>
          <w:p w14:paraId="55F5096E">
            <w:pPr>
              <w:spacing w:line="360" w:lineRule="auto"/>
              <w:ind w:firstLine="480" w:firstLineChars="200"/>
              <w:rPr>
                <w:sz w:val="24"/>
              </w:rPr>
            </w:pPr>
            <w:r>
              <w:rPr>
                <w:rFonts w:hint="eastAsia"/>
                <w:sz w:val="24"/>
              </w:rPr>
              <w:t>企业在运营期间，充分做好相应的应急准备，严格按照要求实施，可以减小项目废气非正常排放下对周围大气环境的影响。</w:t>
            </w:r>
          </w:p>
          <w:p w14:paraId="1600B7B9">
            <w:pPr>
              <w:spacing w:line="360" w:lineRule="auto"/>
              <w:ind w:firstLine="482" w:firstLineChars="200"/>
              <w:rPr>
                <w:b/>
                <w:sz w:val="24"/>
              </w:rPr>
            </w:pPr>
            <w:r>
              <w:rPr>
                <w:rFonts w:hint="eastAsia"/>
                <w:b/>
                <w:sz w:val="24"/>
              </w:rPr>
              <w:t>1.4自行监测要求</w:t>
            </w:r>
          </w:p>
          <w:p w14:paraId="7F763D66">
            <w:pPr>
              <w:spacing w:line="360" w:lineRule="auto"/>
              <w:ind w:firstLine="480" w:firstLineChars="200"/>
              <w:rPr>
                <w:b/>
                <w:szCs w:val="21"/>
              </w:rPr>
            </w:pPr>
            <w:r>
              <w:rPr>
                <w:rFonts w:hint="eastAsia"/>
                <w:sz w:val="24"/>
              </w:rPr>
              <w:t>根据《排污单位自行监测技术指南 总则》（HJ819-2017），本项目废气自行</w:t>
            </w:r>
            <w:r>
              <w:rPr>
                <w:sz w:val="24"/>
              </w:rPr>
              <w:t>监测要求见</w:t>
            </w:r>
            <w:r>
              <w:rPr>
                <w:rFonts w:hint="eastAsia"/>
                <w:sz w:val="24"/>
              </w:rPr>
              <w:t>下表</w:t>
            </w:r>
            <w:r>
              <w:rPr>
                <w:sz w:val="24"/>
              </w:rPr>
              <w:t>。</w:t>
            </w:r>
          </w:p>
          <w:p w14:paraId="05887146">
            <w:pPr>
              <w:pStyle w:val="137"/>
              <w:numPr>
                <w:ilvl w:val="0"/>
                <w:numId w:val="7"/>
              </w:numPr>
              <w:adjustRightInd w:val="0"/>
              <w:snapToGrid w:val="0"/>
              <w:ind w:firstLineChars="0"/>
              <w:jc w:val="center"/>
              <w:rPr>
                <w:b/>
                <w:szCs w:val="21"/>
              </w:rPr>
            </w:pPr>
            <w:r>
              <w:rPr>
                <w:rFonts w:hint="eastAsia"/>
                <w:b/>
                <w:szCs w:val="21"/>
              </w:rPr>
              <w:t>本项目</w:t>
            </w:r>
            <w:r>
              <w:rPr>
                <w:b/>
                <w:szCs w:val="21"/>
              </w:rPr>
              <w:t>废气监测点位、监测指标及最低监测频次</w:t>
            </w:r>
          </w:p>
          <w:tbl>
            <w:tblPr>
              <w:tblStyle w:val="38"/>
              <w:tblW w:w="801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10"/>
              <w:gridCol w:w="1525"/>
              <w:gridCol w:w="1181"/>
              <w:gridCol w:w="1134"/>
              <w:gridCol w:w="3565"/>
            </w:tblGrid>
            <w:tr w14:paraId="7E5963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135" w:type="dxa"/>
                  <w:gridSpan w:val="2"/>
                  <w:vAlign w:val="center"/>
                </w:tcPr>
                <w:p w14:paraId="114AE680">
                  <w:pPr>
                    <w:adjustRightInd w:val="0"/>
                    <w:snapToGrid w:val="0"/>
                    <w:jc w:val="center"/>
                    <w:rPr>
                      <w:b/>
                      <w:bCs/>
                      <w:szCs w:val="21"/>
                    </w:rPr>
                  </w:pPr>
                  <w:r>
                    <w:rPr>
                      <w:b/>
                      <w:bCs/>
                      <w:szCs w:val="21"/>
                    </w:rPr>
                    <w:t>监测点位</w:t>
                  </w:r>
                </w:p>
              </w:tc>
              <w:tc>
                <w:tcPr>
                  <w:tcW w:w="1181" w:type="dxa"/>
                  <w:vAlign w:val="center"/>
                </w:tcPr>
                <w:p w14:paraId="43EC1F86">
                  <w:pPr>
                    <w:adjustRightInd w:val="0"/>
                    <w:snapToGrid w:val="0"/>
                    <w:jc w:val="center"/>
                    <w:rPr>
                      <w:b/>
                      <w:bCs/>
                      <w:szCs w:val="21"/>
                    </w:rPr>
                  </w:pPr>
                  <w:r>
                    <w:rPr>
                      <w:b/>
                      <w:bCs/>
                      <w:szCs w:val="21"/>
                    </w:rPr>
                    <w:t>监测指标</w:t>
                  </w:r>
                </w:p>
              </w:tc>
              <w:tc>
                <w:tcPr>
                  <w:tcW w:w="1134" w:type="dxa"/>
                  <w:vAlign w:val="center"/>
                </w:tcPr>
                <w:p w14:paraId="651E6EC7">
                  <w:pPr>
                    <w:adjustRightInd w:val="0"/>
                    <w:snapToGrid w:val="0"/>
                    <w:jc w:val="center"/>
                    <w:rPr>
                      <w:b/>
                      <w:bCs/>
                      <w:szCs w:val="21"/>
                    </w:rPr>
                  </w:pPr>
                  <w:r>
                    <w:rPr>
                      <w:b/>
                      <w:bCs/>
                      <w:szCs w:val="21"/>
                    </w:rPr>
                    <w:t>监测频次</w:t>
                  </w:r>
                </w:p>
              </w:tc>
              <w:tc>
                <w:tcPr>
                  <w:tcW w:w="3565" w:type="dxa"/>
                  <w:vAlign w:val="center"/>
                </w:tcPr>
                <w:p w14:paraId="372128E2">
                  <w:pPr>
                    <w:adjustRightInd w:val="0"/>
                    <w:snapToGrid w:val="0"/>
                    <w:jc w:val="center"/>
                    <w:rPr>
                      <w:b/>
                      <w:bCs/>
                      <w:szCs w:val="21"/>
                    </w:rPr>
                  </w:pPr>
                  <w:r>
                    <w:rPr>
                      <w:b/>
                      <w:bCs/>
                      <w:szCs w:val="21"/>
                    </w:rPr>
                    <w:t>执行排放标准</w:t>
                  </w:r>
                </w:p>
              </w:tc>
            </w:tr>
            <w:tr w14:paraId="4226EF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2135" w:type="dxa"/>
                  <w:gridSpan w:val="2"/>
                  <w:vAlign w:val="center"/>
                </w:tcPr>
                <w:p w14:paraId="584C1AB8">
                  <w:pPr>
                    <w:jc w:val="center"/>
                    <w:rPr>
                      <w:szCs w:val="21"/>
                    </w:rPr>
                  </w:pPr>
                  <w:r>
                    <w:rPr>
                      <w:rFonts w:hint="eastAsia"/>
                      <w:szCs w:val="21"/>
                    </w:rPr>
                    <w:t>DA001排气筒</w:t>
                  </w:r>
                </w:p>
              </w:tc>
              <w:tc>
                <w:tcPr>
                  <w:tcW w:w="1181" w:type="dxa"/>
                  <w:vAlign w:val="center"/>
                </w:tcPr>
                <w:p w14:paraId="797380F9">
                  <w:pPr>
                    <w:adjustRightInd w:val="0"/>
                    <w:snapToGrid w:val="0"/>
                    <w:jc w:val="center"/>
                    <w:rPr>
                      <w:szCs w:val="21"/>
                    </w:rPr>
                  </w:pPr>
                  <w:r>
                    <w:rPr>
                      <w:rFonts w:hint="eastAsia"/>
                      <w:szCs w:val="21"/>
                    </w:rPr>
                    <w:t>非甲烷总烃</w:t>
                  </w:r>
                </w:p>
              </w:tc>
              <w:tc>
                <w:tcPr>
                  <w:tcW w:w="1134" w:type="dxa"/>
                  <w:vAlign w:val="center"/>
                </w:tcPr>
                <w:p w14:paraId="72660BF2">
                  <w:pPr>
                    <w:adjustRightInd w:val="0"/>
                    <w:snapToGrid w:val="0"/>
                    <w:jc w:val="center"/>
                    <w:rPr>
                      <w:szCs w:val="21"/>
                    </w:rPr>
                  </w:pPr>
                  <w:r>
                    <w:rPr>
                      <w:szCs w:val="21"/>
                    </w:rPr>
                    <w:t>1次/年</w:t>
                  </w:r>
                </w:p>
              </w:tc>
              <w:tc>
                <w:tcPr>
                  <w:tcW w:w="3565" w:type="dxa"/>
                  <w:vAlign w:val="center"/>
                </w:tcPr>
                <w:p w14:paraId="0E1FD98E">
                  <w:pPr>
                    <w:adjustRightInd w:val="0"/>
                    <w:snapToGrid w:val="0"/>
                    <w:jc w:val="center"/>
                    <w:rPr>
                      <w:rFonts w:hint="eastAsia" w:eastAsia="宋体"/>
                      <w:szCs w:val="21"/>
                      <w:lang w:eastAsia="zh-CN"/>
                    </w:rPr>
                  </w:pPr>
                  <w:r>
                    <w:rPr>
                      <w:rFonts w:hint="eastAsia"/>
                      <w:szCs w:val="21"/>
                    </w:rPr>
                    <w:t>《玻璃工业大气污染物排放标准》（GB 26453-2022）表1、《关于全省开展工业企业挥发性有机物专项治理工作中排放建议值的通知》（豫环攻坚办〔2017〕162号）及《关于印发〈重污染天气重点行业应急减排措施制定技术指南（2020年修订版）〉的函》（环办大气函〔2020〕340号）中玻璃后加工企业引领性指标</w:t>
                  </w:r>
                  <w:r>
                    <w:rPr>
                      <w:rFonts w:hint="eastAsia"/>
                      <w:szCs w:val="21"/>
                      <w:lang w:eastAsia="zh-CN"/>
                    </w:rPr>
                    <w:t>（</w:t>
                  </w:r>
                  <w:r>
                    <w:rPr>
                      <w:rFonts w:hint="eastAsia"/>
                      <w:szCs w:val="21"/>
                      <w:lang w:val="en-US" w:eastAsia="zh-CN"/>
                    </w:rPr>
                    <w:t>非甲烷总烃：60</w:t>
                  </w:r>
                  <w:r>
                    <w:rPr>
                      <w:rFonts w:hint="default"/>
                      <w:szCs w:val="21"/>
                    </w:rPr>
                    <w:t>mg/m</w:t>
                  </w:r>
                  <w:r>
                    <w:rPr>
                      <w:rFonts w:hint="default"/>
                      <w:szCs w:val="21"/>
                      <w:vertAlign w:val="superscript"/>
                    </w:rPr>
                    <w:t>3</w:t>
                  </w:r>
                  <w:r>
                    <w:rPr>
                      <w:rFonts w:hint="eastAsia"/>
                      <w:szCs w:val="21"/>
                      <w:lang w:eastAsia="zh-CN"/>
                    </w:rPr>
                    <w:t>）</w:t>
                  </w:r>
                </w:p>
              </w:tc>
            </w:tr>
            <w:tr w14:paraId="210DA4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610" w:type="dxa"/>
                  <w:vMerge w:val="restart"/>
                  <w:vAlign w:val="center"/>
                </w:tcPr>
                <w:p w14:paraId="4E91C682">
                  <w:pPr>
                    <w:adjustRightInd w:val="0"/>
                    <w:snapToGrid w:val="0"/>
                    <w:jc w:val="center"/>
                    <w:rPr>
                      <w:rFonts w:hint="default" w:eastAsia="宋体"/>
                      <w:szCs w:val="21"/>
                      <w:lang w:val="en-US" w:eastAsia="zh-CN"/>
                    </w:rPr>
                  </w:pPr>
                  <w:r>
                    <w:rPr>
                      <w:rFonts w:hint="eastAsia"/>
                      <w:szCs w:val="21"/>
                      <w:lang w:val="en-US" w:eastAsia="zh-CN"/>
                    </w:rPr>
                    <w:t>无组织废气</w:t>
                  </w:r>
                </w:p>
              </w:tc>
              <w:tc>
                <w:tcPr>
                  <w:tcW w:w="1525" w:type="dxa"/>
                  <w:vAlign w:val="center"/>
                </w:tcPr>
                <w:p w14:paraId="412C6E7F">
                  <w:pPr>
                    <w:adjustRightInd w:val="0"/>
                    <w:snapToGrid w:val="0"/>
                    <w:jc w:val="center"/>
                    <w:rPr>
                      <w:szCs w:val="21"/>
                    </w:rPr>
                  </w:pPr>
                  <w:r>
                    <w:rPr>
                      <w:szCs w:val="21"/>
                    </w:rPr>
                    <w:t>项目厂界四周</w:t>
                  </w:r>
                  <w:r>
                    <w:rPr>
                      <w:rFonts w:hint="eastAsia"/>
                      <w:szCs w:val="21"/>
                    </w:rPr>
                    <w:t>（上风向1个，下风向3个）</w:t>
                  </w:r>
                </w:p>
              </w:tc>
              <w:tc>
                <w:tcPr>
                  <w:tcW w:w="1181" w:type="dxa"/>
                  <w:vAlign w:val="center"/>
                </w:tcPr>
                <w:p w14:paraId="2C01771F">
                  <w:pPr>
                    <w:adjustRightInd w:val="0"/>
                    <w:snapToGrid w:val="0"/>
                    <w:jc w:val="center"/>
                    <w:rPr>
                      <w:szCs w:val="21"/>
                    </w:rPr>
                  </w:pPr>
                  <w:r>
                    <w:rPr>
                      <w:rFonts w:hint="eastAsia"/>
                      <w:szCs w:val="21"/>
                    </w:rPr>
                    <w:t>非甲烷总烃</w:t>
                  </w:r>
                </w:p>
              </w:tc>
              <w:tc>
                <w:tcPr>
                  <w:tcW w:w="1134" w:type="dxa"/>
                  <w:vAlign w:val="center"/>
                </w:tcPr>
                <w:p w14:paraId="40ABD8A7">
                  <w:pPr>
                    <w:adjustRightInd w:val="0"/>
                    <w:snapToGrid w:val="0"/>
                    <w:jc w:val="center"/>
                    <w:rPr>
                      <w:szCs w:val="21"/>
                    </w:rPr>
                  </w:pPr>
                  <w:r>
                    <w:rPr>
                      <w:szCs w:val="21"/>
                    </w:rPr>
                    <w:t>1次/年</w:t>
                  </w:r>
                </w:p>
              </w:tc>
              <w:tc>
                <w:tcPr>
                  <w:tcW w:w="3565" w:type="dxa"/>
                  <w:vMerge w:val="restart"/>
                  <w:vAlign w:val="center"/>
                </w:tcPr>
                <w:p w14:paraId="5C5867A0">
                  <w:pPr>
                    <w:snapToGrid w:val="0"/>
                    <w:jc w:val="center"/>
                    <w:rPr>
                      <w:rFonts w:hint="default" w:eastAsia="宋体"/>
                      <w:szCs w:val="21"/>
                      <w:lang w:val="en-US" w:eastAsia="zh-CN"/>
                    </w:rPr>
                  </w:pPr>
                  <w:r>
                    <w:rPr>
                      <w:rFonts w:hint="eastAsia"/>
                      <w:szCs w:val="21"/>
                      <w:u w:val="single"/>
                    </w:rPr>
                    <w:t>《玻璃工业大气污染物排放标准》（GB26453-2022）表B.1</w:t>
                  </w:r>
                  <w:r>
                    <w:rPr>
                      <w:rFonts w:hint="eastAsia"/>
                      <w:szCs w:val="21"/>
                      <w:u w:val="single"/>
                      <w:lang w:eastAsia="zh-CN"/>
                    </w:rPr>
                    <w:t>（</w:t>
                  </w:r>
                  <w:r>
                    <w:rPr>
                      <w:rFonts w:hint="eastAsia"/>
                      <w:szCs w:val="21"/>
                      <w:u w:val="single"/>
                      <w:lang w:val="en-US" w:eastAsia="zh-CN"/>
                    </w:rPr>
                    <w:t>非甲烷总烃：监控点处1h平均浓度值5</w:t>
                  </w:r>
                  <w:r>
                    <w:rPr>
                      <w:rFonts w:hint="default"/>
                      <w:szCs w:val="21"/>
                      <w:u w:val="single"/>
                    </w:rPr>
                    <w:t>mg/m</w:t>
                  </w:r>
                  <w:r>
                    <w:rPr>
                      <w:rFonts w:hint="default"/>
                      <w:szCs w:val="21"/>
                      <w:u w:val="single"/>
                      <w:vertAlign w:val="superscript"/>
                    </w:rPr>
                    <w:t>3</w:t>
                  </w:r>
                  <w:r>
                    <w:rPr>
                      <w:rFonts w:hint="eastAsia"/>
                      <w:szCs w:val="21"/>
                      <w:u w:val="single"/>
                      <w:vertAlign w:val="baseline"/>
                      <w:lang w:eastAsia="zh-CN"/>
                    </w:rPr>
                    <w:t>、监控点处任意一次浓度值</w:t>
                  </w:r>
                  <w:r>
                    <w:rPr>
                      <w:rFonts w:hint="eastAsia"/>
                      <w:szCs w:val="21"/>
                      <w:u w:val="single"/>
                      <w:vertAlign w:val="baseline"/>
                      <w:lang w:val="en-US" w:eastAsia="zh-CN"/>
                    </w:rPr>
                    <w:t>15</w:t>
                  </w:r>
                  <w:r>
                    <w:rPr>
                      <w:rFonts w:hint="default"/>
                      <w:szCs w:val="21"/>
                      <w:u w:val="single"/>
                    </w:rPr>
                    <w:t>mg/m</w:t>
                  </w:r>
                  <w:r>
                    <w:rPr>
                      <w:rFonts w:hint="default"/>
                      <w:szCs w:val="21"/>
                      <w:u w:val="single"/>
                      <w:vertAlign w:val="superscript"/>
                    </w:rPr>
                    <w:t>3</w:t>
                  </w:r>
                  <w:r>
                    <w:rPr>
                      <w:rFonts w:hint="eastAsia"/>
                      <w:szCs w:val="21"/>
                      <w:u w:val="single"/>
                      <w:vertAlign w:val="baseline"/>
                      <w:lang w:val="en-US" w:eastAsia="zh-CN"/>
                    </w:rPr>
                    <w:t>）、</w:t>
                  </w:r>
                  <w:r>
                    <w:rPr>
                      <w:rFonts w:hint="eastAsia"/>
                      <w:szCs w:val="21"/>
                      <w:u w:val="single"/>
                    </w:rPr>
                    <w:t>《关于全省开展工业企业挥发性有机物专项治理工作中排放建议值的通知》（豫环攻坚办〔2017〕162号）工业企业边界挥发性有机物排放建议值</w:t>
                  </w:r>
                  <w:r>
                    <w:rPr>
                      <w:rFonts w:hint="eastAsia"/>
                      <w:szCs w:val="21"/>
                      <w:u w:val="single"/>
                      <w:lang w:eastAsia="zh-CN"/>
                    </w:rPr>
                    <w:t>（</w:t>
                  </w:r>
                  <w:r>
                    <w:rPr>
                      <w:rFonts w:hint="eastAsia"/>
                      <w:szCs w:val="21"/>
                      <w:u w:val="single"/>
                      <w:lang w:val="en-US" w:eastAsia="zh-CN"/>
                    </w:rPr>
                    <w:t>非甲烷总烃：2.0</w:t>
                  </w:r>
                  <w:r>
                    <w:rPr>
                      <w:rFonts w:hint="default"/>
                      <w:szCs w:val="21"/>
                      <w:u w:val="single"/>
                    </w:rPr>
                    <w:t>mg/m</w:t>
                  </w:r>
                  <w:r>
                    <w:rPr>
                      <w:rFonts w:hint="default"/>
                      <w:szCs w:val="21"/>
                      <w:u w:val="single"/>
                      <w:vertAlign w:val="superscript"/>
                    </w:rPr>
                    <w:t>3</w:t>
                  </w:r>
                  <w:r>
                    <w:rPr>
                      <w:rFonts w:hint="eastAsia"/>
                      <w:szCs w:val="21"/>
                      <w:u w:val="single"/>
                      <w:lang w:eastAsia="zh-CN"/>
                    </w:rPr>
                    <w:t>）</w:t>
                  </w:r>
                </w:p>
              </w:tc>
            </w:tr>
            <w:tr w14:paraId="5820F3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610" w:type="dxa"/>
                  <w:vMerge w:val="continue"/>
                  <w:vAlign w:val="center"/>
                </w:tcPr>
                <w:p w14:paraId="1359C189">
                  <w:pPr>
                    <w:adjustRightInd w:val="0"/>
                    <w:snapToGrid w:val="0"/>
                    <w:jc w:val="center"/>
                    <w:rPr>
                      <w:szCs w:val="21"/>
                    </w:rPr>
                  </w:pPr>
                </w:p>
              </w:tc>
              <w:tc>
                <w:tcPr>
                  <w:tcW w:w="1525" w:type="dxa"/>
                  <w:vAlign w:val="center"/>
                </w:tcPr>
                <w:p w14:paraId="14CA22C8">
                  <w:pPr>
                    <w:adjustRightInd w:val="0"/>
                    <w:snapToGrid w:val="0"/>
                    <w:jc w:val="center"/>
                    <w:rPr>
                      <w:szCs w:val="21"/>
                    </w:rPr>
                  </w:pPr>
                  <w:r>
                    <w:rPr>
                      <w:szCs w:val="21"/>
                    </w:rPr>
                    <w:t>厂区内</w:t>
                  </w:r>
                  <w:r>
                    <w:rPr>
                      <w:rFonts w:hint="eastAsia"/>
                      <w:szCs w:val="21"/>
                    </w:rPr>
                    <w:t>（厂房外监控点）</w:t>
                  </w:r>
                </w:p>
              </w:tc>
              <w:tc>
                <w:tcPr>
                  <w:tcW w:w="1181" w:type="dxa"/>
                  <w:vAlign w:val="center"/>
                </w:tcPr>
                <w:p w14:paraId="3043EE29">
                  <w:pPr>
                    <w:adjustRightInd w:val="0"/>
                    <w:snapToGrid w:val="0"/>
                    <w:jc w:val="center"/>
                    <w:rPr>
                      <w:szCs w:val="21"/>
                    </w:rPr>
                  </w:pPr>
                  <w:r>
                    <w:rPr>
                      <w:rFonts w:hint="eastAsia"/>
                      <w:szCs w:val="21"/>
                    </w:rPr>
                    <w:t>非甲烷总烃</w:t>
                  </w:r>
                </w:p>
              </w:tc>
              <w:tc>
                <w:tcPr>
                  <w:tcW w:w="1134" w:type="dxa"/>
                  <w:vAlign w:val="center"/>
                </w:tcPr>
                <w:p w14:paraId="57DA0480">
                  <w:pPr>
                    <w:adjustRightInd w:val="0"/>
                    <w:snapToGrid w:val="0"/>
                    <w:jc w:val="center"/>
                    <w:rPr>
                      <w:szCs w:val="21"/>
                    </w:rPr>
                  </w:pPr>
                  <w:r>
                    <w:rPr>
                      <w:szCs w:val="21"/>
                    </w:rPr>
                    <w:t>1次/年</w:t>
                  </w:r>
                </w:p>
              </w:tc>
              <w:tc>
                <w:tcPr>
                  <w:tcW w:w="3565" w:type="dxa"/>
                  <w:vMerge w:val="continue"/>
                  <w:vAlign w:val="center"/>
                </w:tcPr>
                <w:p w14:paraId="0F15B76E">
                  <w:pPr>
                    <w:snapToGrid w:val="0"/>
                    <w:jc w:val="center"/>
                    <w:rPr>
                      <w:rFonts w:hint="default" w:eastAsia="宋体"/>
                      <w:szCs w:val="21"/>
                      <w:lang w:val="en-US" w:eastAsia="zh-CN"/>
                    </w:rPr>
                  </w:pPr>
                </w:p>
              </w:tc>
            </w:tr>
          </w:tbl>
          <w:p w14:paraId="2F371904">
            <w:pPr>
              <w:spacing w:line="360" w:lineRule="auto"/>
              <w:ind w:firstLine="482" w:firstLineChars="200"/>
              <w:rPr>
                <w:b/>
                <w:sz w:val="24"/>
              </w:rPr>
            </w:pPr>
            <w:r>
              <w:rPr>
                <w:rFonts w:hint="eastAsia"/>
                <w:b/>
                <w:sz w:val="24"/>
              </w:rPr>
              <w:t>1.5环境影响分析</w:t>
            </w:r>
          </w:p>
          <w:p w14:paraId="30A9A81B">
            <w:pPr>
              <w:adjustRightInd w:val="0"/>
              <w:snapToGrid w:val="0"/>
              <w:spacing w:line="360" w:lineRule="auto"/>
              <w:ind w:firstLine="480" w:firstLineChars="200"/>
              <w:rPr>
                <w:sz w:val="24"/>
              </w:rPr>
            </w:pPr>
            <w:r>
              <w:rPr>
                <w:rFonts w:hint="eastAsia"/>
                <w:sz w:val="24"/>
              </w:rPr>
              <w:t>项目所在区域为大气环境质量不达标区域，区域污染物环境质量存在不达标情况，无法满足《环境空气质量标准》(GB3095-2012)表1中二级标准。厂界外500m范围内存在2个大气环境保护目标，最近敏感点为东南侧220m的柳格镇。根据工程分析废气污染物产排分析，本项目中空工艺有机废气及危废间废气经活性炭吸附-脱附+催化燃烧装置处理后非甲烷总烃排放浓度能够满足《玻璃工业大气污染物排放标准》（GB 26453-2022）表1、《关于全省开展工业企业挥发性有机物专项治理工作中排放建议值的通知》（豫环攻坚办〔2017〕162号）及《关于印发〈重污染天气重点行业应急减排措施制定技术指南（2020年修订版）〉的函》（环办大气函〔2020〕340号）中玻璃后加工企业引领性指标要求。项目营运期废气经</w:t>
            </w:r>
            <w:r>
              <w:rPr>
                <w:sz w:val="24"/>
              </w:rPr>
              <w:t>采取废气污染防治措施后均可达标排放，</w:t>
            </w:r>
            <w:r>
              <w:rPr>
                <w:rFonts w:hint="eastAsia"/>
                <w:sz w:val="24"/>
              </w:rPr>
              <w:t>对</w:t>
            </w:r>
            <w:r>
              <w:rPr>
                <w:sz w:val="24"/>
              </w:rPr>
              <w:t>周围环境空气和保护目标影响不大</w:t>
            </w:r>
            <w:r>
              <w:rPr>
                <w:rFonts w:hint="eastAsia"/>
                <w:sz w:val="24"/>
              </w:rPr>
              <w:t>。</w:t>
            </w:r>
          </w:p>
          <w:p w14:paraId="76ECE62E">
            <w:pPr>
              <w:adjustRightInd w:val="0"/>
              <w:snapToGrid w:val="0"/>
              <w:spacing w:line="360" w:lineRule="auto"/>
              <w:ind w:firstLine="482" w:firstLineChars="200"/>
              <w:rPr>
                <w:b/>
                <w:sz w:val="24"/>
              </w:rPr>
            </w:pPr>
            <w:r>
              <w:rPr>
                <w:rFonts w:hint="eastAsia"/>
                <w:b/>
                <w:sz w:val="24"/>
              </w:rPr>
              <w:t>2</w:t>
            </w:r>
            <w:r>
              <w:rPr>
                <w:b/>
                <w:sz w:val="24"/>
              </w:rPr>
              <w:t>、</w:t>
            </w:r>
            <w:r>
              <w:rPr>
                <w:rFonts w:hint="eastAsia"/>
                <w:b/>
                <w:sz w:val="24"/>
              </w:rPr>
              <w:t>营运期废水环境影响和保护措施</w:t>
            </w:r>
          </w:p>
          <w:p w14:paraId="7087467A">
            <w:pPr>
              <w:spacing w:line="360" w:lineRule="auto"/>
              <w:ind w:firstLine="482" w:firstLineChars="200"/>
              <w:rPr>
                <w:b/>
                <w:sz w:val="24"/>
              </w:rPr>
            </w:pPr>
            <w:r>
              <w:rPr>
                <w:rFonts w:hint="eastAsia"/>
                <w:b/>
                <w:sz w:val="24"/>
              </w:rPr>
              <w:t>2.1废水产排污环节、类别、污染物种类</w:t>
            </w:r>
          </w:p>
          <w:p w14:paraId="7E52816B">
            <w:pPr>
              <w:adjustRightInd w:val="0"/>
              <w:snapToGrid w:val="0"/>
              <w:spacing w:line="360" w:lineRule="auto"/>
              <w:ind w:firstLine="480" w:firstLineChars="200"/>
              <w:rPr>
                <w:sz w:val="24"/>
              </w:rPr>
            </w:pPr>
            <w:r>
              <w:rPr>
                <w:rFonts w:hint="eastAsia"/>
                <w:sz w:val="24"/>
              </w:rPr>
              <w:t>本</w:t>
            </w:r>
            <w:r>
              <w:rPr>
                <w:sz w:val="24"/>
              </w:rPr>
              <w:t>项目运营期废水产污环节、类别及污染物种类如下表。</w:t>
            </w:r>
          </w:p>
          <w:p w14:paraId="19110390">
            <w:pPr>
              <w:pStyle w:val="137"/>
              <w:numPr>
                <w:ilvl w:val="0"/>
                <w:numId w:val="7"/>
              </w:numPr>
              <w:adjustRightInd w:val="0"/>
              <w:snapToGrid w:val="0"/>
              <w:ind w:firstLineChars="0"/>
              <w:jc w:val="center"/>
              <w:rPr>
                <w:b/>
                <w:szCs w:val="21"/>
              </w:rPr>
            </w:pPr>
            <w:r>
              <w:rPr>
                <w:b/>
                <w:szCs w:val="21"/>
              </w:rPr>
              <w:t>废水</w:t>
            </w:r>
            <w:r>
              <w:rPr>
                <w:rFonts w:hint="eastAsia"/>
                <w:b/>
                <w:szCs w:val="21"/>
              </w:rPr>
              <w:t>产污环节</w:t>
            </w:r>
            <w:r>
              <w:rPr>
                <w:b/>
                <w:szCs w:val="21"/>
              </w:rPr>
              <w:t>、类别及污染物种类一览表</w:t>
            </w:r>
          </w:p>
          <w:tbl>
            <w:tblPr>
              <w:tblStyle w:val="39"/>
              <w:tblW w:w="786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9"/>
              <w:gridCol w:w="2146"/>
              <w:gridCol w:w="1853"/>
              <w:gridCol w:w="2981"/>
            </w:tblGrid>
            <w:tr w14:paraId="40D694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889" w:type="dxa"/>
                  <w:vAlign w:val="center"/>
                </w:tcPr>
                <w:p w14:paraId="77921B27">
                  <w:pPr>
                    <w:widowControl/>
                    <w:jc w:val="center"/>
                    <w:rPr>
                      <w:bCs/>
                      <w:kern w:val="0"/>
                      <w:szCs w:val="21"/>
                    </w:rPr>
                  </w:pPr>
                  <w:r>
                    <w:rPr>
                      <w:rFonts w:hint="eastAsia"/>
                      <w:bCs/>
                      <w:kern w:val="0"/>
                      <w:szCs w:val="21"/>
                    </w:rPr>
                    <w:t>序号</w:t>
                  </w:r>
                </w:p>
              </w:tc>
              <w:tc>
                <w:tcPr>
                  <w:tcW w:w="2146" w:type="dxa"/>
                  <w:vAlign w:val="center"/>
                </w:tcPr>
                <w:p w14:paraId="1239071F">
                  <w:pPr>
                    <w:widowControl/>
                    <w:jc w:val="center"/>
                    <w:rPr>
                      <w:bCs/>
                      <w:kern w:val="0"/>
                      <w:szCs w:val="21"/>
                    </w:rPr>
                  </w:pPr>
                  <w:r>
                    <w:rPr>
                      <w:rFonts w:hint="eastAsia"/>
                      <w:bCs/>
                      <w:kern w:val="0"/>
                      <w:szCs w:val="21"/>
                    </w:rPr>
                    <w:t>类别</w:t>
                  </w:r>
                </w:p>
              </w:tc>
              <w:tc>
                <w:tcPr>
                  <w:tcW w:w="1853" w:type="dxa"/>
                  <w:vAlign w:val="center"/>
                </w:tcPr>
                <w:p w14:paraId="7865BD45">
                  <w:pPr>
                    <w:widowControl/>
                    <w:jc w:val="center"/>
                    <w:rPr>
                      <w:bCs/>
                      <w:kern w:val="0"/>
                      <w:szCs w:val="21"/>
                    </w:rPr>
                  </w:pPr>
                  <w:r>
                    <w:rPr>
                      <w:rFonts w:hint="eastAsia"/>
                      <w:bCs/>
                      <w:kern w:val="0"/>
                      <w:szCs w:val="21"/>
                    </w:rPr>
                    <w:t>产污环节</w:t>
                  </w:r>
                </w:p>
              </w:tc>
              <w:tc>
                <w:tcPr>
                  <w:tcW w:w="2981" w:type="dxa"/>
                  <w:vAlign w:val="center"/>
                </w:tcPr>
                <w:p w14:paraId="64E760B6">
                  <w:pPr>
                    <w:widowControl/>
                    <w:jc w:val="center"/>
                    <w:rPr>
                      <w:bCs/>
                      <w:kern w:val="0"/>
                      <w:szCs w:val="21"/>
                    </w:rPr>
                  </w:pPr>
                  <w:r>
                    <w:rPr>
                      <w:rFonts w:hint="eastAsia"/>
                      <w:bCs/>
                      <w:kern w:val="0"/>
                      <w:szCs w:val="21"/>
                    </w:rPr>
                    <w:t>污染物种类</w:t>
                  </w:r>
                </w:p>
              </w:tc>
            </w:tr>
            <w:tr w14:paraId="3D06B2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889" w:type="dxa"/>
                  <w:vAlign w:val="center"/>
                </w:tcPr>
                <w:p w14:paraId="52F381A2">
                  <w:pPr>
                    <w:widowControl/>
                    <w:jc w:val="center"/>
                    <w:rPr>
                      <w:bCs/>
                      <w:kern w:val="0"/>
                      <w:szCs w:val="21"/>
                    </w:rPr>
                  </w:pPr>
                  <w:r>
                    <w:rPr>
                      <w:rFonts w:hint="eastAsia"/>
                      <w:bCs/>
                      <w:kern w:val="0"/>
                      <w:szCs w:val="21"/>
                    </w:rPr>
                    <w:t>1</w:t>
                  </w:r>
                </w:p>
              </w:tc>
              <w:tc>
                <w:tcPr>
                  <w:tcW w:w="2146" w:type="dxa"/>
                  <w:vAlign w:val="center"/>
                </w:tcPr>
                <w:p w14:paraId="153CE205">
                  <w:pPr>
                    <w:widowControl/>
                    <w:jc w:val="center"/>
                    <w:rPr>
                      <w:bCs/>
                      <w:kern w:val="0"/>
                      <w:szCs w:val="21"/>
                    </w:rPr>
                  </w:pPr>
                  <w:r>
                    <w:rPr>
                      <w:rFonts w:hint="eastAsia"/>
                      <w:bCs/>
                      <w:kern w:val="0"/>
                      <w:szCs w:val="21"/>
                    </w:rPr>
                    <w:t>生活污水</w:t>
                  </w:r>
                </w:p>
              </w:tc>
              <w:tc>
                <w:tcPr>
                  <w:tcW w:w="1853" w:type="dxa"/>
                  <w:vAlign w:val="center"/>
                </w:tcPr>
                <w:p w14:paraId="2FCD877B">
                  <w:pPr>
                    <w:widowControl/>
                    <w:jc w:val="center"/>
                    <w:rPr>
                      <w:bCs/>
                      <w:kern w:val="0"/>
                      <w:szCs w:val="21"/>
                    </w:rPr>
                  </w:pPr>
                  <w:r>
                    <w:rPr>
                      <w:rFonts w:hint="eastAsia"/>
                      <w:bCs/>
                      <w:kern w:val="0"/>
                      <w:szCs w:val="21"/>
                    </w:rPr>
                    <w:t>员工办公</w:t>
                  </w:r>
                </w:p>
              </w:tc>
              <w:tc>
                <w:tcPr>
                  <w:tcW w:w="2981" w:type="dxa"/>
                  <w:vAlign w:val="center"/>
                </w:tcPr>
                <w:p w14:paraId="606B965B">
                  <w:pPr>
                    <w:widowControl/>
                    <w:jc w:val="center"/>
                    <w:rPr>
                      <w:bCs/>
                      <w:kern w:val="0"/>
                      <w:szCs w:val="21"/>
                    </w:rPr>
                  </w:pPr>
                  <w:r>
                    <w:rPr>
                      <w:rFonts w:hint="eastAsia"/>
                      <w:bCs/>
                      <w:kern w:val="0"/>
                      <w:szCs w:val="21"/>
                    </w:rPr>
                    <w:t>COD、BOD</w:t>
                  </w:r>
                  <w:r>
                    <w:rPr>
                      <w:rFonts w:hint="eastAsia"/>
                      <w:bCs/>
                      <w:kern w:val="0"/>
                      <w:szCs w:val="21"/>
                      <w:vertAlign w:val="subscript"/>
                    </w:rPr>
                    <w:t>5</w:t>
                  </w:r>
                  <w:r>
                    <w:rPr>
                      <w:rFonts w:hint="eastAsia"/>
                      <w:bCs/>
                      <w:kern w:val="0"/>
                      <w:szCs w:val="21"/>
                    </w:rPr>
                    <w:t>、SS、氨氮</w:t>
                  </w:r>
                </w:p>
              </w:tc>
            </w:tr>
            <w:tr w14:paraId="601C5E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889" w:type="dxa"/>
                  <w:vAlign w:val="center"/>
                </w:tcPr>
                <w:p w14:paraId="102F983F">
                  <w:pPr>
                    <w:widowControl/>
                    <w:jc w:val="center"/>
                    <w:rPr>
                      <w:bCs/>
                      <w:kern w:val="0"/>
                      <w:szCs w:val="21"/>
                      <w:u w:val="single"/>
                    </w:rPr>
                  </w:pPr>
                  <w:r>
                    <w:rPr>
                      <w:rFonts w:hint="eastAsia"/>
                      <w:bCs/>
                      <w:kern w:val="0"/>
                      <w:szCs w:val="21"/>
                      <w:u w:val="single"/>
                    </w:rPr>
                    <w:t>2</w:t>
                  </w:r>
                </w:p>
              </w:tc>
              <w:tc>
                <w:tcPr>
                  <w:tcW w:w="2146" w:type="dxa"/>
                  <w:vAlign w:val="center"/>
                </w:tcPr>
                <w:p w14:paraId="62AE1180">
                  <w:pPr>
                    <w:widowControl/>
                    <w:jc w:val="center"/>
                    <w:rPr>
                      <w:bCs/>
                      <w:kern w:val="0"/>
                      <w:szCs w:val="21"/>
                      <w:u w:val="single"/>
                    </w:rPr>
                  </w:pPr>
                  <w:r>
                    <w:rPr>
                      <w:rFonts w:hint="eastAsia"/>
                      <w:bCs/>
                      <w:kern w:val="0"/>
                      <w:szCs w:val="21"/>
                      <w:u w:val="single"/>
                    </w:rPr>
                    <w:t>磨边和清洗废水</w:t>
                  </w:r>
                </w:p>
              </w:tc>
              <w:tc>
                <w:tcPr>
                  <w:tcW w:w="1853" w:type="dxa"/>
                  <w:vAlign w:val="center"/>
                </w:tcPr>
                <w:p w14:paraId="1347B0D8">
                  <w:pPr>
                    <w:widowControl/>
                    <w:jc w:val="center"/>
                    <w:rPr>
                      <w:bCs/>
                      <w:kern w:val="0"/>
                      <w:szCs w:val="21"/>
                      <w:u w:val="single"/>
                    </w:rPr>
                  </w:pPr>
                  <w:r>
                    <w:rPr>
                      <w:rFonts w:hint="eastAsia"/>
                      <w:bCs/>
                      <w:kern w:val="0"/>
                      <w:szCs w:val="21"/>
                      <w:u w:val="single"/>
                    </w:rPr>
                    <w:t>磨边、清洗工序</w:t>
                  </w:r>
                </w:p>
              </w:tc>
              <w:tc>
                <w:tcPr>
                  <w:tcW w:w="2981" w:type="dxa"/>
                  <w:vAlign w:val="center"/>
                </w:tcPr>
                <w:p w14:paraId="1CBB6D5B">
                  <w:pPr>
                    <w:widowControl/>
                    <w:jc w:val="center"/>
                    <w:rPr>
                      <w:bCs/>
                      <w:kern w:val="0"/>
                      <w:szCs w:val="21"/>
                      <w:u w:val="single"/>
                    </w:rPr>
                  </w:pPr>
                  <w:r>
                    <w:rPr>
                      <w:rFonts w:hint="eastAsia"/>
                      <w:bCs/>
                      <w:kern w:val="0"/>
                      <w:szCs w:val="21"/>
                      <w:u w:val="single"/>
                    </w:rPr>
                    <w:t>COD、SS</w:t>
                  </w:r>
                </w:p>
              </w:tc>
            </w:tr>
            <w:tr w14:paraId="2C25B4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889" w:type="dxa"/>
                  <w:vAlign w:val="center"/>
                </w:tcPr>
                <w:p w14:paraId="4D092BBB">
                  <w:pPr>
                    <w:widowControl/>
                    <w:jc w:val="center"/>
                    <w:rPr>
                      <w:rFonts w:hint="eastAsia"/>
                      <w:bCs/>
                      <w:kern w:val="0"/>
                      <w:szCs w:val="21"/>
                      <w:u w:val="single"/>
                    </w:rPr>
                  </w:pPr>
                  <w:r>
                    <w:rPr>
                      <w:rFonts w:hint="eastAsia"/>
                      <w:bCs/>
                      <w:kern w:val="0"/>
                      <w:szCs w:val="21"/>
                      <w:u w:val="single"/>
                    </w:rPr>
                    <w:t>3</w:t>
                  </w:r>
                </w:p>
              </w:tc>
              <w:tc>
                <w:tcPr>
                  <w:tcW w:w="2146" w:type="dxa"/>
                  <w:vAlign w:val="center"/>
                </w:tcPr>
                <w:p w14:paraId="026689CC">
                  <w:pPr>
                    <w:widowControl/>
                    <w:jc w:val="center"/>
                    <w:rPr>
                      <w:rFonts w:hint="eastAsia"/>
                      <w:bCs/>
                      <w:kern w:val="0"/>
                      <w:szCs w:val="21"/>
                      <w:u w:val="single"/>
                    </w:rPr>
                  </w:pPr>
                  <w:r>
                    <w:rPr>
                      <w:rFonts w:hint="eastAsia"/>
                      <w:bCs/>
                      <w:kern w:val="0"/>
                      <w:szCs w:val="21"/>
                      <w:u w:val="single"/>
                    </w:rPr>
                    <w:t>纯水制备浓水</w:t>
                  </w:r>
                </w:p>
              </w:tc>
              <w:tc>
                <w:tcPr>
                  <w:tcW w:w="1853" w:type="dxa"/>
                  <w:vAlign w:val="center"/>
                </w:tcPr>
                <w:p w14:paraId="314EC280">
                  <w:pPr>
                    <w:widowControl/>
                    <w:jc w:val="center"/>
                    <w:rPr>
                      <w:rFonts w:hint="eastAsia"/>
                      <w:bCs/>
                      <w:kern w:val="0"/>
                      <w:szCs w:val="21"/>
                      <w:u w:val="single"/>
                    </w:rPr>
                  </w:pPr>
                  <w:r>
                    <w:rPr>
                      <w:rFonts w:hint="eastAsia"/>
                      <w:bCs/>
                      <w:kern w:val="0"/>
                      <w:szCs w:val="21"/>
                      <w:u w:val="single"/>
                    </w:rPr>
                    <w:t>纯水制备</w:t>
                  </w:r>
                </w:p>
              </w:tc>
              <w:tc>
                <w:tcPr>
                  <w:tcW w:w="2981" w:type="dxa"/>
                  <w:vAlign w:val="center"/>
                </w:tcPr>
                <w:p w14:paraId="039940D8">
                  <w:pPr>
                    <w:widowControl/>
                    <w:jc w:val="center"/>
                    <w:rPr>
                      <w:rFonts w:hint="eastAsia"/>
                      <w:bCs/>
                      <w:kern w:val="0"/>
                      <w:szCs w:val="21"/>
                      <w:u w:val="single"/>
                    </w:rPr>
                  </w:pPr>
                  <w:r>
                    <w:rPr>
                      <w:rFonts w:hint="eastAsia"/>
                      <w:bCs/>
                      <w:kern w:val="0"/>
                      <w:szCs w:val="21"/>
                      <w:u w:val="single"/>
                    </w:rPr>
                    <w:t>COD、SS</w:t>
                  </w:r>
                </w:p>
              </w:tc>
            </w:tr>
          </w:tbl>
          <w:p w14:paraId="7029E283">
            <w:pPr>
              <w:spacing w:line="360" w:lineRule="auto"/>
              <w:ind w:firstLine="482" w:firstLineChars="200"/>
              <w:rPr>
                <w:b/>
                <w:sz w:val="24"/>
              </w:rPr>
            </w:pPr>
            <w:r>
              <w:rPr>
                <w:rFonts w:hint="eastAsia"/>
                <w:b/>
                <w:sz w:val="24"/>
              </w:rPr>
              <w:t>2.2废水产排情况、排放方式及污染治理设施</w:t>
            </w:r>
          </w:p>
          <w:p w14:paraId="74AED426">
            <w:pPr>
              <w:widowControl/>
              <w:adjustRightInd w:val="0"/>
              <w:snapToGrid w:val="0"/>
              <w:spacing w:line="360" w:lineRule="auto"/>
              <w:ind w:firstLine="480" w:firstLineChars="200"/>
              <w:rPr>
                <w:rFonts w:hAnsi="宋体"/>
                <w:sz w:val="24"/>
                <w:lang w:bidi="ar"/>
              </w:rPr>
            </w:pPr>
            <w:r>
              <w:rPr>
                <w:rFonts w:hint="eastAsia" w:hAnsi="宋体"/>
                <w:sz w:val="24"/>
                <w:lang w:bidi="ar"/>
              </w:rPr>
              <w:t>（1）生活污水</w:t>
            </w:r>
          </w:p>
          <w:p w14:paraId="55EBCE2D">
            <w:pPr>
              <w:widowControl/>
              <w:adjustRightInd w:val="0"/>
              <w:snapToGrid w:val="0"/>
              <w:spacing w:line="360" w:lineRule="auto"/>
              <w:ind w:firstLine="480" w:firstLineChars="200"/>
              <w:rPr>
                <w:bCs/>
                <w:sz w:val="24"/>
              </w:rPr>
            </w:pPr>
            <w:r>
              <w:rPr>
                <w:rFonts w:hint="eastAsia" w:hAnsi="宋体"/>
                <w:sz w:val="24"/>
                <w:lang w:bidi="ar"/>
              </w:rPr>
              <w:t>本项目劳动定员30人，年工作300天，</w:t>
            </w:r>
            <w:r>
              <w:rPr>
                <w:rFonts w:hint="eastAsia"/>
                <w:bCs/>
                <w:sz w:val="24"/>
                <w:lang w:bidi="ar"/>
              </w:rPr>
              <w:t>厂区无食堂与住宿，</w:t>
            </w:r>
            <w:r>
              <w:rPr>
                <w:rFonts w:hint="eastAsia"/>
                <w:bCs/>
                <w:sz w:val="24"/>
              </w:rPr>
              <w:t>用水量参照《工业与城镇生活用水定额》（DB41/T385-2020）表48公共管理、社会保障和社会组织用水定额，机关（无食堂）用水定额22m</w:t>
            </w:r>
            <w:r>
              <w:rPr>
                <w:rFonts w:hint="eastAsia"/>
                <w:bCs/>
                <w:sz w:val="24"/>
                <w:vertAlign w:val="superscript"/>
              </w:rPr>
              <w:t>3</w:t>
            </w:r>
            <w:r>
              <w:rPr>
                <w:rFonts w:hint="eastAsia"/>
                <w:bCs/>
                <w:sz w:val="24"/>
              </w:rPr>
              <w:t>/（人•a），则项目生活用水量为2.2m</w:t>
            </w:r>
            <w:r>
              <w:rPr>
                <w:rFonts w:hint="eastAsia"/>
                <w:bCs/>
                <w:sz w:val="24"/>
                <w:vertAlign w:val="superscript"/>
              </w:rPr>
              <w:t>3</w:t>
            </w:r>
            <w:r>
              <w:rPr>
                <w:rFonts w:hint="eastAsia"/>
                <w:bCs/>
                <w:sz w:val="24"/>
              </w:rPr>
              <w:t>/d（660m</w:t>
            </w:r>
            <w:r>
              <w:rPr>
                <w:rFonts w:hint="eastAsia"/>
                <w:bCs/>
                <w:sz w:val="24"/>
                <w:vertAlign w:val="superscript"/>
              </w:rPr>
              <w:t>3</w:t>
            </w:r>
            <w:r>
              <w:rPr>
                <w:rFonts w:hint="eastAsia"/>
                <w:bCs/>
                <w:sz w:val="24"/>
              </w:rPr>
              <w:t>/a），生活污水产污系数按0.8计，则生活污水产生量为1.76m</w:t>
            </w:r>
            <w:r>
              <w:rPr>
                <w:rFonts w:hint="eastAsia"/>
                <w:bCs/>
                <w:sz w:val="24"/>
                <w:vertAlign w:val="superscript"/>
              </w:rPr>
              <w:t>3</w:t>
            </w:r>
            <w:r>
              <w:rPr>
                <w:rFonts w:hint="eastAsia"/>
                <w:bCs/>
                <w:sz w:val="24"/>
              </w:rPr>
              <w:t>/d（528m</w:t>
            </w:r>
            <w:r>
              <w:rPr>
                <w:rFonts w:hint="eastAsia"/>
                <w:bCs/>
                <w:sz w:val="24"/>
                <w:vertAlign w:val="superscript"/>
              </w:rPr>
              <w:t>3</w:t>
            </w:r>
            <w:r>
              <w:rPr>
                <w:rFonts w:hint="eastAsia"/>
                <w:bCs/>
                <w:sz w:val="24"/>
              </w:rPr>
              <w:t>/a）。生活污水主要污染物为COD、BOD</w:t>
            </w:r>
            <w:r>
              <w:rPr>
                <w:rFonts w:hint="eastAsia"/>
                <w:bCs/>
                <w:sz w:val="24"/>
                <w:vertAlign w:val="subscript"/>
              </w:rPr>
              <w:t>5</w:t>
            </w:r>
            <w:r>
              <w:rPr>
                <w:rFonts w:hint="eastAsia"/>
                <w:bCs/>
                <w:sz w:val="24"/>
              </w:rPr>
              <w:t>、SS和氨氮等，生活污水污染物浓度约为：COD≤300mg/L、BOD</w:t>
            </w:r>
            <w:r>
              <w:rPr>
                <w:rFonts w:hint="eastAsia"/>
                <w:bCs/>
                <w:sz w:val="24"/>
                <w:vertAlign w:val="subscript"/>
              </w:rPr>
              <w:t>5</w:t>
            </w:r>
            <w:r>
              <w:rPr>
                <w:rFonts w:hint="eastAsia"/>
                <w:bCs/>
                <w:sz w:val="24"/>
              </w:rPr>
              <w:t>≤140mg/L、SS≤200mg/L、氨氮≤25mg/L、pH为6-9。生活污水经厂区化粪池处理后排入市政管网，通过市政管网排入清丰中州水务有限公司第二污水处理厂进一步处理。</w:t>
            </w:r>
          </w:p>
          <w:p w14:paraId="1808DC8D">
            <w:pPr>
              <w:widowControl/>
              <w:adjustRightInd w:val="0"/>
              <w:snapToGrid w:val="0"/>
              <w:spacing w:line="360" w:lineRule="auto"/>
              <w:ind w:firstLine="480" w:firstLineChars="200"/>
              <w:rPr>
                <w:bCs/>
                <w:sz w:val="24"/>
                <w:u w:val="single"/>
              </w:rPr>
            </w:pPr>
            <w:r>
              <w:rPr>
                <w:rFonts w:hint="eastAsia"/>
                <w:bCs/>
                <w:sz w:val="24"/>
                <w:u w:val="single"/>
              </w:rPr>
              <w:t>（2）磨边、清洗废水</w:t>
            </w:r>
          </w:p>
          <w:p w14:paraId="291A1C1E">
            <w:pPr>
              <w:widowControl/>
              <w:adjustRightInd w:val="0"/>
              <w:snapToGrid w:val="0"/>
              <w:spacing w:line="360" w:lineRule="auto"/>
              <w:ind w:firstLine="480" w:firstLineChars="200"/>
              <w:rPr>
                <w:rFonts w:ascii="Calibri" w:hAnsi="Calibri"/>
                <w:sz w:val="24"/>
              </w:rPr>
            </w:pPr>
            <w:r>
              <w:rPr>
                <w:rFonts w:hint="eastAsia" w:ascii="宋体" w:hAnsi="宋体"/>
                <w:sz w:val="24"/>
                <w:u w:val="single"/>
              </w:rPr>
              <w:t>根据建设单位提供的设计资料，项目磨边工序对水质没有要求，使用自来水和回用水；清洗工序使用纯水。磨边和清洗废水经设备自带循环水槽收集后循环使用，循环水槽废水定期更换，并对槽底的玻璃碎屑进行清理。更换的废水进入设备旁配套的一座</w:t>
            </w:r>
            <w:r>
              <w:rPr>
                <w:sz w:val="24"/>
                <w:u w:val="single"/>
              </w:rPr>
              <w:t>29.4m</w:t>
            </w:r>
            <w:r>
              <w:rPr>
                <w:sz w:val="24"/>
                <w:u w:val="single"/>
                <w:vertAlign w:val="superscript"/>
              </w:rPr>
              <w:t>3</w:t>
            </w:r>
            <w:r>
              <w:rPr>
                <w:rFonts w:hint="eastAsia" w:ascii="宋体" w:hAnsi="宋体"/>
                <w:sz w:val="24"/>
                <w:u w:val="single"/>
              </w:rPr>
              <w:t>三级沉淀池（</w:t>
            </w:r>
            <w:r>
              <w:rPr>
                <w:sz w:val="24"/>
                <w:u w:val="single"/>
              </w:rPr>
              <w:t>1.5m</w:t>
            </w:r>
            <w:r>
              <w:rPr>
                <w:rFonts w:hint="eastAsia" w:ascii="宋体" w:hAnsi="宋体"/>
                <w:sz w:val="24"/>
                <w:u w:val="single"/>
              </w:rPr>
              <w:t>×</w:t>
            </w:r>
            <w:r>
              <w:rPr>
                <w:sz w:val="24"/>
                <w:u w:val="single"/>
              </w:rPr>
              <w:t>7m</w:t>
            </w:r>
            <w:r>
              <w:rPr>
                <w:rFonts w:hint="eastAsia" w:ascii="宋体" w:hAnsi="宋体"/>
                <w:sz w:val="24"/>
                <w:u w:val="single"/>
              </w:rPr>
              <w:t>×</w:t>
            </w:r>
            <w:r>
              <w:rPr>
                <w:sz w:val="24"/>
                <w:u w:val="single"/>
              </w:rPr>
              <w:t>2.8m</w:t>
            </w:r>
            <w:r>
              <w:rPr>
                <w:rFonts w:hint="eastAsia" w:ascii="宋体" w:hAnsi="宋体"/>
                <w:sz w:val="24"/>
                <w:u w:val="single"/>
              </w:rPr>
              <w:t>），经三级沉淀池处理后部分回用于磨边工序，剩余废水</w:t>
            </w:r>
            <w:r>
              <w:rPr>
                <w:rFonts w:hint="eastAsia" w:ascii="宋体" w:hAnsi="宋体"/>
                <w:bCs/>
                <w:sz w:val="24"/>
                <w:u w:val="single"/>
              </w:rPr>
              <w:t>排入市政管网，通过市政管网排入清丰中州水务有限公司第二污水处理厂进行处理。</w:t>
            </w:r>
          </w:p>
          <w:p w14:paraId="1E5C9904">
            <w:pPr>
              <w:widowControl/>
              <w:adjustRightInd w:val="0"/>
              <w:snapToGrid w:val="0"/>
              <w:spacing w:line="360" w:lineRule="auto"/>
              <w:ind w:firstLine="480" w:firstLineChars="200"/>
              <w:rPr>
                <w:rFonts w:ascii="Calibri" w:hAnsi="Calibri"/>
                <w:sz w:val="24"/>
                <w:u w:val="single"/>
              </w:rPr>
            </w:pPr>
            <w:r>
              <w:rPr>
                <w:rFonts w:hint="eastAsia" w:ascii="宋体" w:hAnsi="宋体"/>
                <w:sz w:val="24"/>
                <w:u w:val="single"/>
              </w:rPr>
              <w:t>根据建设单位提供的设计资料，磨边机设备自带循环水槽尺寸为</w:t>
            </w:r>
            <w:r>
              <w:rPr>
                <w:sz w:val="24"/>
                <w:u w:val="single"/>
              </w:rPr>
              <w:t>40cm</w:t>
            </w:r>
            <w:r>
              <w:rPr>
                <w:rFonts w:hint="eastAsia" w:ascii="宋体" w:hAnsi="宋体" w:cs="MS Gothic"/>
                <w:sz w:val="24"/>
                <w:u w:val="single"/>
              </w:rPr>
              <w:t>×</w:t>
            </w:r>
            <w:r>
              <w:rPr>
                <w:sz w:val="24"/>
                <w:u w:val="single"/>
              </w:rPr>
              <w:t>160cm</w:t>
            </w:r>
            <w:r>
              <w:rPr>
                <w:rFonts w:hint="eastAsia" w:ascii="宋体" w:hAnsi="宋体"/>
                <w:sz w:val="24"/>
                <w:u w:val="single"/>
              </w:rPr>
              <w:t>×</w:t>
            </w:r>
            <w:r>
              <w:rPr>
                <w:sz w:val="24"/>
                <w:u w:val="single"/>
              </w:rPr>
              <w:t>38cm</w:t>
            </w:r>
            <w:r>
              <w:rPr>
                <w:rFonts w:hint="eastAsia" w:ascii="宋体" w:hAnsi="宋体"/>
                <w:sz w:val="24"/>
                <w:u w:val="single"/>
              </w:rPr>
              <w:t>，有效容积为</w:t>
            </w:r>
            <w:r>
              <w:rPr>
                <w:sz w:val="24"/>
                <w:u w:val="single"/>
              </w:rPr>
              <w:t>0.19m</w:t>
            </w:r>
            <w:r>
              <w:rPr>
                <w:sz w:val="24"/>
                <w:u w:val="single"/>
                <w:vertAlign w:val="superscript"/>
              </w:rPr>
              <w:t>3</w:t>
            </w:r>
            <w:r>
              <w:rPr>
                <w:rFonts w:hint="eastAsia" w:ascii="宋体" w:hAnsi="宋体"/>
                <w:sz w:val="24"/>
                <w:u w:val="single"/>
              </w:rPr>
              <w:t>，磨边废水每</w:t>
            </w:r>
            <w:r>
              <w:rPr>
                <w:sz w:val="24"/>
                <w:u w:val="single"/>
              </w:rPr>
              <w:t>2</w:t>
            </w:r>
            <w:r>
              <w:rPr>
                <w:rFonts w:hint="eastAsia" w:ascii="宋体" w:hAnsi="宋体"/>
                <w:sz w:val="24"/>
                <w:u w:val="single"/>
              </w:rPr>
              <w:t>天更换一次，更换水量为</w:t>
            </w:r>
            <w:r>
              <w:rPr>
                <w:sz w:val="24"/>
                <w:u w:val="single"/>
              </w:rPr>
              <w:t>0.1m</w:t>
            </w:r>
            <w:r>
              <w:rPr>
                <w:sz w:val="24"/>
                <w:u w:val="single"/>
                <w:vertAlign w:val="superscript"/>
              </w:rPr>
              <w:t>3</w:t>
            </w:r>
            <w:r>
              <w:rPr>
                <w:sz w:val="24"/>
                <w:u w:val="single"/>
              </w:rPr>
              <w:t>/d</w:t>
            </w:r>
            <w:r>
              <w:rPr>
                <w:rFonts w:hint="eastAsia" w:ascii="宋体" w:hAnsi="宋体"/>
                <w:sz w:val="24"/>
                <w:u w:val="single"/>
              </w:rPr>
              <w:t>；清洗机自带循环水槽尺寸为</w:t>
            </w:r>
            <w:r>
              <w:rPr>
                <w:sz w:val="24"/>
                <w:u w:val="single"/>
              </w:rPr>
              <w:t>100cm</w:t>
            </w:r>
            <w:r>
              <w:rPr>
                <w:rFonts w:hint="eastAsia" w:ascii="宋体" w:hAnsi="宋体" w:cs="MS Gothic"/>
                <w:sz w:val="24"/>
                <w:u w:val="single"/>
              </w:rPr>
              <w:t>×</w:t>
            </w:r>
            <w:r>
              <w:rPr>
                <w:sz w:val="24"/>
                <w:u w:val="single"/>
              </w:rPr>
              <w:t>200cm</w:t>
            </w:r>
            <w:r>
              <w:rPr>
                <w:rFonts w:hint="eastAsia" w:ascii="宋体" w:hAnsi="宋体" w:cs="MS Gothic"/>
                <w:sz w:val="24"/>
                <w:u w:val="single"/>
              </w:rPr>
              <w:t>×</w:t>
            </w:r>
            <w:r>
              <w:rPr>
                <w:sz w:val="24"/>
                <w:u w:val="single"/>
              </w:rPr>
              <w:t>38cm</w:t>
            </w:r>
            <w:r>
              <w:rPr>
                <w:rFonts w:hint="eastAsia" w:ascii="宋体" w:hAnsi="宋体"/>
                <w:sz w:val="24"/>
                <w:u w:val="single"/>
              </w:rPr>
              <w:t>，有效容积为</w:t>
            </w:r>
            <w:r>
              <w:rPr>
                <w:sz w:val="24"/>
                <w:u w:val="single"/>
              </w:rPr>
              <w:t>0.61m</w:t>
            </w:r>
            <w:r>
              <w:rPr>
                <w:sz w:val="24"/>
                <w:u w:val="single"/>
                <w:vertAlign w:val="superscript"/>
              </w:rPr>
              <w:t>3</w:t>
            </w:r>
            <w:r>
              <w:rPr>
                <w:rFonts w:hint="eastAsia" w:ascii="宋体" w:hAnsi="宋体"/>
                <w:sz w:val="24"/>
                <w:u w:val="single"/>
              </w:rPr>
              <w:t>，清洗废水每</w:t>
            </w:r>
            <w:r>
              <w:rPr>
                <w:sz w:val="24"/>
                <w:u w:val="single"/>
              </w:rPr>
              <w:t>2</w:t>
            </w:r>
            <w:r>
              <w:rPr>
                <w:rFonts w:hint="eastAsia" w:ascii="宋体" w:hAnsi="宋体"/>
                <w:sz w:val="24"/>
                <w:u w:val="single"/>
              </w:rPr>
              <w:t>天更换一次，更换水量为</w:t>
            </w:r>
            <w:r>
              <w:rPr>
                <w:sz w:val="24"/>
                <w:u w:val="single"/>
              </w:rPr>
              <w:t>0.3m</w:t>
            </w:r>
            <w:r>
              <w:rPr>
                <w:sz w:val="24"/>
                <w:u w:val="single"/>
                <w:vertAlign w:val="superscript"/>
              </w:rPr>
              <w:t>3</w:t>
            </w:r>
            <w:r>
              <w:rPr>
                <w:sz w:val="24"/>
                <w:u w:val="single"/>
              </w:rPr>
              <w:t>/d</w:t>
            </w:r>
            <w:r>
              <w:rPr>
                <w:rFonts w:hint="eastAsia" w:ascii="Calibri" w:hAnsi="Calibri"/>
                <w:sz w:val="24"/>
                <w:u w:val="single"/>
              </w:rPr>
              <w:t>。</w:t>
            </w:r>
          </w:p>
          <w:p w14:paraId="51D94B20">
            <w:pPr>
              <w:widowControl/>
              <w:adjustRightInd w:val="0"/>
              <w:snapToGrid w:val="0"/>
              <w:spacing w:line="360" w:lineRule="auto"/>
              <w:ind w:firstLine="480" w:firstLineChars="200"/>
              <w:rPr>
                <w:rFonts w:ascii="Calibri" w:hAnsi="Calibri"/>
                <w:sz w:val="24"/>
              </w:rPr>
            </w:pPr>
            <w:r>
              <w:rPr>
                <w:rFonts w:hint="eastAsia" w:ascii="宋体" w:hAnsi="宋体"/>
                <w:sz w:val="24"/>
                <w:u w:val="single"/>
              </w:rPr>
              <w:t>综上，项目磨边、清洗废水产生量合计为</w:t>
            </w:r>
            <w:r>
              <w:rPr>
                <w:sz w:val="24"/>
                <w:u w:val="single"/>
              </w:rPr>
              <w:t>0.4m</w:t>
            </w:r>
            <w:r>
              <w:rPr>
                <w:sz w:val="24"/>
                <w:u w:val="single"/>
                <w:vertAlign w:val="superscript"/>
              </w:rPr>
              <w:t>3</w:t>
            </w:r>
            <w:r>
              <w:rPr>
                <w:sz w:val="24"/>
                <w:u w:val="single"/>
              </w:rPr>
              <w:t>/d</w:t>
            </w:r>
            <w:r>
              <w:rPr>
                <w:rFonts w:hint="eastAsia" w:ascii="宋体" w:hAnsi="宋体"/>
                <w:sz w:val="24"/>
                <w:u w:val="single"/>
              </w:rPr>
              <w:t>，</w:t>
            </w:r>
            <w:r>
              <w:rPr>
                <w:sz w:val="24"/>
                <w:u w:val="single"/>
              </w:rPr>
              <w:t>水质为COD</w:t>
            </w:r>
            <w:r>
              <w:rPr>
                <w:rFonts w:hint="eastAsia"/>
                <w:sz w:val="24"/>
                <w:u w:val="single"/>
              </w:rPr>
              <w:t>8</w:t>
            </w:r>
            <w:r>
              <w:rPr>
                <w:sz w:val="24"/>
                <w:u w:val="single"/>
              </w:rPr>
              <w:t>0</w:t>
            </w:r>
            <w:r>
              <w:rPr>
                <w:bCs/>
                <w:sz w:val="24"/>
                <w:u w:val="single"/>
              </w:rPr>
              <w:t>mg/L、SS350mg/L，</w:t>
            </w:r>
            <w:r>
              <w:rPr>
                <w:rFonts w:hint="eastAsia" w:ascii="宋体" w:hAnsi="宋体"/>
                <w:sz w:val="24"/>
                <w:u w:val="single"/>
              </w:rPr>
              <w:t>设备旁配套的一座</w:t>
            </w:r>
            <w:r>
              <w:rPr>
                <w:sz w:val="24"/>
                <w:u w:val="single"/>
              </w:rPr>
              <w:t>29.4m</w:t>
            </w:r>
            <w:r>
              <w:rPr>
                <w:sz w:val="24"/>
                <w:u w:val="single"/>
                <w:vertAlign w:val="superscript"/>
              </w:rPr>
              <w:t>3</w:t>
            </w:r>
            <w:r>
              <w:rPr>
                <w:rFonts w:hint="eastAsia" w:ascii="宋体" w:hAnsi="宋体"/>
                <w:sz w:val="24"/>
                <w:u w:val="single"/>
              </w:rPr>
              <w:t>三级沉淀池（</w:t>
            </w:r>
            <w:r>
              <w:rPr>
                <w:sz w:val="24"/>
                <w:u w:val="single"/>
              </w:rPr>
              <w:t>1.5m</w:t>
            </w:r>
            <w:r>
              <w:rPr>
                <w:rFonts w:hint="eastAsia" w:ascii="宋体" w:hAnsi="宋体"/>
                <w:sz w:val="24"/>
                <w:u w:val="single"/>
              </w:rPr>
              <w:t>×</w:t>
            </w:r>
            <w:r>
              <w:rPr>
                <w:sz w:val="24"/>
                <w:u w:val="single"/>
              </w:rPr>
              <w:t>7m</w:t>
            </w:r>
            <w:r>
              <w:rPr>
                <w:rFonts w:hint="eastAsia" w:ascii="宋体" w:hAnsi="宋体"/>
                <w:sz w:val="24"/>
                <w:u w:val="single"/>
              </w:rPr>
              <w:t>×</w:t>
            </w:r>
            <w:r>
              <w:rPr>
                <w:sz w:val="24"/>
                <w:u w:val="single"/>
              </w:rPr>
              <w:t>2.8m</w:t>
            </w:r>
            <w:r>
              <w:rPr>
                <w:rFonts w:hint="eastAsia" w:ascii="宋体" w:hAnsi="宋体"/>
                <w:sz w:val="24"/>
                <w:u w:val="single"/>
              </w:rPr>
              <w:t>），经三级沉淀池处理后部分（</w:t>
            </w:r>
            <w:r>
              <w:rPr>
                <w:sz w:val="24"/>
                <w:u w:val="single"/>
              </w:rPr>
              <w:t>0.14m</w:t>
            </w:r>
            <w:r>
              <w:rPr>
                <w:sz w:val="24"/>
                <w:u w:val="single"/>
                <w:vertAlign w:val="superscript"/>
              </w:rPr>
              <w:t>3</w:t>
            </w:r>
            <w:r>
              <w:rPr>
                <w:sz w:val="24"/>
                <w:u w:val="single"/>
              </w:rPr>
              <w:t>/d</w:t>
            </w:r>
            <w:r>
              <w:rPr>
                <w:rFonts w:hint="eastAsia" w:ascii="宋体" w:hAnsi="宋体"/>
                <w:sz w:val="24"/>
                <w:u w:val="single"/>
              </w:rPr>
              <w:t>）回用于磨边工序，剩余废水（</w:t>
            </w:r>
            <w:r>
              <w:rPr>
                <w:sz w:val="24"/>
                <w:u w:val="single"/>
              </w:rPr>
              <w:t>0.26m</w:t>
            </w:r>
            <w:r>
              <w:rPr>
                <w:sz w:val="24"/>
                <w:u w:val="single"/>
                <w:vertAlign w:val="superscript"/>
              </w:rPr>
              <w:t>3</w:t>
            </w:r>
            <w:r>
              <w:rPr>
                <w:sz w:val="24"/>
                <w:u w:val="single"/>
              </w:rPr>
              <w:t>/d</w:t>
            </w:r>
            <w:r>
              <w:rPr>
                <w:rFonts w:hint="eastAsia" w:ascii="宋体" w:hAnsi="宋体"/>
                <w:sz w:val="24"/>
                <w:u w:val="single"/>
              </w:rPr>
              <w:t>）排入市政管网，通过市政管网排入清丰中州水务有限公司第二污水处理厂进行处理。</w:t>
            </w:r>
          </w:p>
          <w:p w14:paraId="5B9B24ED">
            <w:pPr>
              <w:widowControl/>
              <w:adjustRightInd w:val="0"/>
              <w:snapToGrid w:val="0"/>
              <w:spacing w:line="360" w:lineRule="auto"/>
              <w:ind w:firstLine="480" w:firstLineChars="200"/>
              <w:rPr>
                <w:rFonts w:ascii="Calibri" w:hAnsi="Calibri"/>
                <w:sz w:val="24"/>
                <w:u w:val="single"/>
              </w:rPr>
            </w:pPr>
            <w:r>
              <w:rPr>
                <w:rFonts w:hint="eastAsia" w:ascii="宋体" w:hAnsi="宋体"/>
                <w:sz w:val="24"/>
                <w:u w:val="single"/>
              </w:rPr>
              <w:t>（</w:t>
            </w:r>
            <w:r>
              <w:rPr>
                <w:rFonts w:hint="eastAsia"/>
                <w:sz w:val="24"/>
                <w:u w:val="single"/>
              </w:rPr>
              <w:t>3</w:t>
            </w:r>
            <w:r>
              <w:rPr>
                <w:rFonts w:hint="eastAsia" w:ascii="宋体" w:hAnsi="宋体"/>
                <w:sz w:val="24"/>
                <w:u w:val="single"/>
              </w:rPr>
              <w:t>）纯水制备浓水</w:t>
            </w:r>
          </w:p>
          <w:p w14:paraId="5B91E11A">
            <w:pPr>
              <w:widowControl/>
              <w:adjustRightInd w:val="0"/>
              <w:snapToGrid w:val="0"/>
              <w:spacing w:line="360" w:lineRule="auto"/>
              <w:ind w:firstLine="480" w:firstLineChars="200"/>
              <w:rPr>
                <w:rFonts w:ascii="宋体" w:hAnsi="宋体"/>
                <w:bCs/>
                <w:sz w:val="24"/>
                <w:u w:val="single"/>
              </w:rPr>
            </w:pPr>
            <w:r>
              <w:rPr>
                <w:rFonts w:hint="eastAsia" w:ascii="宋体" w:hAnsi="宋体"/>
                <w:sz w:val="24"/>
                <w:u w:val="single"/>
              </w:rPr>
              <w:t>项目玻璃清洗纯水用量为</w:t>
            </w:r>
            <w:r>
              <w:rPr>
                <w:sz w:val="24"/>
                <w:u w:val="single"/>
              </w:rPr>
              <w:t>0.42m</w:t>
            </w:r>
            <w:r>
              <w:rPr>
                <w:sz w:val="24"/>
                <w:u w:val="single"/>
                <w:vertAlign w:val="superscript"/>
              </w:rPr>
              <w:t>3</w:t>
            </w:r>
            <w:r>
              <w:rPr>
                <w:sz w:val="24"/>
                <w:u w:val="single"/>
              </w:rPr>
              <w:t>/d</w:t>
            </w:r>
            <w:r>
              <w:rPr>
                <w:rFonts w:hint="eastAsia" w:ascii="宋体" w:hAnsi="宋体"/>
                <w:sz w:val="24"/>
                <w:u w:val="single"/>
              </w:rPr>
              <w:t>，纯水机纯水制备率按</w:t>
            </w:r>
            <w:r>
              <w:rPr>
                <w:rFonts w:hint="eastAsia"/>
                <w:sz w:val="24"/>
                <w:u w:val="single"/>
                <w:lang w:val="en-US" w:eastAsia="zh-CN"/>
              </w:rPr>
              <w:t>7</w:t>
            </w:r>
            <w:r>
              <w:rPr>
                <w:sz w:val="24"/>
                <w:u w:val="single"/>
              </w:rPr>
              <w:t>0%</w:t>
            </w:r>
            <w:r>
              <w:rPr>
                <w:rFonts w:hint="eastAsia" w:ascii="宋体" w:hAnsi="宋体"/>
                <w:sz w:val="24"/>
                <w:u w:val="single"/>
              </w:rPr>
              <w:t>计，则需新鲜水量为</w:t>
            </w:r>
            <w:r>
              <w:rPr>
                <w:sz w:val="24"/>
                <w:u w:val="single"/>
              </w:rPr>
              <w:t>0.</w:t>
            </w:r>
            <w:r>
              <w:rPr>
                <w:rFonts w:hint="eastAsia"/>
                <w:sz w:val="24"/>
                <w:u w:val="single"/>
                <w:lang w:val="en-US" w:eastAsia="zh-CN"/>
              </w:rPr>
              <w:t>6</w:t>
            </w:r>
            <w:r>
              <w:rPr>
                <w:sz w:val="24"/>
                <w:u w:val="single"/>
              </w:rPr>
              <w:t>m</w:t>
            </w:r>
            <w:r>
              <w:rPr>
                <w:sz w:val="24"/>
                <w:u w:val="single"/>
                <w:vertAlign w:val="superscript"/>
              </w:rPr>
              <w:t>3</w:t>
            </w:r>
            <w:r>
              <w:rPr>
                <w:sz w:val="24"/>
                <w:u w:val="single"/>
              </w:rPr>
              <w:t>/d</w:t>
            </w:r>
            <w:r>
              <w:rPr>
                <w:rFonts w:hint="eastAsia" w:ascii="宋体" w:hAnsi="宋体"/>
                <w:sz w:val="24"/>
                <w:u w:val="single"/>
              </w:rPr>
              <w:t>，浓水排放量为</w:t>
            </w:r>
            <w:r>
              <w:rPr>
                <w:sz w:val="24"/>
                <w:u w:val="single"/>
              </w:rPr>
              <w:t>0.1</w:t>
            </w:r>
            <w:r>
              <w:rPr>
                <w:rFonts w:hint="eastAsia"/>
                <w:sz w:val="24"/>
                <w:u w:val="single"/>
                <w:lang w:val="en-US" w:eastAsia="zh-CN"/>
              </w:rPr>
              <w:t>8</w:t>
            </w:r>
            <w:r>
              <w:rPr>
                <w:sz w:val="24"/>
                <w:u w:val="single"/>
              </w:rPr>
              <w:t>m</w:t>
            </w:r>
            <w:r>
              <w:rPr>
                <w:sz w:val="24"/>
                <w:u w:val="single"/>
                <w:vertAlign w:val="superscript"/>
              </w:rPr>
              <w:t>3</w:t>
            </w:r>
            <w:r>
              <w:rPr>
                <w:sz w:val="24"/>
                <w:u w:val="single"/>
              </w:rPr>
              <w:t>/d</w:t>
            </w:r>
            <w:r>
              <w:rPr>
                <w:rFonts w:hint="eastAsia" w:ascii="宋体" w:hAnsi="宋体"/>
                <w:sz w:val="24"/>
                <w:u w:val="single"/>
              </w:rPr>
              <w:t>，纯水制备</w:t>
            </w:r>
            <w:r>
              <w:rPr>
                <w:rFonts w:hint="eastAsia" w:ascii="宋体" w:hAnsi="宋体"/>
                <w:bCs/>
                <w:sz w:val="24"/>
                <w:u w:val="single"/>
              </w:rPr>
              <w:t>浓水属于清净下水，只是盐</w:t>
            </w:r>
            <w:r>
              <w:rPr>
                <w:bCs/>
                <w:sz w:val="24"/>
                <w:u w:val="single"/>
              </w:rPr>
              <w:t>分和硬度增加，不含其它特征污染物，污染物浓度较低，主要污染物为COD</w:t>
            </w:r>
            <w:r>
              <w:rPr>
                <w:rFonts w:hint="eastAsia"/>
                <w:bCs/>
                <w:sz w:val="24"/>
                <w:u w:val="single"/>
              </w:rPr>
              <w:t>50mg/L、</w:t>
            </w:r>
            <w:r>
              <w:rPr>
                <w:bCs/>
                <w:sz w:val="24"/>
                <w:u w:val="single"/>
              </w:rPr>
              <w:t>SS</w:t>
            </w:r>
            <w:r>
              <w:rPr>
                <w:rFonts w:hint="eastAsia"/>
                <w:bCs/>
                <w:sz w:val="24"/>
                <w:u w:val="single"/>
              </w:rPr>
              <w:t>50mg/L。</w:t>
            </w:r>
            <w:r>
              <w:rPr>
                <w:rFonts w:hint="eastAsia" w:ascii="宋体" w:hAnsi="宋体"/>
                <w:bCs/>
                <w:sz w:val="24"/>
                <w:u w:val="single"/>
              </w:rPr>
              <w:t>可直接排入市政管网，引入清丰中州水务有限公司第二污水处理厂进行处理。</w:t>
            </w:r>
          </w:p>
          <w:p w14:paraId="3F71D772">
            <w:pPr>
              <w:widowControl/>
              <w:adjustRightInd w:val="0"/>
              <w:snapToGrid w:val="0"/>
              <w:spacing w:line="360" w:lineRule="auto"/>
              <w:ind w:firstLine="480" w:firstLineChars="200"/>
              <w:rPr>
                <w:rFonts w:hint="eastAsia"/>
                <w:bCs/>
                <w:sz w:val="24"/>
              </w:rPr>
            </w:pPr>
            <w:r>
              <w:rPr>
                <w:rFonts w:hint="eastAsia"/>
                <w:bCs/>
                <w:sz w:val="24"/>
                <w:u w:val="single"/>
              </w:rPr>
              <w:t>综上，项目生活污水经化粪池处理；生产废水（磨边、清洗废水）经循环水槽收集后循环使用，定期更换的生产废水经三级沉淀池（容积29.4m</w:t>
            </w:r>
            <w:r>
              <w:rPr>
                <w:rFonts w:hint="eastAsia"/>
                <w:bCs/>
                <w:sz w:val="24"/>
                <w:u w:val="single"/>
                <w:vertAlign w:val="superscript"/>
              </w:rPr>
              <w:t>3</w:t>
            </w:r>
            <w:r>
              <w:rPr>
                <w:rFonts w:hint="eastAsia"/>
                <w:bCs/>
                <w:sz w:val="24"/>
                <w:u w:val="single"/>
              </w:rPr>
              <w:t>）处理后部分</w:t>
            </w:r>
            <w:r>
              <w:rPr>
                <w:rFonts w:hint="eastAsia" w:ascii="宋体" w:hAnsi="宋体"/>
                <w:sz w:val="24"/>
                <w:u w:val="single"/>
              </w:rPr>
              <w:t>（</w:t>
            </w:r>
            <w:r>
              <w:rPr>
                <w:sz w:val="24"/>
                <w:u w:val="single"/>
              </w:rPr>
              <w:t>0.14m</w:t>
            </w:r>
            <w:r>
              <w:rPr>
                <w:sz w:val="24"/>
                <w:u w:val="single"/>
                <w:vertAlign w:val="superscript"/>
              </w:rPr>
              <w:t>3</w:t>
            </w:r>
            <w:r>
              <w:rPr>
                <w:sz w:val="24"/>
                <w:u w:val="single"/>
              </w:rPr>
              <w:t>/d</w:t>
            </w:r>
            <w:r>
              <w:rPr>
                <w:rFonts w:hint="eastAsia" w:ascii="宋体" w:hAnsi="宋体"/>
                <w:sz w:val="24"/>
                <w:u w:val="single"/>
              </w:rPr>
              <w:t>）</w:t>
            </w:r>
            <w:r>
              <w:rPr>
                <w:rFonts w:hint="eastAsia"/>
                <w:bCs/>
                <w:sz w:val="24"/>
                <w:u w:val="single"/>
              </w:rPr>
              <w:t>回用于磨边工序，剩余废水</w:t>
            </w:r>
            <w:r>
              <w:rPr>
                <w:rFonts w:hint="eastAsia" w:ascii="宋体" w:hAnsi="宋体"/>
                <w:sz w:val="24"/>
                <w:u w:val="single"/>
              </w:rPr>
              <w:t>（</w:t>
            </w:r>
            <w:r>
              <w:rPr>
                <w:sz w:val="24"/>
                <w:u w:val="single"/>
              </w:rPr>
              <w:t>0.26m</w:t>
            </w:r>
            <w:r>
              <w:rPr>
                <w:sz w:val="24"/>
                <w:u w:val="single"/>
                <w:vertAlign w:val="superscript"/>
              </w:rPr>
              <w:t>3</w:t>
            </w:r>
            <w:r>
              <w:rPr>
                <w:sz w:val="24"/>
                <w:u w:val="single"/>
              </w:rPr>
              <w:t>/d</w:t>
            </w:r>
            <w:r>
              <w:rPr>
                <w:rFonts w:hint="eastAsia" w:ascii="宋体" w:hAnsi="宋体"/>
                <w:sz w:val="24"/>
                <w:u w:val="single"/>
              </w:rPr>
              <w:t>）</w:t>
            </w:r>
            <w:r>
              <w:rPr>
                <w:rFonts w:hint="eastAsia"/>
                <w:bCs/>
                <w:sz w:val="24"/>
                <w:u w:val="single"/>
              </w:rPr>
              <w:t>定期外排；处理后的生产废水和生活污水与纯水制备浓水（合计2.</w:t>
            </w:r>
            <w:r>
              <w:rPr>
                <w:rFonts w:hint="eastAsia"/>
                <w:bCs/>
                <w:sz w:val="24"/>
                <w:u w:val="single"/>
                <w:lang w:val="en-US" w:eastAsia="zh-CN"/>
              </w:rPr>
              <w:t>2</w:t>
            </w:r>
            <w:r>
              <w:rPr>
                <w:sz w:val="24"/>
                <w:u w:val="single"/>
              </w:rPr>
              <w:t>m</w:t>
            </w:r>
            <w:r>
              <w:rPr>
                <w:sz w:val="24"/>
                <w:u w:val="single"/>
                <w:vertAlign w:val="superscript"/>
              </w:rPr>
              <w:t>3</w:t>
            </w:r>
            <w:r>
              <w:rPr>
                <w:sz w:val="24"/>
                <w:u w:val="single"/>
              </w:rPr>
              <w:t>/d</w:t>
            </w:r>
            <w:r>
              <w:rPr>
                <w:rFonts w:hint="eastAsia"/>
                <w:bCs/>
                <w:sz w:val="24"/>
                <w:u w:val="single"/>
              </w:rPr>
              <w:t>）一起排入市政管网，通过市政管网排入清丰中州水务有限公司第二污水处理厂进一步处理。</w:t>
            </w:r>
          </w:p>
          <w:p w14:paraId="24982A48">
            <w:pPr>
              <w:widowControl/>
              <w:adjustRightInd w:val="0"/>
              <w:snapToGrid w:val="0"/>
              <w:spacing w:line="360" w:lineRule="auto"/>
              <w:ind w:firstLine="480" w:firstLineChars="200"/>
              <w:rPr>
                <w:bCs/>
                <w:sz w:val="24"/>
              </w:rPr>
            </w:pPr>
            <w:r>
              <w:rPr>
                <w:rFonts w:hint="eastAsia"/>
                <w:bCs/>
                <w:sz w:val="24"/>
              </w:rPr>
              <w:t>本项目废水产排情况见下表：</w:t>
            </w:r>
          </w:p>
          <w:p w14:paraId="79971B64">
            <w:pPr>
              <w:pStyle w:val="137"/>
              <w:numPr>
                <w:ilvl w:val="0"/>
                <w:numId w:val="7"/>
              </w:numPr>
              <w:adjustRightInd w:val="0"/>
              <w:snapToGrid w:val="0"/>
              <w:ind w:firstLineChars="0"/>
              <w:jc w:val="center"/>
              <w:rPr>
                <w:rFonts w:hint="eastAsia"/>
                <w:b/>
                <w:szCs w:val="21"/>
              </w:rPr>
            </w:pPr>
            <w:r>
              <w:rPr>
                <w:rFonts w:hint="eastAsia"/>
                <w:b/>
                <w:szCs w:val="21"/>
              </w:rPr>
              <w:t>本项目</w:t>
            </w:r>
            <w:r>
              <w:rPr>
                <w:b/>
                <w:szCs w:val="21"/>
              </w:rPr>
              <w:t>废水</w:t>
            </w:r>
            <w:r>
              <w:rPr>
                <w:rFonts w:hint="eastAsia"/>
                <w:b/>
                <w:szCs w:val="21"/>
              </w:rPr>
              <w:t>产排情况</w:t>
            </w:r>
            <w:r>
              <w:rPr>
                <w:b/>
                <w:szCs w:val="21"/>
              </w:rPr>
              <w:t>一览表</w:t>
            </w:r>
          </w:p>
          <w:tbl>
            <w:tblPr>
              <w:tblStyle w:val="38"/>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589"/>
              <w:gridCol w:w="1025"/>
              <w:gridCol w:w="861"/>
              <w:gridCol w:w="857"/>
              <w:gridCol w:w="898"/>
              <w:gridCol w:w="779"/>
              <w:gridCol w:w="848"/>
            </w:tblGrid>
            <w:tr w14:paraId="1B80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45" w:type="pct"/>
                  <w:gridSpan w:val="2"/>
                  <w:vMerge w:val="restart"/>
                  <w:vAlign w:val="center"/>
                </w:tcPr>
                <w:p w14:paraId="4DC6AA9F">
                  <w:pPr>
                    <w:widowControl/>
                    <w:jc w:val="center"/>
                    <w:rPr>
                      <w:b/>
                      <w:bCs/>
                      <w:kern w:val="0"/>
                      <w:szCs w:val="21"/>
                      <w:u w:val="single"/>
                    </w:rPr>
                  </w:pPr>
                  <w:r>
                    <w:rPr>
                      <w:b/>
                      <w:bCs/>
                      <w:kern w:val="0"/>
                      <w:szCs w:val="21"/>
                      <w:u w:val="single"/>
                    </w:rPr>
                    <w:t>项目</w:t>
                  </w:r>
                </w:p>
              </w:tc>
              <w:tc>
                <w:tcPr>
                  <w:tcW w:w="652" w:type="pct"/>
                  <w:vMerge w:val="restart"/>
                  <w:vAlign w:val="center"/>
                </w:tcPr>
                <w:p w14:paraId="4F41A831">
                  <w:pPr>
                    <w:widowControl/>
                    <w:jc w:val="center"/>
                    <w:rPr>
                      <w:b/>
                      <w:bCs/>
                      <w:kern w:val="0"/>
                      <w:szCs w:val="21"/>
                      <w:u w:val="single"/>
                    </w:rPr>
                  </w:pPr>
                  <w:r>
                    <w:rPr>
                      <w:b/>
                      <w:bCs/>
                      <w:kern w:val="0"/>
                      <w:szCs w:val="21"/>
                      <w:u w:val="single"/>
                    </w:rPr>
                    <w:t>废水量</w:t>
                  </w:r>
                  <w:r>
                    <w:rPr>
                      <w:rFonts w:hint="eastAsia"/>
                      <w:b/>
                      <w:bCs/>
                      <w:kern w:val="0"/>
                      <w:szCs w:val="21"/>
                      <w:u w:val="single"/>
                    </w:rPr>
                    <w:t>（</w:t>
                  </w:r>
                  <w:r>
                    <w:rPr>
                      <w:b/>
                      <w:sz w:val="24"/>
                      <w:u w:val="single"/>
                    </w:rPr>
                    <w:t>m</w:t>
                  </w:r>
                  <w:r>
                    <w:rPr>
                      <w:b/>
                      <w:sz w:val="24"/>
                      <w:u w:val="single"/>
                      <w:vertAlign w:val="superscript"/>
                    </w:rPr>
                    <w:t>3</w:t>
                  </w:r>
                  <w:r>
                    <w:rPr>
                      <w:b/>
                      <w:sz w:val="24"/>
                      <w:u w:val="single"/>
                    </w:rPr>
                    <w:t>/d</w:t>
                  </w:r>
                  <w:r>
                    <w:rPr>
                      <w:rFonts w:hint="eastAsia"/>
                      <w:b/>
                      <w:bCs/>
                      <w:kern w:val="0"/>
                      <w:szCs w:val="21"/>
                      <w:u w:val="single"/>
                    </w:rPr>
                    <w:t>）</w:t>
                  </w:r>
                </w:p>
              </w:tc>
              <w:tc>
                <w:tcPr>
                  <w:tcW w:w="2702" w:type="pct"/>
                  <w:gridSpan w:val="5"/>
                  <w:vAlign w:val="center"/>
                </w:tcPr>
                <w:p w14:paraId="05584EE3">
                  <w:pPr>
                    <w:jc w:val="center"/>
                    <w:rPr>
                      <w:b/>
                      <w:u w:val="single"/>
                    </w:rPr>
                  </w:pPr>
                  <w:r>
                    <w:rPr>
                      <w:rFonts w:hint="eastAsia" w:ascii="宋体" w:hAnsi="宋体"/>
                      <w:b/>
                      <w:bCs/>
                      <w:kern w:val="0"/>
                      <w:u w:val="single"/>
                    </w:rPr>
                    <w:t>污染物浓度（</w:t>
                  </w:r>
                  <w:r>
                    <w:rPr>
                      <w:rFonts w:hint="eastAsia"/>
                      <w:b/>
                      <w:bCs/>
                      <w:kern w:val="0"/>
                      <w:u w:val="single"/>
                    </w:rPr>
                    <w:t>mg/L</w:t>
                  </w:r>
                  <w:r>
                    <w:rPr>
                      <w:rFonts w:hint="eastAsia" w:ascii="宋体" w:hAnsi="宋体"/>
                      <w:b/>
                      <w:bCs/>
                      <w:kern w:val="0"/>
                      <w:u w:val="single"/>
                    </w:rPr>
                    <w:t>）</w:t>
                  </w:r>
                </w:p>
              </w:tc>
            </w:tr>
            <w:tr w14:paraId="78BF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45" w:type="pct"/>
                  <w:gridSpan w:val="2"/>
                  <w:vMerge w:val="continue"/>
                  <w:vAlign w:val="center"/>
                </w:tcPr>
                <w:p w14:paraId="255CDD0F">
                  <w:pPr>
                    <w:widowControl/>
                    <w:jc w:val="center"/>
                    <w:rPr>
                      <w:bCs/>
                      <w:kern w:val="0"/>
                      <w:szCs w:val="21"/>
                      <w:u w:val="single"/>
                    </w:rPr>
                  </w:pPr>
                </w:p>
              </w:tc>
              <w:tc>
                <w:tcPr>
                  <w:tcW w:w="652" w:type="pct"/>
                  <w:vMerge w:val="continue"/>
                  <w:vAlign w:val="center"/>
                </w:tcPr>
                <w:p w14:paraId="3E420768">
                  <w:pPr>
                    <w:widowControl/>
                    <w:jc w:val="center"/>
                    <w:rPr>
                      <w:bCs/>
                      <w:kern w:val="0"/>
                      <w:szCs w:val="21"/>
                      <w:u w:val="single"/>
                    </w:rPr>
                  </w:pPr>
                </w:p>
              </w:tc>
              <w:tc>
                <w:tcPr>
                  <w:tcW w:w="548" w:type="pct"/>
                  <w:vAlign w:val="center"/>
                </w:tcPr>
                <w:p w14:paraId="7B4E351C">
                  <w:pPr>
                    <w:widowControl/>
                    <w:jc w:val="center"/>
                    <w:rPr>
                      <w:bCs/>
                      <w:kern w:val="0"/>
                      <w:szCs w:val="21"/>
                      <w:u w:val="single"/>
                    </w:rPr>
                  </w:pPr>
                  <w:r>
                    <w:rPr>
                      <w:rFonts w:hint="eastAsia"/>
                      <w:bCs/>
                      <w:kern w:val="0"/>
                      <w:szCs w:val="21"/>
                      <w:u w:val="single"/>
                    </w:rPr>
                    <w:t>pH</w:t>
                  </w:r>
                </w:p>
              </w:tc>
              <w:tc>
                <w:tcPr>
                  <w:tcW w:w="546" w:type="pct"/>
                  <w:vAlign w:val="center"/>
                </w:tcPr>
                <w:p w14:paraId="06CC6A88">
                  <w:pPr>
                    <w:widowControl/>
                    <w:jc w:val="center"/>
                    <w:rPr>
                      <w:bCs/>
                      <w:kern w:val="0"/>
                      <w:szCs w:val="21"/>
                      <w:u w:val="single"/>
                    </w:rPr>
                  </w:pPr>
                  <w:r>
                    <w:rPr>
                      <w:bCs/>
                      <w:kern w:val="0"/>
                      <w:szCs w:val="21"/>
                      <w:u w:val="single"/>
                    </w:rPr>
                    <w:t>COD</w:t>
                  </w:r>
                </w:p>
              </w:tc>
              <w:tc>
                <w:tcPr>
                  <w:tcW w:w="572" w:type="pct"/>
                  <w:vAlign w:val="center"/>
                </w:tcPr>
                <w:p w14:paraId="463FC45E">
                  <w:pPr>
                    <w:widowControl/>
                    <w:jc w:val="center"/>
                    <w:rPr>
                      <w:bCs/>
                      <w:kern w:val="0"/>
                      <w:szCs w:val="21"/>
                      <w:u w:val="single"/>
                    </w:rPr>
                  </w:pPr>
                  <w:r>
                    <w:rPr>
                      <w:bCs/>
                      <w:kern w:val="0"/>
                      <w:szCs w:val="21"/>
                      <w:u w:val="single"/>
                    </w:rPr>
                    <w:t>BOD</w:t>
                  </w:r>
                  <w:r>
                    <w:rPr>
                      <w:bCs/>
                      <w:kern w:val="0"/>
                      <w:szCs w:val="21"/>
                      <w:u w:val="single"/>
                      <w:vertAlign w:val="subscript"/>
                    </w:rPr>
                    <w:t>5</w:t>
                  </w:r>
                </w:p>
              </w:tc>
              <w:tc>
                <w:tcPr>
                  <w:tcW w:w="496" w:type="pct"/>
                  <w:vAlign w:val="center"/>
                </w:tcPr>
                <w:p w14:paraId="047F747C">
                  <w:pPr>
                    <w:widowControl/>
                    <w:jc w:val="center"/>
                    <w:rPr>
                      <w:bCs/>
                      <w:kern w:val="0"/>
                      <w:szCs w:val="21"/>
                      <w:u w:val="single"/>
                    </w:rPr>
                  </w:pPr>
                  <w:r>
                    <w:rPr>
                      <w:bCs/>
                      <w:kern w:val="0"/>
                      <w:szCs w:val="21"/>
                      <w:u w:val="single"/>
                    </w:rPr>
                    <w:t>SS</w:t>
                  </w:r>
                </w:p>
              </w:tc>
              <w:tc>
                <w:tcPr>
                  <w:tcW w:w="541" w:type="pct"/>
                  <w:vAlign w:val="center"/>
                </w:tcPr>
                <w:p w14:paraId="7CB4319F">
                  <w:pPr>
                    <w:widowControl/>
                    <w:jc w:val="center"/>
                    <w:rPr>
                      <w:bCs/>
                      <w:kern w:val="0"/>
                      <w:szCs w:val="21"/>
                      <w:u w:val="single"/>
                    </w:rPr>
                  </w:pPr>
                  <w:r>
                    <w:rPr>
                      <w:bCs/>
                      <w:kern w:val="0"/>
                      <w:szCs w:val="21"/>
                      <w:u w:val="single"/>
                    </w:rPr>
                    <w:t>NH</w:t>
                  </w:r>
                  <w:r>
                    <w:rPr>
                      <w:bCs/>
                      <w:kern w:val="0"/>
                      <w:szCs w:val="21"/>
                      <w:u w:val="single"/>
                      <w:vertAlign w:val="subscript"/>
                    </w:rPr>
                    <w:t>3</w:t>
                  </w:r>
                  <w:r>
                    <w:rPr>
                      <w:bCs/>
                      <w:kern w:val="0"/>
                      <w:szCs w:val="21"/>
                      <w:u w:val="single"/>
                    </w:rPr>
                    <w:t>-N</w:t>
                  </w:r>
                </w:p>
              </w:tc>
            </w:tr>
            <w:tr w14:paraId="6256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645" w:type="pct"/>
                  <w:gridSpan w:val="2"/>
                  <w:vAlign w:val="center"/>
                </w:tcPr>
                <w:p w14:paraId="76159D23">
                  <w:pPr>
                    <w:widowControl/>
                    <w:jc w:val="center"/>
                    <w:rPr>
                      <w:u w:val="single"/>
                    </w:rPr>
                  </w:pPr>
                  <w:r>
                    <w:rPr>
                      <w:rFonts w:hint="eastAsia"/>
                      <w:u w:val="single"/>
                    </w:rPr>
                    <w:t>生活污水</w:t>
                  </w:r>
                </w:p>
              </w:tc>
              <w:tc>
                <w:tcPr>
                  <w:tcW w:w="652" w:type="pct"/>
                  <w:vAlign w:val="center"/>
                </w:tcPr>
                <w:p w14:paraId="6FEF93CA">
                  <w:pPr>
                    <w:widowControl/>
                    <w:jc w:val="center"/>
                    <w:rPr>
                      <w:bCs/>
                      <w:kern w:val="0"/>
                      <w:szCs w:val="21"/>
                      <w:u w:val="single"/>
                    </w:rPr>
                  </w:pPr>
                  <w:r>
                    <w:rPr>
                      <w:rFonts w:hint="eastAsia"/>
                      <w:bCs/>
                      <w:kern w:val="0"/>
                      <w:szCs w:val="21"/>
                      <w:u w:val="single"/>
                    </w:rPr>
                    <w:t>1.76</w:t>
                  </w:r>
                </w:p>
              </w:tc>
              <w:tc>
                <w:tcPr>
                  <w:tcW w:w="548" w:type="pct"/>
                  <w:vAlign w:val="center"/>
                </w:tcPr>
                <w:p w14:paraId="224A498D">
                  <w:pPr>
                    <w:widowControl/>
                    <w:jc w:val="center"/>
                    <w:rPr>
                      <w:bCs/>
                      <w:kern w:val="0"/>
                      <w:szCs w:val="21"/>
                      <w:u w:val="single"/>
                    </w:rPr>
                  </w:pPr>
                  <w:r>
                    <w:rPr>
                      <w:bCs/>
                      <w:szCs w:val="21"/>
                      <w:u w:val="single"/>
                    </w:rPr>
                    <w:t>6-9</w:t>
                  </w:r>
                </w:p>
              </w:tc>
              <w:tc>
                <w:tcPr>
                  <w:tcW w:w="546" w:type="pct"/>
                  <w:vAlign w:val="center"/>
                </w:tcPr>
                <w:p w14:paraId="6A91985E">
                  <w:pPr>
                    <w:jc w:val="center"/>
                    <w:rPr>
                      <w:bCs/>
                      <w:kern w:val="0"/>
                      <w:szCs w:val="21"/>
                      <w:u w:val="single"/>
                    </w:rPr>
                  </w:pPr>
                  <w:r>
                    <w:rPr>
                      <w:bCs/>
                      <w:szCs w:val="21"/>
                      <w:u w:val="single"/>
                    </w:rPr>
                    <w:t>300</w:t>
                  </w:r>
                </w:p>
              </w:tc>
              <w:tc>
                <w:tcPr>
                  <w:tcW w:w="572" w:type="pct"/>
                  <w:vAlign w:val="center"/>
                </w:tcPr>
                <w:p w14:paraId="57A41B46">
                  <w:pPr>
                    <w:jc w:val="center"/>
                    <w:rPr>
                      <w:bCs/>
                      <w:kern w:val="0"/>
                      <w:szCs w:val="21"/>
                      <w:u w:val="single"/>
                    </w:rPr>
                  </w:pPr>
                  <w:r>
                    <w:rPr>
                      <w:bCs/>
                      <w:szCs w:val="21"/>
                      <w:u w:val="single"/>
                    </w:rPr>
                    <w:t>140</w:t>
                  </w:r>
                </w:p>
              </w:tc>
              <w:tc>
                <w:tcPr>
                  <w:tcW w:w="496" w:type="pct"/>
                  <w:vAlign w:val="center"/>
                </w:tcPr>
                <w:p w14:paraId="58E58663">
                  <w:pPr>
                    <w:jc w:val="center"/>
                    <w:rPr>
                      <w:bCs/>
                      <w:kern w:val="0"/>
                      <w:szCs w:val="21"/>
                      <w:u w:val="single"/>
                    </w:rPr>
                  </w:pPr>
                  <w:r>
                    <w:rPr>
                      <w:bCs/>
                      <w:szCs w:val="21"/>
                      <w:u w:val="single"/>
                    </w:rPr>
                    <w:t>200</w:t>
                  </w:r>
                </w:p>
              </w:tc>
              <w:tc>
                <w:tcPr>
                  <w:tcW w:w="541" w:type="pct"/>
                  <w:vAlign w:val="center"/>
                </w:tcPr>
                <w:p w14:paraId="04A2C33F">
                  <w:pPr>
                    <w:jc w:val="center"/>
                    <w:rPr>
                      <w:bCs/>
                      <w:kern w:val="0"/>
                      <w:szCs w:val="21"/>
                      <w:u w:val="single"/>
                    </w:rPr>
                  </w:pPr>
                  <w:r>
                    <w:rPr>
                      <w:rFonts w:hint="eastAsia"/>
                      <w:bCs/>
                      <w:szCs w:val="21"/>
                      <w:u w:val="single"/>
                    </w:rPr>
                    <w:t>25</w:t>
                  </w:r>
                </w:p>
              </w:tc>
            </w:tr>
            <w:tr w14:paraId="7F3D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3" w:type="pct"/>
                  <w:vMerge w:val="restart"/>
                  <w:vAlign w:val="center"/>
                </w:tcPr>
                <w:p w14:paraId="2BD0FB1A">
                  <w:pPr>
                    <w:widowControl/>
                    <w:jc w:val="center"/>
                    <w:rPr>
                      <w:bCs/>
                      <w:kern w:val="0"/>
                      <w:szCs w:val="21"/>
                      <w:u w:val="single"/>
                    </w:rPr>
                  </w:pPr>
                  <w:r>
                    <w:rPr>
                      <w:bCs/>
                      <w:kern w:val="0"/>
                      <w:szCs w:val="21"/>
                      <w:u w:val="single"/>
                    </w:rPr>
                    <w:t>化粪池</w:t>
                  </w:r>
                </w:p>
              </w:tc>
              <w:tc>
                <w:tcPr>
                  <w:tcW w:w="1012" w:type="pct"/>
                  <w:vAlign w:val="center"/>
                </w:tcPr>
                <w:p w14:paraId="67FA163F">
                  <w:pPr>
                    <w:widowControl/>
                    <w:jc w:val="center"/>
                    <w:rPr>
                      <w:bCs/>
                      <w:kern w:val="0"/>
                      <w:szCs w:val="21"/>
                      <w:u w:val="single"/>
                    </w:rPr>
                  </w:pPr>
                  <w:r>
                    <w:rPr>
                      <w:rFonts w:hint="eastAsia"/>
                      <w:bCs/>
                      <w:kern w:val="0"/>
                      <w:szCs w:val="21"/>
                      <w:u w:val="single"/>
                    </w:rPr>
                    <w:t>去除率（%）</w:t>
                  </w:r>
                </w:p>
              </w:tc>
              <w:tc>
                <w:tcPr>
                  <w:tcW w:w="652" w:type="pct"/>
                  <w:vAlign w:val="center"/>
                </w:tcPr>
                <w:p w14:paraId="418C644C">
                  <w:pPr>
                    <w:widowControl/>
                    <w:jc w:val="center"/>
                    <w:rPr>
                      <w:bCs/>
                      <w:kern w:val="0"/>
                      <w:szCs w:val="21"/>
                      <w:u w:val="single"/>
                    </w:rPr>
                  </w:pPr>
                  <w:r>
                    <w:rPr>
                      <w:rFonts w:hint="eastAsia"/>
                      <w:bCs/>
                      <w:kern w:val="0"/>
                      <w:szCs w:val="21"/>
                      <w:u w:val="single"/>
                    </w:rPr>
                    <w:t>/</w:t>
                  </w:r>
                </w:p>
              </w:tc>
              <w:tc>
                <w:tcPr>
                  <w:tcW w:w="548" w:type="pct"/>
                  <w:vAlign w:val="center"/>
                </w:tcPr>
                <w:p w14:paraId="37E9C32A">
                  <w:pPr>
                    <w:widowControl/>
                    <w:jc w:val="center"/>
                    <w:rPr>
                      <w:bCs/>
                      <w:kern w:val="0"/>
                      <w:szCs w:val="21"/>
                      <w:u w:val="single"/>
                    </w:rPr>
                  </w:pPr>
                  <w:r>
                    <w:rPr>
                      <w:rFonts w:hint="eastAsia"/>
                      <w:bCs/>
                      <w:kern w:val="0"/>
                      <w:szCs w:val="21"/>
                      <w:u w:val="single"/>
                    </w:rPr>
                    <w:t>/</w:t>
                  </w:r>
                </w:p>
              </w:tc>
              <w:tc>
                <w:tcPr>
                  <w:tcW w:w="546" w:type="pct"/>
                  <w:vAlign w:val="center"/>
                </w:tcPr>
                <w:p w14:paraId="14EC8819">
                  <w:pPr>
                    <w:jc w:val="center"/>
                    <w:rPr>
                      <w:bCs/>
                      <w:kern w:val="0"/>
                      <w:szCs w:val="21"/>
                      <w:u w:val="single"/>
                    </w:rPr>
                  </w:pPr>
                  <w:r>
                    <w:rPr>
                      <w:rFonts w:hint="eastAsia"/>
                      <w:bCs/>
                      <w:szCs w:val="21"/>
                      <w:u w:val="single"/>
                    </w:rPr>
                    <w:t>15%</w:t>
                  </w:r>
                </w:p>
              </w:tc>
              <w:tc>
                <w:tcPr>
                  <w:tcW w:w="572" w:type="pct"/>
                  <w:vAlign w:val="center"/>
                </w:tcPr>
                <w:p w14:paraId="6891AE2B">
                  <w:pPr>
                    <w:jc w:val="center"/>
                    <w:rPr>
                      <w:bCs/>
                      <w:kern w:val="0"/>
                      <w:szCs w:val="21"/>
                      <w:u w:val="single"/>
                    </w:rPr>
                  </w:pPr>
                  <w:r>
                    <w:rPr>
                      <w:rFonts w:hint="eastAsia"/>
                      <w:bCs/>
                      <w:szCs w:val="21"/>
                      <w:u w:val="single"/>
                    </w:rPr>
                    <w:t>10%</w:t>
                  </w:r>
                </w:p>
              </w:tc>
              <w:tc>
                <w:tcPr>
                  <w:tcW w:w="496" w:type="pct"/>
                  <w:vAlign w:val="center"/>
                </w:tcPr>
                <w:p w14:paraId="5A8E7373">
                  <w:pPr>
                    <w:jc w:val="center"/>
                    <w:rPr>
                      <w:bCs/>
                      <w:kern w:val="0"/>
                      <w:szCs w:val="21"/>
                      <w:u w:val="single"/>
                    </w:rPr>
                  </w:pPr>
                  <w:r>
                    <w:rPr>
                      <w:rFonts w:hint="eastAsia"/>
                      <w:bCs/>
                      <w:szCs w:val="21"/>
                      <w:u w:val="single"/>
                    </w:rPr>
                    <w:t>50%</w:t>
                  </w:r>
                </w:p>
              </w:tc>
              <w:tc>
                <w:tcPr>
                  <w:tcW w:w="541" w:type="pct"/>
                  <w:vAlign w:val="center"/>
                </w:tcPr>
                <w:p w14:paraId="49AF8365">
                  <w:pPr>
                    <w:jc w:val="center"/>
                    <w:rPr>
                      <w:bCs/>
                      <w:kern w:val="0"/>
                      <w:szCs w:val="21"/>
                      <w:u w:val="single"/>
                    </w:rPr>
                  </w:pPr>
                  <w:r>
                    <w:rPr>
                      <w:rFonts w:hint="eastAsia"/>
                      <w:bCs/>
                      <w:szCs w:val="21"/>
                      <w:u w:val="single"/>
                    </w:rPr>
                    <w:t>/</w:t>
                  </w:r>
                </w:p>
              </w:tc>
            </w:tr>
            <w:tr w14:paraId="519F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3" w:type="pct"/>
                  <w:vMerge w:val="continue"/>
                  <w:vAlign w:val="center"/>
                </w:tcPr>
                <w:p w14:paraId="05F060BD">
                  <w:pPr>
                    <w:widowControl/>
                    <w:jc w:val="center"/>
                    <w:rPr>
                      <w:bCs/>
                      <w:kern w:val="0"/>
                      <w:szCs w:val="21"/>
                      <w:u w:val="single"/>
                    </w:rPr>
                  </w:pPr>
                </w:p>
              </w:tc>
              <w:tc>
                <w:tcPr>
                  <w:tcW w:w="1012" w:type="pct"/>
                  <w:vAlign w:val="center"/>
                </w:tcPr>
                <w:p w14:paraId="73850EBD">
                  <w:pPr>
                    <w:widowControl/>
                    <w:jc w:val="center"/>
                    <w:rPr>
                      <w:bCs/>
                      <w:kern w:val="0"/>
                      <w:szCs w:val="21"/>
                      <w:u w:val="single"/>
                    </w:rPr>
                  </w:pPr>
                  <w:r>
                    <w:rPr>
                      <w:rFonts w:hint="eastAsia"/>
                      <w:bCs/>
                      <w:kern w:val="0"/>
                      <w:szCs w:val="21"/>
                      <w:u w:val="single"/>
                    </w:rPr>
                    <w:t>出水</w:t>
                  </w:r>
                </w:p>
              </w:tc>
              <w:tc>
                <w:tcPr>
                  <w:tcW w:w="652" w:type="pct"/>
                  <w:vAlign w:val="center"/>
                </w:tcPr>
                <w:p w14:paraId="0A190786">
                  <w:pPr>
                    <w:widowControl/>
                    <w:jc w:val="center"/>
                    <w:rPr>
                      <w:bCs/>
                      <w:kern w:val="0"/>
                      <w:szCs w:val="21"/>
                      <w:u w:val="single"/>
                    </w:rPr>
                  </w:pPr>
                  <w:r>
                    <w:rPr>
                      <w:rFonts w:hint="eastAsia"/>
                      <w:bCs/>
                      <w:kern w:val="0"/>
                      <w:szCs w:val="21"/>
                      <w:u w:val="single"/>
                    </w:rPr>
                    <w:t>1.76</w:t>
                  </w:r>
                </w:p>
              </w:tc>
              <w:tc>
                <w:tcPr>
                  <w:tcW w:w="548" w:type="pct"/>
                  <w:vAlign w:val="center"/>
                </w:tcPr>
                <w:p w14:paraId="235AD120">
                  <w:pPr>
                    <w:widowControl/>
                    <w:jc w:val="center"/>
                    <w:rPr>
                      <w:bCs/>
                      <w:kern w:val="0"/>
                      <w:szCs w:val="21"/>
                      <w:u w:val="single"/>
                    </w:rPr>
                  </w:pPr>
                  <w:r>
                    <w:rPr>
                      <w:bCs/>
                      <w:szCs w:val="21"/>
                      <w:u w:val="single"/>
                    </w:rPr>
                    <w:t>6-9</w:t>
                  </w:r>
                </w:p>
              </w:tc>
              <w:tc>
                <w:tcPr>
                  <w:tcW w:w="546" w:type="pct"/>
                  <w:vAlign w:val="center"/>
                </w:tcPr>
                <w:p w14:paraId="1BD30132">
                  <w:pPr>
                    <w:jc w:val="center"/>
                    <w:rPr>
                      <w:bCs/>
                      <w:kern w:val="0"/>
                      <w:szCs w:val="21"/>
                      <w:u w:val="single"/>
                    </w:rPr>
                  </w:pPr>
                  <w:r>
                    <w:rPr>
                      <w:rFonts w:hint="eastAsia"/>
                      <w:bCs/>
                      <w:kern w:val="0"/>
                      <w:szCs w:val="21"/>
                      <w:u w:val="single"/>
                    </w:rPr>
                    <w:t>255</w:t>
                  </w:r>
                </w:p>
              </w:tc>
              <w:tc>
                <w:tcPr>
                  <w:tcW w:w="572" w:type="pct"/>
                  <w:vAlign w:val="center"/>
                </w:tcPr>
                <w:p w14:paraId="08E4FEE1">
                  <w:pPr>
                    <w:jc w:val="center"/>
                    <w:rPr>
                      <w:bCs/>
                      <w:kern w:val="0"/>
                      <w:szCs w:val="21"/>
                      <w:u w:val="single"/>
                    </w:rPr>
                  </w:pPr>
                  <w:r>
                    <w:rPr>
                      <w:rFonts w:hint="eastAsia"/>
                      <w:bCs/>
                      <w:kern w:val="0"/>
                      <w:szCs w:val="21"/>
                      <w:u w:val="single"/>
                    </w:rPr>
                    <w:t>126</w:t>
                  </w:r>
                </w:p>
              </w:tc>
              <w:tc>
                <w:tcPr>
                  <w:tcW w:w="496" w:type="pct"/>
                  <w:vAlign w:val="center"/>
                </w:tcPr>
                <w:p w14:paraId="0EF7FDE3">
                  <w:pPr>
                    <w:jc w:val="center"/>
                    <w:rPr>
                      <w:bCs/>
                      <w:kern w:val="0"/>
                      <w:szCs w:val="21"/>
                      <w:u w:val="single"/>
                    </w:rPr>
                  </w:pPr>
                  <w:r>
                    <w:rPr>
                      <w:rFonts w:hint="eastAsia"/>
                      <w:bCs/>
                      <w:kern w:val="0"/>
                      <w:szCs w:val="21"/>
                      <w:u w:val="single"/>
                    </w:rPr>
                    <w:t>100</w:t>
                  </w:r>
                </w:p>
              </w:tc>
              <w:tc>
                <w:tcPr>
                  <w:tcW w:w="541" w:type="pct"/>
                  <w:vAlign w:val="center"/>
                </w:tcPr>
                <w:p w14:paraId="5ED3FBA5">
                  <w:pPr>
                    <w:jc w:val="center"/>
                    <w:rPr>
                      <w:bCs/>
                      <w:kern w:val="0"/>
                      <w:szCs w:val="21"/>
                      <w:u w:val="single"/>
                    </w:rPr>
                  </w:pPr>
                  <w:r>
                    <w:rPr>
                      <w:rFonts w:hint="eastAsia"/>
                      <w:bCs/>
                      <w:kern w:val="0"/>
                      <w:szCs w:val="21"/>
                      <w:u w:val="single"/>
                    </w:rPr>
                    <w:t>25</w:t>
                  </w:r>
                </w:p>
              </w:tc>
            </w:tr>
            <w:tr w14:paraId="5555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645" w:type="pct"/>
                  <w:gridSpan w:val="2"/>
                  <w:vAlign w:val="center"/>
                </w:tcPr>
                <w:p w14:paraId="14A4DC30">
                  <w:pPr>
                    <w:widowControl/>
                    <w:jc w:val="center"/>
                    <w:rPr>
                      <w:bCs/>
                      <w:kern w:val="0"/>
                      <w:szCs w:val="21"/>
                      <w:u w:val="single"/>
                    </w:rPr>
                  </w:pPr>
                  <w:r>
                    <w:rPr>
                      <w:rFonts w:hint="eastAsia"/>
                      <w:bCs/>
                      <w:kern w:val="0"/>
                      <w:szCs w:val="21"/>
                      <w:u w:val="single"/>
                    </w:rPr>
                    <w:t>磨边、清洗废水</w:t>
                  </w:r>
                </w:p>
              </w:tc>
              <w:tc>
                <w:tcPr>
                  <w:tcW w:w="652" w:type="pct"/>
                  <w:vAlign w:val="center"/>
                </w:tcPr>
                <w:p w14:paraId="7A330783">
                  <w:pPr>
                    <w:widowControl/>
                    <w:jc w:val="center"/>
                    <w:rPr>
                      <w:rFonts w:hint="eastAsia"/>
                      <w:bCs/>
                      <w:kern w:val="0"/>
                      <w:szCs w:val="21"/>
                      <w:u w:val="single"/>
                    </w:rPr>
                  </w:pPr>
                  <w:r>
                    <w:rPr>
                      <w:rFonts w:hint="eastAsia"/>
                      <w:bCs/>
                      <w:kern w:val="0"/>
                      <w:szCs w:val="21"/>
                      <w:u w:val="single"/>
                    </w:rPr>
                    <w:t>0.4</w:t>
                  </w:r>
                </w:p>
              </w:tc>
              <w:tc>
                <w:tcPr>
                  <w:tcW w:w="548" w:type="pct"/>
                  <w:vAlign w:val="center"/>
                </w:tcPr>
                <w:p w14:paraId="4BB39522">
                  <w:pPr>
                    <w:widowControl/>
                    <w:jc w:val="center"/>
                    <w:rPr>
                      <w:rFonts w:hint="eastAsia"/>
                      <w:bCs/>
                      <w:szCs w:val="21"/>
                      <w:u w:val="single"/>
                    </w:rPr>
                  </w:pPr>
                  <w:r>
                    <w:rPr>
                      <w:bCs/>
                      <w:szCs w:val="21"/>
                      <w:u w:val="single"/>
                    </w:rPr>
                    <w:t>6-9</w:t>
                  </w:r>
                </w:p>
              </w:tc>
              <w:tc>
                <w:tcPr>
                  <w:tcW w:w="546" w:type="pct"/>
                  <w:vAlign w:val="center"/>
                </w:tcPr>
                <w:p w14:paraId="31945507">
                  <w:pPr>
                    <w:jc w:val="center"/>
                    <w:rPr>
                      <w:rFonts w:hint="eastAsia"/>
                      <w:bCs/>
                      <w:szCs w:val="21"/>
                      <w:u w:val="single"/>
                    </w:rPr>
                  </w:pPr>
                  <w:r>
                    <w:rPr>
                      <w:rFonts w:hint="eastAsia"/>
                      <w:bCs/>
                      <w:szCs w:val="21"/>
                      <w:u w:val="single"/>
                    </w:rPr>
                    <w:t>80</w:t>
                  </w:r>
                </w:p>
              </w:tc>
              <w:tc>
                <w:tcPr>
                  <w:tcW w:w="572" w:type="pct"/>
                  <w:vAlign w:val="center"/>
                </w:tcPr>
                <w:p w14:paraId="0EA43BBC">
                  <w:pPr>
                    <w:jc w:val="center"/>
                    <w:rPr>
                      <w:rFonts w:hint="eastAsia"/>
                      <w:bCs/>
                      <w:szCs w:val="21"/>
                      <w:u w:val="single"/>
                    </w:rPr>
                  </w:pPr>
                  <w:r>
                    <w:rPr>
                      <w:rFonts w:hint="eastAsia"/>
                      <w:bCs/>
                      <w:szCs w:val="21"/>
                      <w:u w:val="single"/>
                    </w:rPr>
                    <w:t>18</w:t>
                  </w:r>
                </w:p>
              </w:tc>
              <w:tc>
                <w:tcPr>
                  <w:tcW w:w="496" w:type="pct"/>
                  <w:vAlign w:val="center"/>
                </w:tcPr>
                <w:p w14:paraId="3C80EB74">
                  <w:pPr>
                    <w:jc w:val="center"/>
                    <w:rPr>
                      <w:rFonts w:hint="eastAsia"/>
                      <w:bCs/>
                      <w:szCs w:val="21"/>
                      <w:u w:val="single"/>
                    </w:rPr>
                  </w:pPr>
                  <w:r>
                    <w:rPr>
                      <w:rFonts w:hint="eastAsia"/>
                      <w:bCs/>
                      <w:szCs w:val="21"/>
                      <w:u w:val="single"/>
                    </w:rPr>
                    <w:t>350</w:t>
                  </w:r>
                </w:p>
              </w:tc>
              <w:tc>
                <w:tcPr>
                  <w:tcW w:w="541" w:type="pct"/>
                  <w:vAlign w:val="center"/>
                </w:tcPr>
                <w:p w14:paraId="2FC8BBD0">
                  <w:pPr>
                    <w:jc w:val="center"/>
                    <w:rPr>
                      <w:rFonts w:hint="eastAsia"/>
                      <w:bCs/>
                      <w:szCs w:val="21"/>
                      <w:u w:val="single"/>
                    </w:rPr>
                  </w:pPr>
                  <w:r>
                    <w:rPr>
                      <w:rFonts w:hint="eastAsia"/>
                      <w:bCs/>
                      <w:szCs w:val="21"/>
                      <w:u w:val="single"/>
                    </w:rPr>
                    <w:t>/</w:t>
                  </w:r>
                </w:p>
              </w:tc>
            </w:tr>
            <w:tr w14:paraId="0524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3" w:type="pct"/>
                  <w:vMerge w:val="restart"/>
                  <w:vAlign w:val="center"/>
                </w:tcPr>
                <w:p w14:paraId="63A6289A">
                  <w:pPr>
                    <w:widowControl/>
                    <w:jc w:val="center"/>
                    <w:rPr>
                      <w:rFonts w:hint="eastAsia"/>
                      <w:bCs/>
                      <w:kern w:val="0"/>
                      <w:szCs w:val="21"/>
                      <w:u w:val="single"/>
                    </w:rPr>
                  </w:pPr>
                  <w:r>
                    <w:rPr>
                      <w:rFonts w:hint="eastAsia"/>
                      <w:bCs/>
                      <w:kern w:val="0"/>
                      <w:szCs w:val="21"/>
                      <w:u w:val="single"/>
                    </w:rPr>
                    <w:t>三级沉淀池</w:t>
                  </w:r>
                </w:p>
              </w:tc>
              <w:tc>
                <w:tcPr>
                  <w:tcW w:w="1012" w:type="pct"/>
                  <w:vAlign w:val="center"/>
                </w:tcPr>
                <w:p w14:paraId="321B1935">
                  <w:pPr>
                    <w:widowControl/>
                    <w:jc w:val="center"/>
                    <w:rPr>
                      <w:bCs/>
                      <w:kern w:val="0"/>
                      <w:szCs w:val="21"/>
                      <w:u w:val="single"/>
                    </w:rPr>
                  </w:pPr>
                  <w:r>
                    <w:rPr>
                      <w:rFonts w:hint="eastAsia"/>
                      <w:bCs/>
                      <w:kern w:val="0"/>
                      <w:szCs w:val="21"/>
                      <w:u w:val="single"/>
                    </w:rPr>
                    <w:t>去除率（%）</w:t>
                  </w:r>
                </w:p>
              </w:tc>
              <w:tc>
                <w:tcPr>
                  <w:tcW w:w="652" w:type="pct"/>
                  <w:vAlign w:val="center"/>
                </w:tcPr>
                <w:p w14:paraId="23F12A1B">
                  <w:pPr>
                    <w:widowControl/>
                    <w:jc w:val="center"/>
                    <w:rPr>
                      <w:bCs/>
                      <w:kern w:val="0"/>
                      <w:szCs w:val="21"/>
                      <w:u w:val="single"/>
                    </w:rPr>
                  </w:pPr>
                  <w:r>
                    <w:rPr>
                      <w:rFonts w:hint="eastAsia"/>
                      <w:bCs/>
                      <w:kern w:val="0"/>
                      <w:szCs w:val="21"/>
                      <w:u w:val="single"/>
                    </w:rPr>
                    <w:t>/</w:t>
                  </w:r>
                </w:p>
              </w:tc>
              <w:tc>
                <w:tcPr>
                  <w:tcW w:w="548" w:type="pct"/>
                  <w:vAlign w:val="center"/>
                </w:tcPr>
                <w:p w14:paraId="39AD504E">
                  <w:pPr>
                    <w:widowControl/>
                    <w:jc w:val="center"/>
                    <w:rPr>
                      <w:rFonts w:hint="eastAsia"/>
                      <w:bCs/>
                      <w:szCs w:val="21"/>
                      <w:u w:val="single"/>
                    </w:rPr>
                  </w:pPr>
                  <w:r>
                    <w:rPr>
                      <w:rFonts w:hint="eastAsia"/>
                      <w:bCs/>
                      <w:szCs w:val="21"/>
                      <w:u w:val="single"/>
                    </w:rPr>
                    <w:t>/</w:t>
                  </w:r>
                </w:p>
              </w:tc>
              <w:tc>
                <w:tcPr>
                  <w:tcW w:w="546" w:type="pct"/>
                  <w:vAlign w:val="center"/>
                </w:tcPr>
                <w:p w14:paraId="6F88BFC4">
                  <w:pPr>
                    <w:jc w:val="center"/>
                    <w:rPr>
                      <w:rFonts w:hint="eastAsia"/>
                      <w:bCs/>
                      <w:szCs w:val="21"/>
                      <w:u w:val="single"/>
                    </w:rPr>
                  </w:pPr>
                  <w:r>
                    <w:rPr>
                      <w:rFonts w:hint="eastAsia"/>
                      <w:bCs/>
                      <w:szCs w:val="21"/>
                      <w:u w:val="single"/>
                    </w:rPr>
                    <w:t>0</w:t>
                  </w:r>
                </w:p>
              </w:tc>
              <w:tc>
                <w:tcPr>
                  <w:tcW w:w="572" w:type="pct"/>
                  <w:vAlign w:val="center"/>
                </w:tcPr>
                <w:p w14:paraId="1CC1AEC7">
                  <w:pPr>
                    <w:jc w:val="center"/>
                    <w:rPr>
                      <w:rFonts w:hint="eastAsia"/>
                      <w:bCs/>
                      <w:szCs w:val="21"/>
                      <w:u w:val="single"/>
                    </w:rPr>
                  </w:pPr>
                  <w:r>
                    <w:rPr>
                      <w:rFonts w:hint="eastAsia"/>
                      <w:bCs/>
                      <w:szCs w:val="21"/>
                      <w:u w:val="single"/>
                    </w:rPr>
                    <w:t>0</w:t>
                  </w:r>
                </w:p>
              </w:tc>
              <w:tc>
                <w:tcPr>
                  <w:tcW w:w="496" w:type="pct"/>
                  <w:vAlign w:val="center"/>
                </w:tcPr>
                <w:p w14:paraId="1FAB6FA4">
                  <w:pPr>
                    <w:jc w:val="center"/>
                    <w:rPr>
                      <w:rFonts w:hint="eastAsia"/>
                      <w:bCs/>
                      <w:szCs w:val="21"/>
                      <w:u w:val="single"/>
                    </w:rPr>
                  </w:pPr>
                  <w:r>
                    <w:rPr>
                      <w:rFonts w:hint="eastAsia"/>
                      <w:bCs/>
                      <w:szCs w:val="21"/>
                      <w:u w:val="single"/>
                    </w:rPr>
                    <w:t>80</w:t>
                  </w:r>
                </w:p>
              </w:tc>
              <w:tc>
                <w:tcPr>
                  <w:tcW w:w="541" w:type="pct"/>
                  <w:vAlign w:val="center"/>
                </w:tcPr>
                <w:p w14:paraId="12A7E2C6">
                  <w:pPr>
                    <w:jc w:val="center"/>
                    <w:rPr>
                      <w:rFonts w:hint="eastAsia"/>
                      <w:bCs/>
                      <w:szCs w:val="21"/>
                      <w:u w:val="single"/>
                    </w:rPr>
                  </w:pPr>
                  <w:r>
                    <w:rPr>
                      <w:rFonts w:hint="eastAsia"/>
                      <w:bCs/>
                      <w:szCs w:val="21"/>
                      <w:u w:val="single"/>
                    </w:rPr>
                    <w:t>/</w:t>
                  </w:r>
                </w:p>
              </w:tc>
            </w:tr>
            <w:tr w14:paraId="1A7C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3" w:type="pct"/>
                  <w:vMerge w:val="continue"/>
                  <w:vAlign w:val="center"/>
                </w:tcPr>
                <w:p w14:paraId="0EF385C7">
                  <w:pPr>
                    <w:widowControl/>
                    <w:jc w:val="center"/>
                    <w:rPr>
                      <w:rFonts w:hint="eastAsia"/>
                      <w:bCs/>
                      <w:kern w:val="0"/>
                      <w:szCs w:val="21"/>
                      <w:u w:val="single"/>
                    </w:rPr>
                  </w:pPr>
                </w:p>
              </w:tc>
              <w:tc>
                <w:tcPr>
                  <w:tcW w:w="1012" w:type="pct"/>
                  <w:vAlign w:val="center"/>
                </w:tcPr>
                <w:p w14:paraId="616C84AD">
                  <w:pPr>
                    <w:widowControl/>
                    <w:jc w:val="center"/>
                    <w:rPr>
                      <w:bCs/>
                      <w:kern w:val="0"/>
                      <w:szCs w:val="21"/>
                      <w:u w:val="single"/>
                    </w:rPr>
                  </w:pPr>
                  <w:r>
                    <w:rPr>
                      <w:rFonts w:hint="eastAsia"/>
                      <w:bCs/>
                      <w:kern w:val="0"/>
                      <w:szCs w:val="21"/>
                      <w:u w:val="single"/>
                    </w:rPr>
                    <w:t>出水</w:t>
                  </w:r>
                </w:p>
              </w:tc>
              <w:tc>
                <w:tcPr>
                  <w:tcW w:w="652" w:type="pct"/>
                  <w:vAlign w:val="center"/>
                </w:tcPr>
                <w:p w14:paraId="7982EA10">
                  <w:pPr>
                    <w:widowControl/>
                    <w:jc w:val="center"/>
                    <w:rPr>
                      <w:bCs/>
                      <w:kern w:val="0"/>
                      <w:szCs w:val="21"/>
                      <w:u w:val="single"/>
                    </w:rPr>
                  </w:pPr>
                  <w:r>
                    <w:rPr>
                      <w:rFonts w:hint="eastAsia"/>
                      <w:bCs/>
                      <w:kern w:val="0"/>
                      <w:szCs w:val="21"/>
                      <w:u w:val="single"/>
                    </w:rPr>
                    <w:t>0.4</w:t>
                  </w:r>
                </w:p>
              </w:tc>
              <w:tc>
                <w:tcPr>
                  <w:tcW w:w="548" w:type="pct"/>
                  <w:vAlign w:val="center"/>
                </w:tcPr>
                <w:p w14:paraId="36AEA022">
                  <w:pPr>
                    <w:widowControl/>
                    <w:jc w:val="center"/>
                    <w:rPr>
                      <w:rFonts w:hint="eastAsia"/>
                      <w:bCs/>
                      <w:szCs w:val="21"/>
                      <w:u w:val="single"/>
                    </w:rPr>
                  </w:pPr>
                  <w:r>
                    <w:rPr>
                      <w:bCs/>
                      <w:szCs w:val="21"/>
                      <w:u w:val="single"/>
                    </w:rPr>
                    <w:t>6-9</w:t>
                  </w:r>
                </w:p>
              </w:tc>
              <w:tc>
                <w:tcPr>
                  <w:tcW w:w="546" w:type="pct"/>
                  <w:vAlign w:val="center"/>
                </w:tcPr>
                <w:p w14:paraId="3C224161">
                  <w:pPr>
                    <w:jc w:val="center"/>
                    <w:rPr>
                      <w:rFonts w:hint="eastAsia"/>
                      <w:bCs/>
                      <w:szCs w:val="21"/>
                      <w:u w:val="single"/>
                    </w:rPr>
                  </w:pPr>
                  <w:r>
                    <w:rPr>
                      <w:rFonts w:hint="eastAsia"/>
                      <w:bCs/>
                      <w:szCs w:val="21"/>
                      <w:u w:val="single"/>
                    </w:rPr>
                    <w:t>80</w:t>
                  </w:r>
                </w:p>
              </w:tc>
              <w:tc>
                <w:tcPr>
                  <w:tcW w:w="572" w:type="pct"/>
                  <w:vAlign w:val="center"/>
                </w:tcPr>
                <w:p w14:paraId="3900721F">
                  <w:pPr>
                    <w:jc w:val="center"/>
                    <w:rPr>
                      <w:rFonts w:hint="eastAsia"/>
                      <w:bCs/>
                      <w:szCs w:val="21"/>
                      <w:u w:val="single"/>
                    </w:rPr>
                  </w:pPr>
                  <w:r>
                    <w:rPr>
                      <w:rFonts w:hint="eastAsia"/>
                      <w:bCs/>
                      <w:szCs w:val="21"/>
                      <w:u w:val="single"/>
                    </w:rPr>
                    <w:t>18</w:t>
                  </w:r>
                </w:p>
              </w:tc>
              <w:tc>
                <w:tcPr>
                  <w:tcW w:w="496" w:type="pct"/>
                  <w:vAlign w:val="center"/>
                </w:tcPr>
                <w:p w14:paraId="1D11B6E1">
                  <w:pPr>
                    <w:jc w:val="center"/>
                    <w:rPr>
                      <w:rFonts w:hint="eastAsia"/>
                      <w:bCs/>
                      <w:szCs w:val="21"/>
                      <w:u w:val="single"/>
                    </w:rPr>
                  </w:pPr>
                  <w:r>
                    <w:rPr>
                      <w:rFonts w:hint="eastAsia"/>
                      <w:bCs/>
                      <w:szCs w:val="21"/>
                      <w:u w:val="single"/>
                    </w:rPr>
                    <w:t>70</w:t>
                  </w:r>
                </w:p>
              </w:tc>
              <w:tc>
                <w:tcPr>
                  <w:tcW w:w="541" w:type="pct"/>
                  <w:vAlign w:val="center"/>
                </w:tcPr>
                <w:p w14:paraId="18E50993">
                  <w:pPr>
                    <w:jc w:val="center"/>
                    <w:rPr>
                      <w:rFonts w:hint="eastAsia"/>
                      <w:bCs/>
                      <w:szCs w:val="21"/>
                      <w:u w:val="single"/>
                    </w:rPr>
                  </w:pPr>
                  <w:r>
                    <w:rPr>
                      <w:rFonts w:hint="eastAsia"/>
                      <w:bCs/>
                      <w:szCs w:val="21"/>
                      <w:u w:val="single"/>
                    </w:rPr>
                    <w:t>/</w:t>
                  </w:r>
                </w:p>
              </w:tc>
            </w:tr>
            <w:tr w14:paraId="52B9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3" w:type="pct"/>
                  <w:vMerge w:val="continue"/>
                  <w:vAlign w:val="center"/>
                </w:tcPr>
                <w:p w14:paraId="482E3711">
                  <w:pPr>
                    <w:widowControl/>
                    <w:jc w:val="center"/>
                    <w:rPr>
                      <w:rFonts w:hint="eastAsia"/>
                      <w:bCs/>
                      <w:kern w:val="0"/>
                      <w:szCs w:val="21"/>
                      <w:u w:val="single"/>
                    </w:rPr>
                  </w:pPr>
                </w:p>
              </w:tc>
              <w:tc>
                <w:tcPr>
                  <w:tcW w:w="1012" w:type="pct"/>
                  <w:vAlign w:val="center"/>
                </w:tcPr>
                <w:p w14:paraId="0547EEF6">
                  <w:pPr>
                    <w:widowControl/>
                    <w:jc w:val="center"/>
                    <w:rPr>
                      <w:rFonts w:hint="eastAsia"/>
                      <w:bCs/>
                      <w:kern w:val="0"/>
                      <w:szCs w:val="21"/>
                      <w:u w:val="single"/>
                    </w:rPr>
                  </w:pPr>
                  <w:r>
                    <w:rPr>
                      <w:rFonts w:hint="eastAsia"/>
                      <w:bCs/>
                      <w:kern w:val="0"/>
                      <w:szCs w:val="21"/>
                      <w:u w:val="single"/>
                    </w:rPr>
                    <w:t>回用于磨边</w:t>
                  </w:r>
                </w:p>
              </w:tc>
              <w:tc>
                <w:tcPr>
                  <w:tcW w:w="652" w:type="pct"/>
                  <w:vAlign w:val="center"/>
                </w:tcPr>
                <w:p w14:paraId="130AD40F">
                  <w:pPr>
                    <w:widowControl/>
                    <w:jc w:val="center"/>
                    <w:rPr>
                      <w:rFonts w:hint="eastAsia"/>
                      <w:bCs/>
                      <w:kern w:val="0"/>
                      <w:szCs w:val="21"/>
                      <w:u w:val="single"/>
                    </w:rPr>
                  </w:pPr>
                  <w:r>
                    <w:rPr>
                      <w:rFonts w:hint="eastAsia"/>
                      <w:bCs/>
                      <w:kern w:val="0"/>
                      <w:szCs w:val="21"/>
                      <w:u w:val="single"/>
                    </w:rPr>
                    <w:t>0.14</w:t>
                  </w:r>
                </w:p>
              </w:tc>
              <w:tc>
                <w:tcPr>
                  <w:tcW w:w="548" w:type="pct"/>
                  <w:vAlign w:val="center"/>
                </w:tcPr>
                <w:p w14:paraId="2A5311D9">
                  <w:pPr>
                    <w:widowControl/>
                    <w:jc w:val="center"/>
                    <w:rPr>
                      <w:rFonts w:hint="eastAsia"/>
                      <w:bCs/>
                      <w:szCs w:val="21"/>
                      <w:u w:val="single"/>
                    </w:rPr>
                  </w:pPr>
                  <w:r>
                    <w:rPr>
                      <w:bCs/>
                      <w:szCs w:val="21"/>
                      <w:u w:val="single"/>
                    </w:rPr>
                    <w:t>6-9</w:t>
                  </w:r>
                </w:p>
              </w:tc>
              <w:tc>
                <w:tcPr>
                  <w:tcW w:w="546" w:type="pct"/>
                  <w:vAlign w:val="center"/>
                </w:tcPr>
                <w:p w14:paraId="38ACEA6D">
                  <w:pPr>
                    <w:jc w:val="center"/>
                    <w:rPr>
                      <w:rFonts w:hint="eastAsia"/>
                      <w:bCs/>
                      <w:szCs w:val="21"/>
                      <w:u w:val="single"/>
                    </w:rPr>
                  </w:pPr>
                  <w:r>
                    <w:rPr>
                      <w:rFonts w:hint="eastAsia"/>
                      <w:bCs/>
                      <w:szCs w:val="21"/>
                      <w:u w:val="single"/>
                    </w:rPr>
                    <w:t>80</w:t>
                  </w:r>
                </w:p>
              </w:tc>
              <w:tc>
                <w:tcPr>
                  <w:tcW w:w="572" w:type="pct"/>
                  <w:vAlign w:val="center"/>
                </w:tcPr>
                <w:p w14:paraId="2E1D6B1B">
                  <w:pPr>
                    <w:jc w:val="center"/>
                    <w:rPr>
                      <w:rFonts w:hint="eastAsia"/>
                      <w:bCs/>
                      <w:szCs w:val="21"/>
                      <w:u w:val="single"/>
                    </w:rPr>
                  </w:pPr>
                  <w:r>
                    <w:rPr>
                      <w:rFonts w:hint="eastAsia"/>
                      <w:bCs/>
                      <w:szCs w:val="21"/>
                      <w:u w:val="single"/>
                    </w:rPr>
                    <w:t>18</w:t>
                  </w:r>
                </w:p>
              </w:tc>
              <w:tc>
                <w:tcPr>
                  <w:tcW w:w="496" w:type="pct"/>
                  <w:vAlign w:val="center"/>
                </w:tcPr>
                <w:p w14:paraId="7B8D5826">
                  <w:pPr>
                    <w:jc w:val="center"/>
                    <w:rPr>
                      <w:rFonts w:hint="eastAsia"/>
                      <w:bCs/>
                      <w:szCs w:val="21"/>
                      <w:u w:val="single"/>
                    </w:rPr>
                  </w:pPr>
                  <w:r>
                    <w:rPr>
                      <w:rFonts w:hint="eastAsia"/>
                      <w:bCs/>
                      <w:szCs w:val="21"/>
                      <w:u w:val="single"/>
                    </w:rPr>
                    <w:t>70</w:t>
                  </w:r>
                </w:p>
              </w:tc>
              <w:tc>
                <w:tcPr>
                  <w:tcW w:w="541" w:type="pct"/>
                  <w:vAlign w:val="center"/>
                </w:tcPr>
                <w:p w14:paraId="5F40C18D">
                  <w:pPr>
                    <w:jc w:val="center"/>
                    <w:rPr>
                      <w:rFonts w:hint="eastAsia"/>
                      <w:bCs/>
                      <w:szCs w:val="21"/>
                      <w:u w:val="single"/>
                    </w:rPr>
                  </w:pPr>
                  <w:r>
                    <w:rPr>
                      <w:rFonts w:hint="eastAsia"/>
                      <w:bCs/>
                      <w:szCs w:val="21"/>
                      <w:u w:val="single"/>
                    </w:rPr>
                    <w:t>/</w:t>
                  </w:r>
                </w:p>
              </w:tc>
            </w:tr>
            <w:tr w14:paraId="17B9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3" w:type="pct"/>
                  <w:vMerge w:val="continue"/>
                  <w:vAlign w:val="center"/>
                </w:tcPr>
                <w:p w14:paraId="60FCD18D">
                  <w:pPr>
                    <w:widowControl/>
                    <w:jc w:val="center"/>
                    <w:rPr>
                      <w:rFonts w:hint="eastAsia"/>
                      <w:bCs/>
                      <w:kern w:val="0"/>
                      <w:szCs w:val="21"/>
                      <w:u w:val="single"/>
                    </w:rPr>
                  </w:pPr>
                </w:p>
              </w:tc>
              <w:tc>
                <w:tcPr>
                  <w:tcW w:w="1012" w:type="pct"/>
                  <w:vAlign w:val="center"/>
                </w:tcPr>
                <w:p w14:paraId="091DA03B">
                  <w:pPr>
                    <w:widowControl/>
                    <w:jc w:val="center"/>
                    <w:rPr>
                      <w:rFonts w:hint="eastAsia"/>
                      <w:bCs/>
                      <w:kern w:val="0"/>
                      <w:szCs w:val="21"/>
                      <w:u w:val="single"/>
                    </w:rPr>
                  </w:pPr>
                  <w:r>
                    <w:rPr>
                      <w:rFonts w:hint="eastAsia"/>
                      <w:bCs/>
                      <w:kern w:val="0"/>
                      <w:szCs w:val="21"/>
                      <w:u w:val="single"/>
                    </w:rPr>
                    <w:t>排入市政管网</w:t>
                  </w:r>
                </w:p>
              </w:tc>
              <w:tc>
                <w:tcPr>
                  <w:tcW w:w="652" w:type="pct"/>
                  <w:vAlign w:val="center"/>
                </w:tcPr>
                <w:p w14:paraId="1C7F9925">
                  <w:pPr>
                    <w:widowControl/>
                    <w:jc w:val="center"/>
                    <w:rPr>
                      <w:bCs/>
                      <w:kern w:val="0"/>
                      <w:szCs w:val="21"/>
                      <w:u w:val="single"/>
                    </w:rPr>
                  </w:pPr>
                  <w:r>
                    <w:rPr>
                      <w:rFonts w:hint="eastAsia"/>
                      <w:bCs/>
                      <w:kern w:val="0"/>
                      <w:szCs w:val="21"/>
                      <w:u w:val="single"/>
                    </w:rPr>
                    <w:t>0.26</w:t>
                  </w:r>
                </w:p>
              </w:tc>
              <w:tc>
                <w:tcPr>
                  <w:tcW w:w="548" w:type="pct"/>
                  <w:vAlign w:val="center"/>
                </w:tcPr>
                <w:p w14:paraId="0E91BB8D">
                  <w:pPr>
                    <w:widowControl/>
                    <w:jc w:val="center"/>
                    <w:rPr>
                      <w:rFonts w:hint="eastAsia"/>
                      <w:bCs/>
                      <w:szCs w:val="21"/>
                      <w:u w:val="single"/>
                    </w:rPr>
                  </w:pPr>
                  <w:r>
                    <w:rPr>
                      <w:bCs/>
                      <w:szCs w:val="21"/>
                      <w:u w:val="single"/>
                    </w:rPr>
                    <w:t>6-9</w:t>
                  </w:r>
                </w:p>
              </w:tc>
              <w:tc>
                <w:tcPr>
                  <w:tcW w:w="546" w:type="pct"/>
                  <w:vAlign w:val="center"/>
                </w:tcPr>
                <w:p w14:paraId="0F6856D3">
                  <w:pPr>
                    <w:jc w:val="center"/>
                    <w:rPr>
                      <w:rFonts w:hint="eastAsia"/>
                      <w:bCs/>
                      <w:szCs w:val="21"/>
                      <w:u w:val="single"/>
                    </w:rPr>
                  </w:pPr>
                  <w:r>
                    <w:rPr>
                      <w:rFonts w:hint="eastAsia"/>
                      <w:bCs/>
                      <w:szCs w:val="21"/>
                      <w:u w:val="single"/>
                    </w:rPr>
                    <w:t>80</w:t>
                  </w:r>
                </w:p>
              </w:tc>
              <w:tc>
                <w:tcPr>
                  <w:tcW w:w="572" w:type="pct"/>
                  <w:vAlign w:val="center"/>
                </w:tcPr>
                <w:p w14:paraId="4BE2641D">
                  <w:pPr>
                    <w:jc w:val="center"/>
                    <w:rPr>
                      <w:rFonts w:hint="eastAsia"/>
                      <w:bCs/>
                      <w:szCs w:val="21"/>
                      <w:u w:val="single"/>
                    </w:rPr>
                  </w:pPr>
                  <w:r>
                    <w:rPr>
                      <w:rFonts w:hint="eastAsia"/>
                      <w:bCs/>
                      <w:szCs w:val="21"/>
                      <w:u w:val="single"/>
                    </w:rPr>
                    <w:t>18</w:t>
                  </w:r>
                </w:p>
              </w:tc>
              <w:tc>
                <w:tcPr>
                  <w:tcW w:w="496" w:type="pct"/>
                  <w:vAlign w:val="center"/>
                </w:tcPr>
                <w:p w14:paraId="3F78BAA2">
                  <w:pPr>
                    <w:jc w:val="center"/>
                    <w:rPr>
                      <w:rFonts w:hint="eastAsia"/>
                      <w:bCs/>
                      <w:szCs w:val="21"/>
                      <w:u w:val="single"/>
                    </w:rPr>
                  </w:pPr>
                  <w:r>
                    <w:rPr>
                      <w:rFonts w:hint="eastAsia"/>
                      <w:bCs/>
                      <w:szCs w:val="21"/>
                      <w:u w:val="single"/>
                    </w:rPr>
                    <w:t>70</w:t>
                  </w:r>
                </w:p>
              </w:tc>
              <w:tc>
                <w:tcPr>
                  <w:tcW w:w="541" w:type="pct"/>
                  <w:vAlign w:val="center"/>
                </w:tcPr>
                <w:p w14:paraId="18E61CBF">
                  <w:pPr>
                    <w:jc w:val="center"/>
                    <w:rPr>
                      <w:rFonts w:hint="eastAsia"/>
                      <w:bCs/>
                      <w:szCs w:val="21"/>
                      <w:u w:val="single"/>
                    </w:rPr>
                  </w:pPr>
                  <w:r>
                    <w:rPr>
                      <w:rFonts w:hint="eastAsia"/>
                      <w:bCs/>
                      <w:szCs w:val="21"/>
                      <w:u w:val="single"/>
                    </w:rPr>
                    <w:t>/</w:t>
                  </w:r>
                </w:p>
              </w:tc>
            </w:tr>
            <w:tr w14:paraId="75D0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645" w:type="pct"/>
                  <w:gridSpan w:val="2"/>
                  <w:vAlign w:val="center"/>
                </w:tcPr>
                <w:p w14:paraId="76076575">
                  <w:pPr>
                    <w:widowControl/>
                    <w:jc w:val="center"/>
                    <w:rPr>
                      <w:rFonts w:hint="eastAsia"/>
                      <w:bCs/>
                      <w:kern w:val="0"/>
                      <w:szCs w:val="21"/>
                      <w:u w:val="single"/>
                    </w:rPr>
                  </w:pPr>
                  <w:r>
                    <w:rPr>
                      <w:rFonts w:hint="eastAsia"/>
                      <w:bCs/>
                      <w:kern w:val="0"/>
                      <w:szCs w:val="21"/>
                      <w:u w:val="single"/>
                    </w:rPr>
                    <w:t>纯水制备浓水</w:t>
                  </w:r>
                </w:p>
              </w:tc>
              <w:tc>
                <w:tcPr>
                  <w:tcW w:w="652" w:type="pct"/>
                  <w:vAlign w:val="center"/>
                </w:tcPr>
                <w:p w14:paraId="743508F4">
                  <w:pPr>
                    <w:widowControl/>
                    <w:jc w:val="center"/>
                    <w:rPr>
                      <w:rFonts w:hint="eastAsia" w:eastAsia="宋体"/>
                      <w:bCs/>
                      <w:kern w:val="0"/>
                      <w:szCs w:val="21"/>
                      <w:u w:val="single"/>
                      <w:lang w:eastAsia="zh-CN"/>
                    </w:rPr>
                  </w:pPr>
                  <w:r>
                    <w:rPr>
                      <w:rFonts w:hint="eastAsia"/>
                      <w:bCs/>
                      <w:kern w:val="0"/>
                      <w:szCs w:val="21"/>
                      <w:u w:val="single"/>
                    </w:rPr>
                    <w:t>0.1</w:t>
                  </w:r>
                  <w:r>
                    <w:rPr>
                      <w:rFonts w:hint="eastAsia"/>
                      <w:bCs/>
                      <w:kern w:val="0"/>
                      <w:szCs w:val="21"/>
                      <w:u w:val="single"/>
                      <w:lang w:val="en-US" w:eastAsia="zh-CN"/>
                    </w:rPr>
                    <w:t>8</w:t>
                  </w:r>
                </w:p>
              </w:tc>
              <w:tc>
                <w:tcPr>
                  <w:tcW w:w="548" w:type="pct"/>
                  <w:vAlign w:val="center"/>
                </w:tcPr>
                <w:p w14:paraId="09490E62">
                  <w:pPr>
                    <w:widowControl/>
                    <w:jc w:val="center"/>
                    <w:rPr>
                      <w:rFonts w:hint="eastAsia"/>
                      <w:bCs/>
                      <w:szCs w:val="21"/>
                      <w:u w:val="single"/>
                    </w:rPr>
                  </w:pPr>
                  <w:r>
                    <w:rPr>
                      <w:bCs/>
                      <w:szCs w:val="21"/>
                      <w:u w:val="single"/>
                    </w:rPr>
                    <w:t>6-9</w:t>
                  </w:r>
                </w:p>
              </w:tc>
              <w:tc>
                <w:tcPr>
                  <w:tcW w:w="546" w:type="pct"/>
                  <w:vAlign w:val="center"/>
                </w:tcPr>
                <w:p w14:paraId="447663E6">
                  <w:pPr>
                    <w:jc w:val="center"/>
                    <w:rPr>
                      <w:rFonts w:hint="eastAsia"/>
                      <w:bCs/>
                      <w:szCs w:val="21"/>
                      <w:u w:val="single"/>
                    </w:rPr>
                  </w:pPr>
                  <w:r>
                    <w:rPr>
                      <w:rFonts w:hint="eastAsia"/>
                      <w:bCs/>
                      <w:szCs w:val="21"/>
                      <w:u w:val="single"/>
                    </w:rPr>
                    <w:t>50</w:t>
                  </w:r>
                </w:p>
              </w:tc>
              <w:tc>
                <w:tcPr>
                  <w:tcW w:w="572" w:type="pct"/>
                  <w:vAlign w:val="center"/>
                </w:tcPr>
                <w:p w14:paraId="01E0C23B">
                  <w:pPr>
                    <w:jc w:val="center"/>
                    <w:rPr>
                      <w:rFonts w:hint="eastAsia"/>
                      <w:bCs/>
                      <w:szCs w:val="21"/>
                      <w:u w:val="single"/>
                    </w:rPr>
                  </w:pPr>
                  <w:r>
                    <w:rPr>
                      <w:rFonts w:hint="eastAsia"/>
                      <w:bCs/>
                      <w:szCs w:val="21"/>
                      <w:u w:val="single"/>
                    </w:rPr>
                    <w:t>/</w:t>
                  </w:r>
                </w:p>
              </w:tc>
              <w:tc>
                <w:tcPr>
                  <w:tcW w:w="496" w:type="pct"/>
                  <w:vAlign w:val="center"/>
                </w:tcPr>
                <w:p w14:paraId="5A585BF2">
                  <w:pPr>
                    <w:jc w:val="center"/>
                    <w:rPr>
                      <w:rFonts w:hint="eastAsia"/>
                      <w:bCs/>
                      <w:szCs w:val="21"/>
                      <w:u w:val="single"/>
                    </w:rPr>
                  </w:pPr>
                  <w:r>
                    <w:rPr>
                      <w:rFonts w:hint="eastAsia"/>
                      <w:bCs/>
                      <w:szCs w:val="21"/>
                      <w:u w:val="single"/>
                    </w:rPr>
                    <w:t>50</w:t>
                  </w:r>
                </w:p>
              </w:tc>
              <w:tc>
                <w:tcPr>
                  <w:tcW w:w="541" w:type="pct"/>
                  <w:vAlign w:val="center"/>
                </w:tcPr>
                <w:p w14:paraId="453B3C7E">
                  <w:pPr>
                    <w:jc w:val="center"/>
                    <w:rPr>
                      <w:rFonts w:hint="eastAsia"/>
                      <w:bCs/>
                      <w:szCs w:val="21"/>
                      <w:u w:val="single"/>
                    </w:rPr>
                  </w:pPr>
                  <w:r>
                    <w:rPr>
                      <w:rFonts w:hint="eastAsia"/>
                      <w:bCs/>
                      <w:szCs w:val="21"/>
                      <w:u w:val="single"/>
                    </w:rPr>
                    <w:t>/</w:t>
                  </w:r>
                </w:p>
              </w:tc>
            </w:tr>
            <w:tr w14:paraId="48AC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645" w:type="pct"/>
                  <w:gridSpan w:val="2"/>
                  <w:vAlign w:val="center"/>
                </w:tcPr>
                <w:p w14:paraId="67C427D7">
                  <w:pPr>
                    <w:widowControl/>
                    <w:jc w:val="center"/>
                    <w:rPr>
                      <w:rFonts w:hint="eastAsia"/>
                      <w:bCs/>
                      <w:kern w:val="0"/>
                      <w:szCs w:val="21"/>
                      <w:u w:val="single"/>
                    </w:rPr>
                  </w:pPr>
                  <w:r>
                    <w:rPr>
                      <w:rFonts w:hint="eastAsia"/>
                      <w:bCs/>
                      <w:kern w:val="0"/>
                      <w:szCs w:val="21"/>
                      <w:u w:val="single"/>
                    </w:rPr>
                    <w:t>厂区总排口</w:t>
                  </w:r>
                </w:p>
              </w:tc>
              <w:tc>
                <w:tcPr>
                  <w:tcW w:w="652" w:type="pct"/>
                  <w:vAlign w:val="center"/>
                </w:tcPr>
                <w:p w14:paraId="2B5171B7">
                  <w:pPr>
                    <w:widowControl/>
                    <w:jc w:val="center"/>
                    <w:rPr>
                      <w:rFonts w:hint="eastAsia" w:eastAsia="宋体"/>
                      <w:bCs/>
                      <w:kern w:val="0"/>
                      <w:szCs w:val="21"/>
                      <w:u w:val="single"/>
                      <w:lang w:val="en-US" w:eastAsia="zh-CN"/>
                    </w:rPr>
                  </w:pPr>
                  <w:r>
                    <w:rPr>
                      <w:rFonts w:hint="eastAsia"/>
                      <w:bCs/>
                      <w:kern w:val="0"/>
                      <w:szCs w:val="21"/>
                      <w:u w:val="single"/>
                    </w:rPr>
                    <w:t>2.</w:t>
                  </w:r>
                  <w:r>
                    <w:rPr>
                      <w:rFonts w:hint="eastAsia"/>
                      <w:bCs/>
                      <w:kern w:val="0"/>
                      <w:szCs w:val="21"/>
                      <w:u w:val="single"/>
                      <w:lang w:val="en-US" w:eastAsia="zh-CN"/>
                    </w:rPr>
                    <w:t>2</w:t>
                  </w:r>
                </w:p>
              </w:tc>
              <w:tc>
                <w:tcPr>
                  <w:tcW w:w="548" w:type="pct"/>
                  <w:vAlign w:val="center"/>
                </w:tcPr>
                <w:p w14:paraId="537ED960">
                  <w:pPr>
                    <w:widowControl/>
                    <w:jc w:val="center"/>
                    <w:rPr>
                      <w:rFonts w:hint="eastAsia"/>
                      <w:bCs/>
                      <w:szCs w:val="21"/>
                      <w:u w:val="single"/>
                    </w:rPr>
                  </w:pPr>
                  <w:r>
                    <w:rPr>
                      <w:bCs/>
                      <w:szCs w:val="21"/>
                      <w:u w:val="single"/>
                    </w:rPr>
                    <w:t>6-9</w:t>
                  </w:r>
                </w:p>
              </w:tc>
              <w:tc>
                <w:tcPr>
                  <w:tcW w:w="546" w:type="pct"/>
                  <w:vAlign w:val="center"/>
                </w:tcPr>
                <w:p w14:paraId="198BCEA9">
                  <w:pPr>
                    <w:jc w:val="center"/>
                    <w:rPr>
                      <w:rFonts w:hint="default" w:eastAsia="宋体"/>
                      <w:bCs/>
                      <w:szCs w:val="21"/>
                      <w:u w:val="single"/>
                      <w:lang w:val="en-US" w:eastAsia="zh-CN"/>
                    </w:rPr>
                  </w:pPr>
                  <w:r>
                    <w:rPr>
                      <w:rFonts w:hint="eastAsia"/>
                      <w:bCs/>
                      <w:szCs w:val="21"/>
                      <w:u w:val="single"/>
                    </w:rPr>
                    <w:t>2</w:t>
                  </w:r>
                  <w:r>
                    <w:rPr>
                      <w:rFonts w:hint="eastAsia"/>
                      <w:bCs/>
                      <w:szCs w:val="21"/>
                      <w:u w:val="single"/>
                      <w:lang w:val="en-US" w:eastAsia="zh-CN"/>
                    </w:rPr>
                    <w:t>17.5</w:t>
                  </w:r>
                </w:p>
              </w:tc>
              <w:tc>
                <w:tcPr>
                  <w:tcW w:w="572" w:type="pct"/>
                  <w:vAlign w:val="center"/>
                </w:tcPr>
                <w:p w14:paraId="52A232F3">
                  <w:pPr>
                    <w:jc w:val="center"/>
                    <w:rPr>
                      <w:rFonts w:hint="eastAsia"/>
                      <w:bCs/>
                      <w:szCs w:val="21"/>
                      <w:u w:val="single"/>
                    </w:rPr>
                  </w:pPr>
                  <w:r>
                    <w:rPr>
                      <w:rFonts w:hint="eastAsia"/>
                      <w:bCs/>
                      <w:szCs w:val="21"/>
                      <w:u w:val="single"/>
                    </w:rPr>
                    <w:t>106.6</w:t>
                  </w:r>
                </w:p>
              </w:tc>
              <w:tc>
                <w:tcPr>
                  <w:tcW w:w="496" w:type="pct"/>
                  <w:vAlign w:val="center"/>
                </w:tcPr>
                <w:p w14:paraId="1275B625">
                  <w:pPr>
                    <w:jc w:val="center"/>
                    <w:rPr>
                      <w:rFonts w:hint="eastAsia"/>
                      <w:bCs/>
                      <w:szCs w:val="21"/>
                      <w:u w:val="single"/>
                    </w:rPr>
                  </w:pPr>
                  <w:r>
                    <w:rPr>
                      <w:rFonts w:hint="eastAsia"/>
                      <w:bCs/>
                      <w:szCs w:val="21"/>
                      <w:u w:val="single"/>
                    </w:rPr>
                    <w:t>93.9</w:t>
                  </w:r>
                </w:p>
              </w:tc>
              <w:tc>
                <w:tcPr>
                  <w:tcW w:w="541" w:type="pct"/>
                  <w:vAlign w:val="center"/>
                </w:tcPr>
                <w:p w14:paraId="2293B15F">
                  <w:pPr>
                    <w:jc w:val="center"/>
                    <w:rPr>
                      <w:rFonts w:hint="eastAsia"/>
                      <w:bCs/>
                      <w:szCs w:val="21"/>
                      <w:u w:val="single"/>
                    </w:rPr>
                  </w:pPr>
                  <w:r>
                    <w:rPr>
                      <w:rFonts w:hint="eastAsia"/>
                      <w:bCs/>
                      <w:szCs w:val="21"/>
                      <w:u w:val="single"/>
                    </w:rPr>
                    <w:t>20.7</w:t>
                  </w:r>
                </w:p>
              </w:tc>
            </w:tr>
            <w:tr w14:paraId="1413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98" w:type="pct"/>
                  <w:gridSpan w:val="3"/>
                  <w:vAlign w:val="center"/>
                </w:tcPr>
                <w:p w14:paraId="6B94A587">
                  <w:pPr>
                    <w:jc w:val="center"/>
                    <w:rPr>
                      <w:bCs/>
                      <w:kern w:val="0"/>
                      <w:szCs w:val="21"/>
                      <w:u w:val="single"/>
                    </w:rPr>
                  </w:pPr>
                  <w:r>
                    <w:rPr>
                      <w:rFonts w:hint="eastAsia"/>
                      <w:bCs/>
                      <w:szCs w:val="21"/>
                      <w:u w:val="single"/>
                    </w:rPr>
                    <w:t>清丰中州水务有限公司第二污水处理厂</w:t>
                  </w:r>
                  <w:r>
                    <w:rPr>
                      <w:bCs/>
                      <w:szCs w:val="21"/>
                      <w:u w:val="single"/>
                    </w:rPr>
                    <w:t>设计进水水质要求</w:t>
                  </w:r>
                </w:p>
              </w:tc>
              <w:tc>
                <w:tcPr>
                  <w:tcW w:w="548" w:type="pct"/>
                  <w:vAlign w:val="center"/>
                </w:tcPr>
                <w:p w14:paraId="1ED2B5B4">
                  <w:pPr>
                    <w:jc w:val="center"/>
                    <w:rPr>
                      <w:bCs/>
                      <w:kern w:val="0"/>
                      <w:szCs w:val="21"/>
                      <w:u w:val="single"/>
                    </w:rPr>
                  </w:pPr>
                  <w:r>
                    <w:rPr>
                      <w:bCs/>
                      <w:szCs w:val="21"/>
                      <w:u w:val="single"/>
                    </w:rPr>
                    <w:t>6-9</w:t>
                  </w:r>
                </w:p>
              </w:tc>
              <w:tc>
                <w:tcPr>
                  <w:tcW w:w="546" w:type="pct"/>
                  <w:vAlign w:val="center"/>
                </w:tcPr>
                <w:p w14:paraId="04527D2A">
                  <w:pPr>
                    <w:jc w:val="center"/>
                    <w:rPr>
                      <w:bCs/>
                      <w:kern w:val="0"/>
                      <w:szCs w:val="21"/>
                      <w:u w:val="single"/>
                    </w:rPr>
                  </w:pPr>
                  <w:r>
                    <w:rPr>
                      <w:rFonts w:hint="eastAsia"/>
                      <w:bCs/>
                      <w:szCs w:val="21"/>
                      <w:u w:val="single"/>
                    </w:rPr>
                    <w:t>350</w:t>
                  </w:r>
                </w:p>
              </w:tc>
              <w:tc>
                <w:tcPr>
                  <w:tcW w:w="572" w:type="pct"/>
                  <w:vAlign w:val="center"/>
                </w:tcPr>
                <w:p w14:paraId="5FBD349F">
                  <w:pPr>
                    <w:jc w:val="center"/>
                    <w:rPr>
                      <w:bCs/>
                      <w:kern w:val="0"/>
                      <w:szCs w:val="21"/>
                      <w:u w:val="single"/>
                    </w:rPr>
                  </w:pPr>
                  <w:r>
                    <w:rPr>
                      <w:rFonts w:hint="eastAsia"/>
                      <w:bCs/>
                      <w:szCs w:val="21"/>
                      <w:u w:val="single"/>
                    </w:rPr>
                    <w:t>170</w:t>
                  </w:r>
                </w:p>
              </w:tc>
              <w:tc>
                <w:tcPr>
                  <w:tcW w:w="496" w:type="pct"/>
                  <w:vAlign w:val="center"/>
                </w:tcPr>
                <w:p w14:paraId="4BC7751F">
                  <w:pPr>
                    <w:jc w:val="center"/>
                    <w:rPr>
                      <w:bCs/>
                      <w:kern w:val="0"/>
                      <w:szCs w:val="21"/>
                      <w:u w:val="single"/>
                    </w:rPr>
                  </w:pPr>
                  <w:r>
                    <w:rPr>
                      <w:rFonts w:hint="eastAsia"/>
                      <w:bCs/>
                      <w:szCs w:val="21"/>
                      <w:u w:val="single"/>
                    </w:rPr>
                    <w:t>210</w:t>
                  </w:r>
                </w:p>
              </w:tc>
              <w:tc>
                <w:tcPr>
                  <w:tcW w:w="541" w:type="pct"/>
                  <w:vAlign w:val="center"/>
                </w:tcPr>
                <w:p w14:paraId="189B7811">
                  <w:pPr>
                    <w:jc w:val="center"/>
                    <w:rPr>
                      <w:bCs/>
                      <w:kern w:val="0"/>
                      <w:szCs w:val="21"/>
                      <w:u w:val="single"/>
                    </w:rPr>
                  </w:pPr>
                  <w:r>
                    <w:rPr>
                      <w:rFonts w:hint="eastAsia"/>
                      <w:bCs/>
                      <w:szCs w:val="21"/>
                      <w:u w:val="single"/>
                    </w:rPr>
                    <w:t>30</w:t>
                  </w:r>
                </w:p>
              </w:tc>
            </w:tr>
            <w:tr w14:paraId="5A31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98" w:type="pct"/>
                  <w:gridSpan w:val="3"/>
                  <w:vAlign w:val="center"/>
                </w:tcPr>
                <w:p w14:paraId="7282E8B8">
                  <w:pPr>
                    <w:jc w:val="center"/>
                    <w:rPr>
                      <w:bCs/>
                      <w:kern w:val="0"/>
                      <w:szCs w:val="21"/>
                      <w:u w:val="single"/>
                    </w:rPr>
                  </w:pPr>
                  <w:r>
                    <w:rPr>
                      <w:bCs/>
                      <w:szCs w:val="21"/>
                      <w:u w:val="single"/>
                    </w:rPr>
                    <w:t>《污水综合排放标准》（GB8978-1996）三级标准</w:t>
                  </w:r>
                </w:p>
              </w:tc>
              <w:tc>
                <w:tcPr>
                  <w:tcW w:w="548" w:type="pct"/>
                  <w:vAlign w:val="center"/>
                </w:tcPr>
                <w:p w14:paraId="278EB904">
                  <w:pPr>
                    <w:jc w:val="center"/>
                    <w:rPr>
                      <w:bCs/>
                      <w:kern w:val="0"/>
                      <w:szCs w:val="21"/>
                      <w:u w:val="single"/>
                    </w:rPr>
                  </w:pPr>
                  <w:r>
                    <w:rPr>
                      <w:bCs/>
                      <w:szCs w:val="21"/>
                      <w:u w:val="single"/>
                    </w:rPr>
                    <w:t>6-9</w:t>
                  </w:r>
                </w:p>
              </w:tc>
              <w:tc>
                <w:tcPr>
                  <w:tcW w:w="546" w:type="pct"/>
                  <w:vAlign w:val="center"/>
                </w:tcPr>
                <w:p w14:paraId="129497AA">
                  <w:pPr>
                    <w:jc w:val="center"/>
                    <w:rPr>
                      <w:bCs/>
                      <w:kern w:val="0"/>
                      <w:szCs w:val="21"/>
                      <w:u w:val="single"/>
                    </w:rPr>
                  </w:pPr>
                  <w:r>
                    <w:rPr>
                      <w:bCs/>
                      <w:szCs w:val="21"/>
                      <w:u w:val="single"/>
                    </w:rPr>
                    <w:t>500</w:t>
                  </w:r>
                </w:p>
              </w:tc>
              <w:tc>
                <w:tcPr>
                  <w:tcW w:w="572" w:type="pct"/>
                  <w:vAlign w:val="center"/>
                </w:tcPr>
                <w:p w14:paraId="7D5D8675">
                  <w:pPr>
                    <w:jc w:val="center"/>
                    <w:rPr>
                      <w:bCs/>
                      <w:kern w:val="0"/>
                      <w:szCs w:val="21"/>
                      <w:u w:val="single"/>
                    </w:rPr>
                  </w:pPr>
                  <w:r>
                    <w:rPr>
                      <w:bCs/>
                      <w:szCs w:val="21"/>
                      <w:u w:val="single"/>
                    </w:rPr>
                    <w:t>300</w:t>
                  </w:r>
                </w:p>
              </w:tc>
              <w:tc>
                <w:tcPr>
                  <w:tcW w:w="496" w:type="pct"/>
                  <w:vAlign w:val="center"/>
                </w:tcPr>
                <w:p w14:paraId="1BF6C58B">
                  <w:pPr>
                    <w:jc w:val="center"/>
                    <w:rPr>
                      <w:bCs/>
                      <w:kern w:val="0"/>
                      <w:szCs w:val="21"/>
                      <w:u w:val="single"/>
                    </w:rPr>
                  </w:pPr>
                  <w:r>
                    <w:rPr>
                      <w:bCs/>
                      <w:szCs w:val="21"/>
                      <w:u w:val="single"/>
                    </w:rPr>
                    <w:t>400</w:t>
                  </w:r>
                </w:p>
              </w:tc>
              <w:tc>
                <w:tcPr>
                  <w:tcW w:w="541" w:type="pct"/>
                  <w:vAlign w:val="center"/>
                </w:tcPr>
                <w:p w14:paraId="08074D47">
                  <w:pPr>
                    <w:jc w:val="center"/>
                    <w:rPr>
                      <w:bCs/>
                      <w:kern w:val="0"/>
                      <w:szCs w:val="21"/>
                      <w:u w:val="single"/>
                    </w:rPr>
                  </w:pPr>
                  <w:r>
                    <w:rPr>
                      <w:bCs/>
                      <w:szCs w:val="21"/>
                      <w:u w:val="single"/>
                    </w:rPr>
                    <w:t>/</w:t>
                  </w:r>
                </w:p>
              </w:tc>
            </w:tr>
            <w:tr w14:paraId="59C3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98" w:type="pct"/>
                  <w:gridSpan w:val="3"/>
                  <w:vAlign w:val="center"/>
                </w:tcPr>
                <w:p w14:paraId="497F691B">
                  <w:pPr>
                    <w:jc w:val="center"/>
                    <w:rPr>
                      <w:bCs/>
                      <w:szCs w:val="21"/>
                      <w:u w:val="single"/>
                    </w:rPr>
                  </w:pPr>
                  <w:r>
                    <w:rPr>
                      <w:rFonts w:hint="eastAsia"/>
                      <w:bCs/>
                      <w:szCs w:val="21"/>
                      <w:u w:val="single"/>
                    </w:rPr>
                    <w:t>清丰中州水务有限公司第二污水处理厂出水水质</w:t>
                  </w:r>
                </w:p>
              </w:tc>
              <w:tc>
                <w:tcPr>
                  <w:tcW w:w="548" w:type="pct"/>
                  <w:vAlign w:val="center"/>
                </w:tcPr>
                <w:p w14:paraId="755E5A00">
                  <w:pPr>
                    <w:jc w:val="center"/>
                    <w:rPr>
                      <w:bCs/>
                      <w:szCs w:val="21"/>
                      <w:u w:val="single"/>
                    </w:rPr>
                  </w:pPr>
                  <w:r>
                    <w:rPr>
                      <w:bCs/>
                      <w:szCs w:val="21"/>
                      <w:u w:val="single"/>
                    </w:rPr>
                    <w:t>6-9</w:t>
                  </w:r>
                </w:p>
              </w:tc>
              <w:tc>
                <w:tcPr>
                  <w:tcW w:w="546" w:type="pct"/>
                  <w:vAlign w:val="center"/>
                </w:tcPr>
                <w:p w14:paraId="5E7914AA">
                  <w:pPr>
                    <w:jc w:val="center"/>
                    <w:rPr>
                      <w:bCs/>
                      <w:szCs w:val="21"/>
                      <w:u w:val="single"/>
                    </w:rPr>
                  </w:pPr>
                  <w:r>
                    <w:rPr>
                      <w:rFonts w:hint="eastAsia"/>
                      <w:bCs/>
                      <w:szCs w:val="21"/>
                      <w:u w:val="single"/>
                    </w:rPr>
                    <w:t>40</w:t>
                  </w:r>
                </w:p>
              </w:tc>
              <w:tc>
                <w:tcPr>
                  <w:tcW w:w="572" w:type="pct"/>
                  <w:vAlign w:val="center"/>
                </w:tcPr>
                <w:p w14:paraId="7A686BFD">
                  <w:pPr>
                    <w:jc w:val="center"/>
                    <w:rPr>
                      <w:bCs/>
                      <w:szCs w:val="21"/>
                      <w:u w:val="single"/>
                    </w:rPr>
                  </w:pPr>
                  <w:r>
                    <w:rPr>
                      <w:rFonts w:hint="eastAsia"/>
                      <w:bCs/>
                      <w:szCs w:val="21"/>
                      <w:u w:val="single"/>
                    </w:rPr>
                    <w:t>/</w:t>
                  </w:r>
                </w:p>
              </w:tc>
              <w:tc>
                <w:tcPr>
                  <w:tcW w:w="496" w:type="pct"/>
                  <w:vAlign w:val="center"/>
                </w:tcPr>
                <w:p w14:paraId="2D5DEE94">
                  <w:pPr>
                    <w:jc w:val="center"/>
                    <w:rPr>
                      <w:bCs/>
                      <w:szCs w:val="21"/>
                      <w:u w:val="single"/>
                    </w:rPr>
                  </w:pPr>
                  <w:r>
                    <w:rPr>
                      <w:rFonts w:hint="eastAsia"/>
                      <w:bCs/>
                      <w:szCs w:val="21"/>
                      <w:u w:val="single"/>
                    </w:rPr>
                    <w:t>/</w:t>
                  </w:r>
                </w:p>
              </w:tc>
              <w:tc>
                <w:tcPr>
                  <w:tcW w:w="541" w:type="pct"/>
                  <w:vAlign w:val="center"/>
                </w:tcPr>
                <w:p w14:paraId="03C762C8">
                  <w:pPr>
                    <w:jc w:val="center"/>
                    <w:rPr>
                      <w:bCs/>
                      <w:szCs w:val="21"/>
                      <w:u w:val="single"/>
                    </w:rPr>
                  </w:pPr>
                  <w:r>
                    <w:rPr>
                      <w:rFonts w:hint="eastAsia"/>
                      <w:bCs/>
                      <w:szCs w:val="21"/>
                      <w:u w:val="single"/>
                    </w:rPr>
                    <w:t>2</w:t>
                  </w:r>
                </w:p>
              </w:tc>
            </w:tr>
            <w:tr w14:paraId="67A1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98" w:type="pct"/>
                  <w:gridSpan w:val="3"/>
                  <w:vAlign w:val="center"/>
                </w:tcPr>
                <w:p w14:paraId="5C9AEE55">
                  <w:pPr>
                    <w:jc w:val="center"/>
                    <w:rPr>
                      <w:bCs/>
                      <w:szCs w:val="21"/>
                      <w:u w:val="single"/>
                    </w:rPr>
                  </w:pPr>
                  <w:r>
                    <w:rPr>
                      <w:rFonts w:hint="eastAsia"/>
                      <w:bCs/>
                      <w:szCs w:val="21"/>
                      <w:u w:val="single"/>
                    </w:rPr>
                    <w:t>污水处理厂处理后排放量（t/a）</w:t>
                  </w:r>
                </w:p>
              </w:tc>
              <w:tc>
                <w:tcPr>
                  <w:tcW w:w="548" w:type="pct"/>
                  <w:vAlign w:val="center"/>
                </w:tcPr>
                <w:p w14:paraId="01C231B8">
                  <w:pPr>
                    <w:jc w:val="center"/>
                    <w:rPr>
                      <w:bCs/>
                      <w:szCs w:val="21"/>
                      <w:u w:val="single"/>
                    </w:rPr>
                  </w:pPr>
                  <w:r>
                    <w:rPr>
                      <w:rFonts w:hint="eastAsia"/>
                      <w:bCs/>
                      <w:szCs w:val="21"/>
                      <w:u w:val="single"/>
                    </w:rPr>
                    <w:t>/</w:t>
                  </w:r>
                </w:p>
              </w:tc>
              <w:tc>
                <w:tcPr>
                  <w:tcW w:w="546" w:type="pct"/>
                  <w:vAlign w:val="center"/>
                </w:tcPr>
                <w:p w14:paraId="2F65E9DA">
                  <w:pPr>
                    <w:jc w:val="center"/>
                    <w:rPr>
                      <w:rFonts w:hint="default" w:eastAsia="宋体"/>
                      <w:bCs/>
                      <w:szCs w:val="21"/>
                      <w:u w:val="single"/>
                      <w:lang w:val="en-US" w:eastAsia="zh-CN"/>
                    </w:rPr>
                  </w:pPr>
                  <w:r>
                    <w:rPr>
                      <w:rFonts w:hint="eastAsia"/>
                      <w:bCs/>
                      <w:szCs w:val="21"/>
                      <w:u w:val="single"/>
                    </w:rPr>
                    <w:t>0.02</w:t>
                  </w:r>
                  <w:r>
                    <w:rPr>
                      <w:rFonts w:hint="eastAsia"/>
                      <w:bCs/>
                      <w:szCs w:val="21"/>
                      <w:u w:val="single"/>
                      <w:lang w:val="en-US" w:eastAsia="zh-CN"/>
                    </w:rPr>
                    <w:t>64</w:t>
                  </w:r>
                </w:p>
              </w:tc>
              <w:tc>
                <w:tcPr>
                  <w:tcW w:w="572" w:type="pct"/>
                  <w:vAlign w:val="center"/>
                </w:tcPr>
                <w:p w14:paraId="281393E2">
                  <w:pPr>
                    <w:jc w:val="center"/>
                    <w:rPr>
                      <w:bCs/>
                      <w:szCs w:val="21"/>
                      <w:u w:val="single"/>
                    </w:rPr>
                  </w:pPr>
                  <w:r>
                    <w:rPr>
                      <w:rFonts w:hint="eastAsia"/>
                      <w:bCs/>
                      <w:szCs w:val="21"/>
                      <w:u w:val="single"/>
                    </w:rPr>
                    <w:t>/</w:t>
                  </w:r>
                </w:p>
              </w:tc>
              <w:tc>
                <w:tcPr>
                  <w:tcW w:w="496" w:type="pct"/>
                  <w:vAlign w:val="center"/>
                </w:tcPr>
                <w:p w14:paraId="3527AF74">
                  <w:pPr>
                    <w:jc w:val="center"/>
                    <w:rPr>
                      <w:bCs/>
                      <w:szCs w:val="21"/>
                      <w:u w:val="single"/>
                    </w:rPr>
                  </w:pPr>
                  <w:r>
                    <w:rPr>
                      <w:rFonts w:hint="eastAsia"/>
                      <w:bCs/>
                      <w:szCs w:val="21"/>
                      <w:u w:val="single"/>
                    </w:rPr>
                    <w:t>/</w:t>
                  </w:r>
                </w:p>
              </w:tc>
              <w:tc>
                <w:tcPr>
                  <w:tcW w:w="541" w:type="pct"/>
                  <w:vAlign w:val="center"/>
                </w:tcPr>
                <w:p w14:paraId="08F71D6C">
                  <w:pPr>
                    <w:jc w:val="center"/>
                    <w:rPr>
                      <w:bCs/>
                      <w:szCs w:val="21"/>
                      <w:u w:val="single"/>
                    </w:rPr>
                  </w:pPr>
                  <w:r>
                    <w:rPr>
                      <w:rFonts w:hint="eastAsia"/>
                      <w:bCs/>
                      <w:szCs w:val="21"/>
                      <w:u w:val="single"/>
                    </w:rPr>
                    <w:t>0.0013</w:t>
                  </w:r>
                </w:p>
              </w:tc>
            </w:tr>
          </w:tbl>
          <w:p w14:paraId="4C5B170E">
            <w:pPr>
              <w:widowControl/>
              <w:adjustRightInd w:val="0"/>
              <w:snapToGrid w:val="0"/>
              <w:spacing w:line="360" w:lineRule="auto"/>
              <w:ind w:firstLine="480" w:firstLineChars="200"/>
              <w:rPr>
                <w:bCs/>
                <w:sz w:val="24"/>
                <w:u w:val="single"/>
              </w:rPr>
            </w:pPr>
            <w:r>
              <w:rPr>
                <w:rFonts w:hint="eastAsia"/>
                <w:bCs/>
                <w:sz w:val="24"/>
                <w:u w:val="single"/>
              </w:rPr>
              <w:t>根据上表可知，本项目废水经处理后能够满足《污水综合排放标准》（GB8978-1996）表4三级标准及清丰中州水务有限公司第二污水处理厂收水水质要求。</w:t>
            </w:r>
          </w:p>
          <w:p w14:paraId="58F3EF73">
            <w:pPr>
              <w:spacing w:line="360" w:lineRule="auto"/>
              <w:ind w:firstLine="482" w:firstLineChars="200"/>
              <w:rPr>
                <w:b/>
                <w:sz w:val="24"/>
              </w:rPr>
            </w:pPr>
            <w:r>
              <w:rPr>
                <w:rFonts w:hint="eastAsia"/>
                <w:b/>
                <w:sz w:val="24"/>
              </w:rPr>
              <w:t>2.3废水排入清丰中州水务有限公司第二污水处理厂处理可行性分析</w:t>
            </w:r>
          </w:p>
          <w:p w14:paraId="5589924E">
            <w:pPr>
              <w:widowControl/>
              <w:adjustRightInd w:val="0"/>
              <w:snapToGrid w:val="0"/>
              <w:spacing w:line="360" w:lineRule="auto"/>
              <w:ind w:firstLine="480" w:firstLineChars="200"/>
              <w:rPr>
                <w:sz w:val="24"/>
              </w:rPr>
            </w:pPr>
            <w:r>
              <w:rPr>
                <w:rFonts w:hint="eastAsia"/>
                <w:sz w:val="24"/>
              </w:rPr>
              <w:t>清丰中州水务有限公司第二污水处理厂位于清丰县金水路与106国道交叉口西北角，主要收集清丰县城东部地区和清丰县先进制造业开发区的生活污水和工业废水，处理规模为2万m</w:t>
            </w:r>
            <w:r>
              <w:rPr>
                <w:rFonts w:hint="eastAsia"/>
                <w:sz w:val="24"/>
                <w:vertAlign w:val="superscript"/>
              </w:rPr>
              <w:t>3</w:t>
            </w:r>
            <w:r>
              <w:rPr>
                <w:rFonts w:hint="eastAsia"/>
                <w:sz w:val="24"/>
              </w:rPr>
              <w:t>/d。收水范围规划为清丰县先进制造业开发区，清丰中州水务有限公司第二污水处理厂设计处理工艺采用改良型Carrousel氧化沟工艺，出水水质达到《地表水环境质量标准》（GB3838-2002）Ⅴ类标准。设计进水水质为COD：350mg/L、BOD</w:t>
            </w:r>
            <w:r>
              <w:rPr>
                <w:rFonts w:hint="eastAsia"/>
                <w:sz w:val="24"/>
                <w:vertAlign w:val="subscript"/>
              </w:rPr>
              <w:t>5</w:t>
            </w:r>
            <w:r>
              <w:rPr>
                <w:rFonts w:hint="eastAsia"/>
                <w:sz w:val="24"/>
              </w:rPr>
              <w:t>：170mg/L、SS：210mg/L、NH</w:t>
            </w:r>
            <w:r>
              <w:rPr>
                <w:rFonts w:hint="eastAsia"/>
                <w:sz w:val="24"/>
                <w:vertAlign w:val="subscript"/>
              </w:rPr>
              <w:t>3</w:t>
            </w:r>
            <w:r>
              <w:rPr>
                <w:rFonts w:hint="eastAsia"/>
                <w:sz w:val="24"/>
              </w:rPr>
              <w:t>-N：30mg/L；出水水质为《地表水环境质量标准》（GB3838-2002）Ⅴ类标准（COD：40mg/L、NH</w:t>
            </w:r>
            <w:r>
              <w:rPr>
                <w:rFonts w:hint="eastAsia"/>
                <w:sz w:val="24"/>
                <w:vertAlign w:val="subscript"/>
              </w:rPr>
              <w:t>3</w:t>
            </w:r>
            <w:r>
              <w:rPr>
                <w:rFonts w:hint="eastAsia"/>
                <w:sz w:val="24"/>
              </w:rPr>
              <w:t>-N：2mg/L）。</w:t>
            </w:r>
          </w:p>
          <w:p w14:paraId="50D3ACE7">
            <w:pPr>
              <w:widowControl/>
              <w:adjustRightInd w:val="0"/>
              <w:snapToGrid w:val="0"/>
              <w:spacing w:line="360" w:lineRule="auto"/>
              <w:ind w:firstLine="480" w:firstLineChars="200"/>
              <w:rPr>
                <w:sz w:val="24"/>
              </w:rPr>
            </w:pPr>
            <w:r>
              <w:rPr>
                <w:rFonts w:hint="eastAsia"/>
                <w:sz w:val="24"/>
              </w:rPr>
              <w:t>目前清丰中州水务有限公司第二污水处理厂已收纳</w:t>
            </w:r>
            <w:r>
              <w:rPr>
                <w:bCs/>
                <w:sz w:val="24"/>
              </w:rPr>
              <w:t>1</w:t>
            </w:r>
            <w:r>
              <w:rPr>
                <w:rFonts w:hint="eastAsia"/>
                <w:bCs/>
                <w:sz w:val="24"/>
              </w:rPr>
              <w:t>.8</w:t>
            </w:r>
            <w:r>
              <w:rPr>
                <w:rFonts w:hint="eastAsia"/>
                <w:sz w:val="24"/>
              </w:rPr>
              <w:t>万</w:t>
            </w:r>
            <w:r>
              <w:rPr>
                <w:bCs/>
                <w:sz w:val="24"/>
              </w:rPr>
              <w:t>m</w:t>
            </w:r>
            <w:r>
              <w:rPr>
                <w:bCs/>
                <w:sz w:val="24"/>
                <w:vertAlign w:val="superscript"/>
              </w:rPr>
              <w:t>3</w:t>
            </w:r>
            <w:r>
              <w:rPr>
                <w:rFonts w:hint="eastAsia"/>
                <w:bCs/>
                <w:sz w:val="24"/>
              </w:rPr>
              <w:t>/d</w:t>
            </w:r>
            <w:r>
              <w:rPr>
                <w:rFonts w:hint="eastAsia"/>
                <w:sz w:val="24"/>
              </w:rPr>
              <w:t>，剩余</w:t>
            </w:r>
            <w:r>
              <w:rPr>
                <w:rFonts w:hint="eastAsia"/>
                <w:bCs/>
                <w:sz w:val="24"/>
              </w:rPr>
              <w:t>0.2</w:t>
            </w:r>
            <w:r>
              <w:rPr>
                <w:rFonts w:hint="eastAsia"/>
                <w:sz w:val="24"/>
              </w:rPr>
              <w:t>万</w:t>
            </w:r>
            <w:r>
              <w:rPr>
                <w:bCs/>
                <w:sz w:val="24"/>
              </w:rPr>
              <w:t>m</w:t>
            </w:r>
            <w:r>
              <w:rPr>
                <w:bCs/>
                <w:sz w:val="24"/>
                <w:vertAlign w:val="superscript"/>
              </w:rPr>
              <w:t>3</w:t>
            </w:r>
            <w:r>
              <w:rPr>
                <w:rFonts w:hint="eastAsia"/>
                <w:bCs/>
                <w:sz w:val="24"/>
              </w:rPr>
              <w:t>/d</w:t>
            </w:r>
            <w:r>
              <w:rPr>
                <w:rFonts w:hint="eastAsia"/>
                <w:sz w:val="24"/>
              </w:rPr>
              <w:t>。项目废水排放量为</w:t>
            </w:r>
            <w:r>
              <w:rPr>
                <w:rFonts w:hint="eastAsia"/>
                <w:bCs/>
                <w:sz w:val="24"/>
              </w:rPr>
              <w:t>2.</w:t>
            </w:r>
            <w:r>
              <w:rPr>
                <w:rFonts w:hint="eastAsia"/>
                <w:bCs/>
                <w:sz w:val="24"/>
                <w:lang w:val="en-US" w:eastAsia="zh-CN"/>
              </w:rPr>
              <w:t>2</w:t>
            </w:r>
            <w:r>
              <w:rPr>
                <w:rFonts w:hint="eastAsia"/>
                <w:bCs/>
                <w:sz w:val="24"/>
              </w:rPr>
              <w:t>m</w:t>
            </w:r>
            <w:r>
              <w:rPr>
                <w:rFonts w:hint="eastAsia"/>
                <w:bCs/>
                <w:sz w:val="24"/>
                <w:vertAlign w:val="superscript"/>
              </w:rPr>
              <w:t>3</w:t>
            </w:r>
            <w:r>
              <w:rPr>
                <w:rFonts w:hint="eastAsia"/>
                <w:bCs/>
                <w:sz w:val="24"/>
              </w:rPr>
              <w:t>/d，排水量较小，约占污水处理厂剩余日处理污水规模的0.1</w:t>
            </w:r>
            <w:r>
              <w:rPr>
                <w:rFonts w:hint="eastAsia"/>
                <w:bCs/>
                <w:sz w:val="24"/>
                <w:lang w:val="en-US" w:eastAsia="zh-CN"/>
              </w:rPr>
              <w:t>1</w:t>
            </w:r>
            <w:r>
              <w:rPr>
                <w:rFonts w:hint="eastAsia"/>
                <w:bCs/>
                <w:sz w:val="24"/>
              </w:rPr>
              <w:t>%，不会对污水处理厂造成冲击。</w:t>
            </w:r>
          </w:p>
          <w:p w14:paraId="418CE9CE">
            <w:pPr>
              <w:widowControl/>
              <w:adjustRightInd w:val="0"/>
              <w:snapToGrid w:val="0"/>
              <w:spacing w:line="360" w:lineRule="auto"/>
              <w:ind w:firstLine="480" w:firstLineChars="200"/>
              <w:rPr>
                <w:rFonts w:hint="eastAsia"/>
                <w:sz w:val="24"/>
              </w:rPr>
            </w:pPr>
            <w:r>
              <w:rPr>
                <w:rFonts w:hint="eastAsia"/>
                <w:sz w:val="24"/>
              </w:rPr>
              <w:t>综上，本项目在清丰中州水务有限公司第二污水处理厂收水范围内，且项目废水排放量较小，水质简单，废水排放浓度能够满足清丰中州水务有限公司第二污水处理厂设计进水水质要求，且目前清丰中州水务有限公司第二污水处理厂有剩余余量接纳本项目废水，不会对污水处理厂造成冲击，因此，本项目废水进入清丰中州水务有限公司第二污水处理厂是可行的。</w:t>
            </w:r>
          </w:p>
          <w:p w14:paraId="5AF58F82">
            <w:pPr>
              <w:pStyle w:val="137"/>
              <w:numPr>
                <w:ilvl w:val="0"/>
                <w:numId w:val="7"/>
              </w:numPr>
              <w:adjustRightInd w:val="0"/>
              <w:snapToGrid w:val="0"/>
              <w:ind w:firstLineChars="0"/>
              <w:jc w:val="center"/>
              <w:rPr>
                <w:b/>
                <w:u w:val="single"/>
              </w:rPr>
            </w:pPr>
            <w:r>
              <w:rPr>
                <w:rFonts w:hint="eastAsia" w:ascii="宋体" w:hAnsi="宋体"/>
                <w:b/>
                <w:u w:val="single"/>
              </w:rPr>
              <w:t>项目间接废水排放口基本情况</w:t>
            </w:r>
          </w:p>
          <w:tbl>
            <w:tblPr>
              <w:tblStyle w:val="39"/>
              <w:tblW w:w="8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20"/>
              <w:gridCol w:w="1023"/>
              <w:gridCol w:w="1054"/>
              <w:gridCol w:w="914"/>
              <w:gridCol w:w="918"/>
              <w:gridCol w:w="891"/>
              <w:gridCol w:w="1395"/>
            </w:tblGrid>
            <w:tr w14:paraId="50AC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2" w:type="dxa"/>
                  <w:vMerge w:val="restart"/>
                  <w:tcBorders>
                    <w:top w:val="single" w:color="auto" w:sz="4" w:space="0"/>
                    <w:left w:val="single" w:color="auto" w:sz="4" w:space="0"/>
                    <w:bottom w:val="single" w:color="auto" w:sz="4" w:space="0"/>
                    <w:right w:val="single" w:color="auto" w:sz="4" w:space="0"/>
                  </w:tcBorders>
                  <w:vAlign w:val="center"/>
                </w:tcPr>
                <w:p w14:paraId="5AF4006D">
                  <w:pPr>
                    <w:widowControl/>
                    <w:autoSpaceDE w:val="0"/>
                    <w:adjustRightInd w:val="0"/>
                    <w:snapToGrid w:val="0"/>
                    <w:jc w:val="center"/>
                    <w:rPr>
                      <w:b/>
                      <w:bCs/>
                      <w:szCs w:val="21"/>
                      <w:u w:val="single"/>
                    </w:rPr>
                  </w:pPr>
                  <w:r>
                    <w:rPr>
                      <w:rFonts w:hint="eastAsia" w:ascii="宋体" w:hAnsi="宋体"/>
                      <w:b/>
                      <w:bCs/>
                      <w:u w:val="single"/>
                    </w:rPr>
                    <w:t>排放口编号</w:t>
                  </w:r>
                </w:p>
              </w:tc>
              <w:tc>
                <w:tcPr>
                  <w:tcW w:w="920" w:type="dxa"/>
                  <w:vMerge w:val="restart"/>
                  <w:tcBorders>
                    <w:top w:val="single" w:color="auto" w:sz="4" w:space="0"/>
                    <w:left w:val="single" w:color="auto" w:sz="4" w:space="0"/>
                    <w:bottom w:val="single" w:color="auto" w:sz="4" w:space="0"/>
                    <w:right w:val="single" w:color="auto" w:sz="4" w:space="0"/>
                  </w:tcBorders>
                  <w:vAlign w:val="center"/>
                </w:tcPr>
                <w:p w14:paraId="43032897">
                  <w:pPr>
                    <w:widowControl/>
                    <w:autoSpaceDE w:val="0"/>
                    <w:adjustRightInd w:val="0"/>
                    <w:snapToGrid w:val="0"/>
                    <w:jc w:val="center"/>
                    <w:rPr>
                      <w:b/>
                      <w:bCs/>
                      <w:szCs w:val="21"/>
                      <w:u w:val="single"/>
                    </w:rPr>
                  </w:pPr>
                  <w:r>
                    <w:rPr>
                      <w:rFonts w:hint="eastAsia" w:ascii="宋体" w:hAnsi="宋体"/>
                      <w:b/>
                      <w:bCs/>
                      <w:u w:val="single"/>
                    </w:rPr>
                    <w:t>排放口名称</w:t>
                  </w:r>
                </w:p>
              </w:tc>
              <w:tc>
                <w:tcPr>
                  <w:tcW w:w="2077" w:type="dxa"/>
                  <w:gridSpan w:val="2"/>
                  <w:tcBorders>
                    <w:top w:val="single" w:color="auto" w:sz="4" w:space="0"/>
                    <w:left w:val="single" w:color="auto" w:sz="4" w:space="0"/>
                    <w:bottom w:val="single" w:color="auto" w:sz="4" w:space="0"/>
                    <w:right w:val="single" w:color="auto" w:sz="4" w:space="0"/>
                  </w:tcBorders>
                  <w:vAlign w:val="center"/>
                </w:tcPr>
                <w:p w14:paraId="3210AE8C">
                  <w:pPr>
                    <w:widowControl/>
                    <w:autoSpaceDE w:val="0"/>
                    <w:adjustRightInd w:val="0"/>
                    <w:snapToGrid w:val="0"/>
                    <w:jc w:val="center"/>
                    <w:rPr>
                      <w:b/>
                      <w:bCs/>
                      <w:szCs w:val="21"/>
                      <w:u w:val="single"/>
                    </w:rPr>
                  </w:pPr>
                  <w:r>
                    <w:rPr>
                      <w:rFonts w:hint="eastAsia" w:ascii="宋体" w:hAnsi="宋体"/>
                      <w:b/>
                      <w:bCs/>
                      <w:u w:val="single"/>
                    </w:rPr>
                    <w:t>排放口地理坐标</w:t>
                  </w:r>
                </w:p>
              </w:tc>
              <w:tc>
                <w:tcPr>
                  <w:tcW w:w="914" w:type="dxa"/>
                  <w:vMerge w:val="restart"/>
                  <w:tcBorders>
                    <w:top w:val="single" w:color="auto" w:sz="4" w:space="0"/>
                    <w:left w:val="single" w:color="auto" w:sz="4" w:space="0"/>
                    <w:bottom w:val="single" w:color="auto" w:sz="4" w:space="0"/>
                    <w:right w:val="single" w:color="auto" w:sz="4" w:space="0"/>
                  </w:tcBorders>
                  <w:vAlign w:val="center"/>
                </w:tcPr>
                <w:p w14:paraId="67D93A4F">
                  <w:pPr>
                    <w:widowControl/>
                    <w:autoSpaceDE w:val="0"/>
                    <w:adjustRightInd w:val="0"/>
                    <w:snapToGrid w:val="0"/>
                    <w:jc w:val="center"/>
                    <w:rPr>
                      <w:b/>
                      <w:bCs/>
                      <w:szCs w:val="21"/>
                      <w:u w:val="single"/>
                    </w:rPr>
                  </w:pPr>
                  <w:r>
                    <w:rPr>
                      <w:rFonts w:hint="eastAsia" w:ascii="宋体" w:hAnsi="宋体"/>
                      <w:b/>
                      <w:bCs/>
                      <w:u w:val="single"/>
                    </w:rPr>
                    <w:t>排放去向</w:t>
                  </w:r>
                </w:p>
              </w:tc>
              <w:tc>
                <w:tcPr>
                  <w:tcW w:w="918" w:type="dxa"/>
                  <w:vMerge w:val="restart"/>
                  <w:tcBorders>
                    <w:top w:val="single" w:color="auto" w:sz="4" w:space="0"/>
                    <w:left w:val="single" w:color="auto" w:sz="4" w:space="0"/>
                    <w:bottom w:val="single" w:color="auto" w:sz="4" w:space="0"/>
                    <w:right w:val="single" w:color="auto" w:sz="4" w:space="0"/>
                  </w:tcBorders>
                  <w:vAlign w:val="center"/>
                </w:tcPr>
                <w:p w14:paraId="3AD8D838">
                  <w:pPr>
                    <w:widowControl/>
                    <w:autoSpaceDE w:val="0"/>
                    <w:adjustRightInd w:val="0"/>
                    <w:snapToGrid w:val="0"/>
                    <w:jc w:val="center"/>
                    <w:rPr>
                      <w:b/>
                      <w:bCs/>
                      <w:szCs w:val="21"/>
                      <w:u w:val="single"/>
                    </w:rPr>
                  </w:pPr>
                  <w:r>
                    <w:rPr>
                      <w:rFonts w:hint="eastAsia" w:ascii="宋体" w:hAnsi="宋体"/>
                      <w:b/>
                      <w:bCs/>
                      <w:u w:val="single"/>
                    </w:rPr>
                    <w:t>排放规律</w:t>
                  </w:r>
                </w:p>
              </w:tc>
              <w:tc>
                <w:tcPr>
                  <w:tcW w:w="891" w:type="dxa"/>
                  <w:vMerge w:val="restart"/>
                  <w:tcBorders>
                    <w:top w:val="single" w:color="auto" w:sz="4" w:space="0"/>
                    <w:left w:val="single" w:color="auto" w:sz="4" w:space="0"/>
                    <w:bottom w:val="single" w:color="auto" w:sz="4" w:space="0"/>
                    <w:right w:val="single" w:color="auto" w:sz="4" w:space="0"/>
                  </w:tcBorders>
                  <w:vAlign w:val="center"/>
                </w:tcPr>
                <w:p w14:paraId="51A2F61A">
                  <w:pPr>
                    <w:widowControl/>
                    <w:autoSpaceDE w:val="0"/>
                    <w:adjustRightInd w:val="0"/>
                    <w:snapToGrid w:val="0"/>
                    <w:jc w:val="center"/>
                    <w:rPr>
                      <w:b/>
                      <w:bCs/>
                      <w:szCs w:val="21"/>
                      <w:u w:val="single"/>
                    </w:rPr>
                  </w:pPr>
                  <w:r>
                    <w:rPr>
                      <w:rFonts w:hint="eastAsia" w:ascii="宋体" w:hAnsi="宋体"/>
                      <w:b/>
                      <w:bCs/>
                      <w:u w:val="single"/>
                    </w:rPr>
                    <w:t>间歇排放时段</w:t>
                  </w:r>
                </w:p>
              </w:tc>
              <w:tc>
                <w:tcPr>
                  <w:tcW w:w="1395" w:type="dxa"/>
                  <w:vMerge w:val="restart"/>
                  <w:tcBorders>
                    <w:top w:val="single" w:color="auto" w:sz="4" w:space="0"/>
                    <w:left w:val="single" w:color="auto" w:sz="4" w:space="0"/>
                    <w:bottom w:val="single" w:color="auto" w:sz="4" w:space="0"/>
                    <w:right w:val="single" w:color="auto" w:sz="4" w:space="0"/>
                  </w:tcBorders>
                  <w:vAlign w:val="center"/>
                </w:tcPr>
                <w:p w14:paraId="31412DDF">
                  <w:pPr>
                    <w:widowControl/>
                    <w:autoSpaceDE w:val="0"/>
                    <w:adjustRightInd w:val="0"/>
                    <w:snapToGrid w:val="0"/>
                    <w:jc w:val="center"/>
                    <w:rPr>
                      <w:b/>
                      <w:bCs/>
                      <w:szCs w:val="21"/>
                      <w:u w:val="single"/>
                    </w:rPr>
                  </w:pPr>
                  <w:r>
                    <w:rPr>
                      <w:rFonts w:hint="eastAsia" w:ascii="宋体" w:hAnsi="宋体"/>
                      <w:b/>
                      <w:bCs/>
                      <w:u w:val="single"/>
                    </w:rPr>
                    <w:t>排放标准</w:t>
                  </w:r>
                </w:p>
              </w:tc>
            </w:tr>
            <w:tr w14:paraId="3100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2" w:type="dxa"/>
                  <w:vMerge w:val="continue"/>
                  <w:tcBorders>
                    <w:top w:val="single" w:color="auto" w:sz="4" w:space="0"/>
                    <w:left w:val="single" w:color="auto" w:sz="4" w:space="0"/>
                    <w:bottom w:val="single" w:color="auto" w:sz="4" w:space="0"/>
                    <w:right w:val="single" w:color="auto" w:sz="4" w:space="0"/>
                  </w:tcBorders>
                  <w:vAlign w:val="center"/>
                </w:tcPr>
                <w:p w14:paraId="6BC83DD5">
                  <w:pPr>
                    <w:widowControl/>
                    <w:jc w:val="left"/>
                    <w:rPr>
                      <w:b/>
                      <w:bCs/>
                      <w:szCs w:val="21"/>
                      <w:u w:val="single"/>
                    </w:rPr>
                  </w:pPr>
                </w:p>
              </w:tc>
              <w:tc>
                <w:tcPr>
                  <w:tcW w:w="920" w:type="dxa"/>
                  <w:vMerge w:val="continue"/>
                  <w:tcBorders>
                    <w:top w:val="single" w:color="auto" w:sz="4" w:space="0"/>
                    <w:left w:val="single" w:color="auto" w:sz="4" w:space="0"/>
                    <w:bottom w:val="single" w:color="auto" w:sz="4" w:space="0"/>
                    <w:right w:val="single" w:color="auto" w:sz="4" w:space="0"/>
                  </w:tcBorders>
                  <w:vAlign w:val="center"/>
                </w:tcPr>
                <w:p w14:paraId="486CA964">
                  <w:pPr>
                    <w:widowControl/>
                    <w:jc w:val="left"/>
                    <w:rPr>
                      <w:b/>
                      <w:bCs/>
                      <w:szCs w:val="21"/>
                      <w:u w:val="single"/>
                    </w:rPr>
                  </w:pPr>
                </w:p>
              </w:tc>
              <w:tc>
                <w:tcPr>
                  <w:tcW w:w="1023" w:type="dxa"/>
                  <w:tcBorders>
                    <w:top w:val="single" w:color="auto" w:sz="4" w:space="0"/>
                    <w:left w:val="single" w:color="auto" w:sz="4" w:space="0"/>
                    <w:bottom w:val="single" w:color="auto" w:sz="4" w:space="0"/>
                    <w:right w:val="single" w:color="auto" w:sz="4" w:space="0"/>
                  </w:tcBorders>
                  <w:vAlign w:val="center"/>
                </w:tcPr>
                <w:p w14:paraId="5C2111FF">
                  <w:pPr>
                    <w:widowControl/>
                    <w:autoSpaceDE w:val="0"/>
                    <w:adjustRightInd w:val="0"/>
                    <w:snapToGrid w:val="0"/>
                    <w:jc w:val="center"/>
                    <w:rPr>
                      <w:szCs w:val="21"/>
                      <w:u w:val="single"/>
                    </w:rPr>
                  </w:pPr>
                  <w:r>
                    <w:rPr>
                      <w:rFonts w:hint="eastAsia" w:ascii="宋体" w:hAnsi="宋体"/>
                      <w:u w:val="single"/>
                    </w:rPr>
                    <w:t>经度</w:t>
                  </w:r>
                </w:p>
              </w:tc>
              <w:tc>
                <w:tcPr>
                  <w:tcW w:w="1054" w:type="dxa"/>
                  <w:tcBorders>
                    <w:top w:val="single" w:color="auto" w:sz="4" w:space="0"/>
                    <w:left w:val="single" w:color="auto" w:sz="4" w:space="0"/>
                    <w:bottom w:val="single" w:color="auto" w:sz="4" w:space="0"/>
                    <w:right w:val="single" w:color="auto" w:sz="4" w:space="0"/>
                  </w:tcBorders>
                  <w:vAlign w:val="center"/>
                </w:tcPr>
                <w:p w14:paraId="026F2EE1">
                  <w:pPr>
                    <w:widowControl/>
                    <w:autoSpaceDE w:val="0"/>
                    <w:adjustRightInd w:val="0"/>
                    <w:snapToGrid w:val="0"/>
                    <w:jc w:val="center"/>
                    <w:rPr>
                      <w:szCs w:val="21"/>
                      <w:u w:val="single"/>
                    </w:rPr>
                  </w:pPr>
                  <w:r>
                    <w:rPr>
                      <w:rFonts w:hint="eastAsia" w:ascii="宋体" w:hAnsi="宋体"/>
                      <w:u w:val="single"/>
                    </w:rPr>
                    <w:t>维度</w:t>
                  </w:r>
                </w:p>
              </w:tc>
              <w:tc>
                <w:tcPr>
                  <w:tcW w:w="914" w:type="dxa"/>
                  <w:vMerge w:val="continue"/>
                  <w:tcBorders>
                    <w:top w:val="single" w:color="auto" w:sz="4" w:space="0"/>
                    <w:left w:val="single" w:color="auto" w:sz="4" w:space="0"/>
                    <w:bottom w:val="single" w:color="auto" w:sz="4" w:space="0"/>
                    <w:right w:val="single" w:color="auto" w:sz="4" w:space="0"/>
                  </w:tcBorders>
                  <w:vAlign w:val="center"/>
                </w:tcPr>
                <w:p w14:paraId="50CF5791">
                  <w:pPr>
                    <w:widowControl/>
                    <w:jc w:val="left"/>
                    <w:rPr>
                      <w:b/>
                      <w:bCs/>
                      <w:szCs w:val="21"/>
                      <w:u w:val="single"/>
                    </w:rPr>
                  </w:pPr>
                </w:p>
              </w:tc>
              <w:tc>
                <w:tcPr>
                  <w:tcW w:w="918" w:type="dxa"/>
                  <w:vMerge w:val="continue"/>
                  <w:tcBorders>
                    <w:top w:val="single" w:color="auto" w:sz="4" w:space="0"/>
                    <w:left w:val="single" w:color="auto" w:sz="4" w:space="0"/>
                    <w:bottom w:val="single" w:color="auto" w:sz="4" w:space="0"/>
                    <w:right w:val="single" w:color="auto" w:sz="4" w:space="0"/>
                  </w:tcBorders>
                  <w:vAlign w:val="center"/>
                </w:tcPr>
                <w:p w14:paraId="32BC7B7D">
                  <w:pPr>
                    <w:widowControl/>
                    <w:jc w:val="left"/>
                    <w:rPr>
                      <w:b/>
                      <w:bCs/>
                      <w:szCs w:val="21"/>
                      <w:u w:val="single"/>
                    </w:rPr>
                  </w:pPr>
                </w:p>
              </w:tc>
              <w:tc>
                <w:tcPr>
                  <w:tcW w:w="891" w:type="dxa"/>
                  <w:vMerge w:val="continue"/>
                  <w:tcBorders>
                    <w:top w:val="single" w:color="auto" w:sz="4" w:space="0"/>
                    <w:left w:val="single" w:color="auto" w:sz="4" w:space="0"/>
                    <w:bottom w:val="single" w:color="auto" w:sz="4" w:space="0"/>
                    <w:right w:val="single" w:color="auto" w:sz="4" w:space="0"/>
                  </w:tcBorders>
                  <w:vAlign w:val="center"/>
                </w:tcPr>
                <w:p w14:paraId="0A28E759">
                  <w:pPr>
                    <w:widowControl/>
                    <w:jc w:val="left"/>
                    <w:rPr>
                      <w:b/>
                      <w:bCs/>
                      <w:szCs w:val="21"/>
                      <w:u w:val="single"/>
                    </w:rPr>
                  </w:pPr>
                </w:p>
              </w:tc>
              <w:tc>
                <w:tcPr>
                  <w:tcW w:w="1395" w:type="dxa"/>
                  <w:vMerge w:val="continue"/>
                  <w:tcBorders>
                    <w:top w:val="single" w:color="auto" w:sz="4" w:space="0"/>
                    <w:left w:val="single" w:color="auto" w:sz="4" w:space="0"/>
                    <w:bottom w:val="single" w:color="auto" w:sz="4" w:space="0"/>
                    <w:right w:val="single" w:color="auto" w:sz="4" w:space="0"/>
                  </w:tcBorders>
                  <w:vAlign w:val="center"/>
                </w:tcPr>
                <w:p w14:paraId="7D9E1791">
                  <w:pPr>
                    <w:widowControl/>
                    <w:jc w:val="left"/>
                    <w:rPr>
                      <w:b/>
                      <w:bCs/>
                      <w:szCs w:val="21"/>
                      <w:u w:val="single"/>
                    </w:rPr>
                  </w:pPr>
                </w:p>
              </w:tc>
            </w:tr>
            <w:tr w14:paraId="1B5E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vAlign w:val="center"/>
                </w:tcPr>
                <w:p w14:paraId="5A2F8C4D">
                  <w:pPr>
                    <w:widowControl/>
                    <w:autoSpaceDE w:val="0"/>
                    <w:adjustRightInd w:val="0"/>
                    <w:snapToGrid w:val="0"/>
                    <w:jc w:val="center"/>
                    <w:rPr>
                      <w:szCs w:val="21"/>
                      <w:u w:val="single"/>
                    </w:rPr>
                  </w:pPr>
                  <w:r>
                    <w:rPr>
                      <w:rFonts w:hint="eastAsia"/>
                      <w:u w:val="single"/>
                    </w:rPr>
                    <w:t>DW001</w:t>
                  </w:r>
                </w:p>
              </w:tc>
              <w:tc>
                <w:tcPr>
                  <w:tcW w:w="920" w:type="dxa"/>
                  <w:tcBorders>
                    <w:top w:val="single" w:color="auto" w:sz="4" w:space="0"/>
                    <w:left w:val="single" w:color="auto" w:sz="4" w:space="0"/>
                    <w:bottom w:val="single" w:color="auto" w:sz="4" w:space="0"/>
                    <w:right w:val="single" w:color="auto" w:sz="4" w:space="0"/>
                  </w:tcBorders>
                  <w:vAlign w:val="center"/>
                </w:tcPr>
                <w:p w14:paraId="5398D3B9">
                  <w:pPr>
                    <w:widowControl/>
                    <w:autoSpaceDE w:val="0"/>
                    <w:adjustRightInd w:val="0"/>
                    <w:snapToGrid w:val="0"/>
                    <w:jc w:val="center"/>
                    <w:rPr>
                      <w:szCs w:val="21"/>
                      <w:u w:val="single"/>
                    </w:rPr>
                  </w:pPr>
                  <w:r>
                    <w:rPr>
                      <w:rFonts w:hint="eastAsia" w:ascii="宋体" w:hAnsi="宋体"/>
                      <w:u w:val="single"/>
                    </w:rPr>
                    <w:t>厂区废水总排口</w:t>
                  </w:r>
                </w:p>
              </w:tc>
              <w:tc>
                <w:tcPr>
                  <w:tcW w:w="1023" w:type="dxa"/>
                  <w:tcBorders>
                    <w:top w:val="single" w:color="auto" w:sz="4" w:space="0"/>
                    <w:left w:val="single" w:color="auto" w:sz="4" w:space="0"/>
                    <w:bottom w:val="single" w:color="auto" w:sz="4" w:space="0"/>
                    <w:right w:val="single" w:color="auto" w:sz="4" w:space="0"/>
                  </w:tcBorders>
                  <w:vAlign w:val="center"/>
                </w:tcPr>
                <w:p w14:paraId="630D95E5">
                  <w:pPr>
                    <w:widowControl/>
                    <w:autoSpaceDE w:val="0"/>
                    <w:adjustRightInd w:val="0"/>
                    <w:snapToGrid w:val="0"/>
                    <w:jc w:val="center"/>
                    <w:rPr>
                      <w:szCs w:val="21"/>
                      <w:u w:val="single"/>
                    </w:rPr>
                  </w:pPr>
                  <w:r>
                    <w:rPr>
                      <w:u w:val="single"/>
                    </w:rPr>
                    <w:t>115.123034792</w:t>
                  </w:r>
                  <w:r>
                    <w:rPr>
                      <w:rFonts w:hint="eastAsia" w:ascii="宋体" w:hAnsi="宋体"/>
                      <w:u w:val="single"/>
                    </w:rPr>
                    <w:t>°</w:t>
                  </w:r>
                </w:p>
              </w:tc>
              <w:tc>
                <w:tcPr>
                  <w:tcW w:w="1054" w:type="dxa"/>
                  <w:tcBorders>
                    <w:top w:val="single" w:color="auto" w:sz="4" w:space="0"/>
                    <w:left w:val="single" w:color="auto" w:sz="4" w:space="0"/>
                    <w:bottom w:val="single" w:color="auto" w:sz="4" w:space="0"/>
                    <w:right w:val="single" w:color="auto" w:sz="4" w:space="0"/>
                  </w:tcBorders>
                  <w:vAlign w:val="center"/>
                </w:tcPr>
                <w:p w14:paraId="223F02AE">
                  <w:pPr>
                    <w:widowControl/>
                    <w:autoSpaceDE w:val="0"/>
                    <w:adjustRightInd w:val="0"/>
                    <w:snapToGrid w:val="0"/>
                    <w:jc w:val="center"/>
                    <w:rPr>
                      <w:szCs w:val="21"/>
                      <w:u w:val="single"/>
                    </w:rPr>
                  </w:pPr>
                  <w:r>
                    <w:rPr>
                      <w:u w:val="single"/>
                    </w:rPr>
                    <w:t>35.849308701</w:t>
                  </w:r>
                  <w:r>
                    <w:rPr>
                      <w:rFonts w:hint="eastAsia" w:ascii="宋体" w:hAnsi="宋体"/>
                      <w:u w:val="single"/>
                    </w:rPr>
                    <w:t>°</w:t>
                  </w:r>
                </w:p>
              </w:tc>
              <w:tc>
                <w:tcPr>
                  <w:tcW w:w="914" w:type="dxa"/>
                  <w:tcBorders>
                    <w:top w:val="single" w:color="auto" w:sz="4" w:space="0"/>
                    <w:left w:val="single" w:color="auto" w:sz="4" w:space="0"/>
                    <w:bottom w:val="single" w:color="auto" w:sz="4" w:space="0"/>
                    <w:right w:val="single" w:color="auto" w:sz="4" w:space="0"/>
                  </w:tcBorders>
                  <w:vAlign w:val="center"/>
                </w:tcPr>
                <w:p w14:paraId="0EA65724">
                  <w:pPr>
                    <w:widowControl/>
                    <w:autoSpaceDE w:val="0"/>
                    <w:adjustRightInd w:val="0"/>
                    <w:snapToGrid w:val="0"/>
                    <w:jc w:val="center"/>
                    <w:rPr>
                      <w:szCs w:val="21"/>
                      <w:u w:val="single"/>
                    </w:rPr>
                  </w:pPr>
                  <w:r>
                    <w:rPr>
                      <w:rFonts w:hint="eastAsia" w:ascii="宋体" w:hAnsi="宋体"/>
                      <w:u w:val="single"/>
                    </w:rPr>
                    <w:t>进入清丰中州水务有限公司第二污水处理厂</w:t>
                  </w:r>
                </w:p>
              </w:tc>
              <w:tc>
                <w:tcPr>
                  <w:tcW w:w="918" w:type="dxa"/>
                  <w:tcBorders>
                    <w:top w:val="single" w:color="auto" w:sz="4" w:space="0"/>
                    <w:left w:val="single" w:color="auto" w:sz="4" w:space="0"/>
                    <w:bottom w:val="single" w:color="auto" w:sz="4" w:space="0"/>
                    <w:right w:val="single" w:color="auto" w:sz="4" w:space="0"/>
                  </w:tcBorders>
                  <w:vAlign w:val="center"/>
                </w:tcPr>
                <w:p w14:paraId="7787439E">
                  <w:pPr>
                    <w:widowControl/>
                    <w:autoSpaceDE w:val="0"/>
                    <w:adjustRightInd w:val="0"/>
                    <w:snapToGrid w:val="0"/>
                    <w:jc w:val="center"/>
                    <w:rPr>
                      <w:szCs w:val="21"/>
                      <w:u w:val="single"/>
                    </w:rPr>
                  </w:pPr>
                  <w:r>
                    <w:rPr>
                      <w:rFonts w:hint="eastAsia" w:ascii="宋体" w:hAnsi="宋体"/>
                      <w:u w:val="single"/>
                    </w:rPr>
                    <w:t>间接排放，排放期间流量不稳定且无规律，但不属于冲击型排放</w:t>
                  </w:r>
                </w:p>
              </w:tc>
              <w:tc>
                <w:tcPr>
                  <w:tcW w:w="891" w:type="dxa"/>
                  <w:tcBorders>
                    <w:top w:val="single" w:color="auto" w:sz="4" w:space="0"/>
                    <w:left w:val="single" w:color="auto" w:sz="4" w:space="0"/>
                    <w:bottom w:val="single" w:color="auto" w:sz="4" w:space="0"/>
                    <w:right w:val="single" w:color="auto" w:sz="4" w:space="0"/>
                  </w:tcBorders>
                  <w:vAlign w:val="center"/>
                </w:tcPr>
                <w:p w14:paraId="74ED3135">
                  <w:pPr>
                    <w:widowControl/>
                    <w:autoSpaceDE w:val="0"/>
                    <w:adjustRightInd w:val="0"/>
                    <w:snapToGrid w:val="0"/>
                    <w:jc w:val="center"/>
                    <w:rPr>
                      <w:szCs w:val="21"/>
                      <w:u w:val="single"/>
                    </w:rPr>
                  </w:pPr>
                  <w:r>
                    <w:rPr>
                      <w:rFonts w:hint="eastAsia" w:ascii="宋体" w:hAnsi="宋体"/>
                      <w:u w:val="single"/>
                    </w:rPr>
                    <w:t>生产时</w:t>
                  </w:r>
                </w:p>
              </w:tc>
              <w:tc>
                <w:tcPr>
                  <w:tcW w:w="1395" w:type="dxa"/>
                  <w:tcBorders>
                    <w:top w:val="single" w:color="auto" w:sz="4" w:space="0"/>
                    <w:left w:val="single" w:color="auto" w:sz="4" w:space="0"/>
                    <w:bottom w:val="single" w:color="auto" w:sz="4" w:space="0"/>
                    <w:right w:val="single" w:color="auto" w:sz="4" w:space="0"/>
                  </w:tcBorders>
                  <w:vAlign w:val="center"/>
                </w:tcPr>
                <w:p w14:paraId="508CADE9">
                  <w:pPr>
                    <w:widowControl/>
                    <w:autoSpaceDE w:val="0"/>
                    <w:adjustRightInd w:val="0"/>
                    <w:snapToGrid w:val="0"/>
                    <w:jc w:val="center"/>
                    <w:rPr>
                      <w:szCs w:val="21"/>
                      <w:u w:val="single"/>
                    </w:rPr>
                  </w:pPr>
                  <w:r>
                    <w:rPr>
                      <w:rFonts w:hint="eastAsia" w:ascii="宋体" w:hAnsi="宋体"/>
                      <w:u w:val="single"/>
                    </w:rPr>
                    <w:t>《污水综合排放标准》（</w:t>
                  </w:r>
                  <w:r>
                    <w:rPr>
                      <w:rFonts w:hint="eastAsia"/>
                      <w:u w:val="single"/>
                    </w:rPr>
                    <w:t>GB8978-1996</w:t>
                  </w:r>
                  <w:r>
                    <w:rPr>
                      <w:rFonts w:hint="eastAsia" w:ascii="宋体" w:hAnsi="宋体"/>
                      <w:u w:val="single"/>
                    </w:rPr>
                    <w:t>）表</w:t>
                  </w:r>
                  <w:r>
                    <w:rPr>
                      <w:rFonts w:hint="eastAsia"/>
                      <w:u w:val="single"/>
                    </w:rPr>
                    <w:t>4</w:t>
                  </w:r>
                  <w:r>
                    <w:rPr>
                      <w:rFonts w:hint="eastAsia" w:ascii="宋体" w:hAnsi="宋体"/>
                      <w:u w:val="single"/>
                    </w:rPr>
                    <w:t>三级标准及清丰中州水务有限公司第二污水处理厂收水水质要求</w:t>
                  </w:r>
                </w:p>
              </w:tc>
            </w:tr>
          </w:tbl>
          <w:p w14:paraId="2C504813">
            <w:pPr>
              <w:spacing w:line="360" w:lineRule="auto"/>
              <w:ind w:firstLine="482" w:firstLineChars="200"/>
              <w:rPr>
                <w:b/>
                <w:sz w:val="24"/>
              </w:rPr>
            </w:pPr>
            <w:r>
              <w:rPr>
                <w:rFonts w:hint="eastAsia"/>
                <w:b/>
                <w:sz w:val="24"/>
              </w:rPr>
              <w:t>2.4自行监测要求</w:t>
            </w:r>
          </w:p>
          <w:p w14:paraId="5A0F0CC6">
            <w:pPr>
              <w:widowControl/>
              <w:adjustRightInd w:val="0"/>
              <w:snapToGrid w:val="0"/>
              <w:spacing w:line="360" w:lineRule="auto"/>
              <w:ind w:firstLine="480" w:firstLineChars="200"/>
              <w:rPr>
                <w:sz w:val="24"/>
                <w:u w:val="single"/>
              </w:rPr>
            </w:pPr>
            <w:r>
              <w:rPr>
                <w:rFonts w:hint="eastAsia" w:ascii="宋体" w:hAnsi="宋体"/>
                <w:sz w:val="24"/>
                <w:u w:val="single"/>
              </w:rPr>
              <w:t>根据《排污单位自行监测技术指南</w:t>
            </w:r>
            <w:r>
              <w:rPr>
                <w:rFonts w:hint="eastAsia"/>
                <w:sz w:val="24"/>
                <w:u w:val="single"/>
              </w:rPr>
              <w:t xml:space="preserve"> </w:t>
            </w:r>
            <w:r>
              <w:rPr>
                <w:rFonts w:hint="eastAsia" w:ascii="宋体" w:hAnsi="宋体"/>
                <w:sz w:val="24"/>
                <w:u w:val="single"/>
              </w:rPr>
              <w:t>总则》</w:t>
            </w:r>
            <w:r>
              <w:rPr>
                <w:rFonts w:hint="eastAsia"/>
                <w:sz w:val="24"/>
                <w:u w:val="single"/>
              </w:rPr>
              <w:t>(HJ 819-2017</w:t>
            </w:r>
            <w:r>
              <w:rPr>
                <w:rFonts w:hint="eastAsia" w:ascii="宋体" w:hAnsi="宋体"/>
                <w:sz w:val="24"/>
                <w:u w:val="single"/>
              </w:rPr>
              <w:t>），项目废水污染源监测计划如下：</w:t>
            </w:r>
          </w:p>
          <w:p w14:paraId="488B7322">
            <w:pPr>
              <w:pStyle w:val="137"/>
              <w:numPr>
                <w:ilvl w:val="0"/>
                <w:numId w:val="7"/>
              </w:numPr>
              <w:adjustRightInd w:val="0"/>
              <w:snapToGrid w:val="0"/>
              <w:ind w:firstLineChars="0"/>
              <w:jc w:val="center"/>
              <w:rPr>
                <w:rFonts w:hint="eastAsia"/>
                <w:b/>
                <w:szCs w:val="21"/>
                <w:u w:val="single"/>
              </w:rPr>
            </w:pPr>
            <w:r>
              <w:rPr>
                <w:rFonts w:hint="eastAsia" w:ascii="宋体" w:hAnsi="宋体"/>
                <w:b/>
                <w:u w:val="single"/>
              </w:rPr>
              <w:t>项目</w:t>
            </w:r>
            <w:r>
              <w:rPr>
                <w:rFonts w:ascii="宋体" w:hAnsi="宋体"/>
                <w:b/>
                <w:u w:val="single"/>
              </w:rPr>
              <w:t>废水</w:t>
            </w:r>
            <w:r>
              <w:rPr>
                <w:rFonts w:hint="eastAsia" w:ascii="宋体" w:hAnsi="宋体"/>
                <w:b/>
                <w:u w:val="single"/>
              </w:rPr>
              <w:t>监测计划</w:t>
            </w:r>
          </w:p>
          <w:tbl>
            <w:tblPr>
              <w:tblStyle w:val="39"/>
              <w:tblW w:w="7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502"/>
              <w:gridCol w:w="1254"/>
              <w:gridCol w:w="2318"/>
              <w:gridCol w:w="1537"/>
            </w:tblGrid>
            <w:tr w14:paraId="2C5B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215" w:type="dxa"/>
                  <w:tcBorders>
                    <w:top w:val="single" w:color="auto" w:sz="4" w:space="0"/>
                    <w:left w:val="single" w:color="auto" w:sz="4" w:space="0"/>
                    <w:bottom w:val="single" w:color="auto" w:sz="4" w:space="0"/>
                    <w:right w:val="single" w:color="auto" w:sz="4" w:space="0"/>
                  </w:tcBorders>
                  <w:vAlign w:val="center"/>
                </w:tcPr>
                <w:p w14:paraId="1972D4E5">
                  <w:pPr>
                    <w:jc w:val="center"/>
                    <w:rPr>
                      <w:b/>
                      <w:szCs w:val="21"/>
                      <w:u w:val="single"/>
                    </w:rPr>
                  </w:pPr>
                  <w:r>
                    <w:rPr>
                      <w:rFonts w:ascii="宋体" w:hAnsi="宋体"/>
                      <w:b/>
                      <w:u w:val="single"/>
                    </w:rPr>
                    <w:t>监测点位</w:t>
                  </w:r>
                </w:p>
              </w:tc>
              <w:tc>
                <w:tcPr>
                  <w:tcW w:w="1502" w:type="dxa"/>
                  <w:tcBorders>
                    <w:top w:val="single" w:color="auto" w:sz="4" w:space="0"/>
                    <w:left w:val="single" w:color="auto" w:sz="4" w:space="0"/>
                    <w:bottom w:val="single" w:color="auto" w:sz="4" w:space="0"/>
                    <w:right w:val="single" w:color="auto" w:sz="4" w:space="0"/>
                  </w:tcBorders>
                  <w:vAlign w:val="center"/>
                </w:tcPr>
                <w:p w14:paraId="5D55E0DE">
                  <w:pPr>
                    <w:jc w:val="center"/>
                    <w:rPr>
                      <w:b/>
                      <w:szCs w:val="21"/>
                      <w:u w:val="single"/>
                    </w:rPr>
                  </w:pPr>
                  <w:r>
                    <w:rPr>
                      <w:rFonts w:ascii="宋体" w:hAnsi="宋体"/>
                      <w:b/>
                      <w:u w:val="single"/>
                    </w:rPr>
                    <w:t>监测指标</w:t>
                  </w:r>
                </w:p>
              </w:tc>
              <w:tc>
                <w:tcPr>
                  <w:tcW w:w="1254" w:type="dxa"/>
                  <w:tcBorders>
                    <w:top w:val="single" w:color="auto" w:sz="4" w:space="0"/>
                    <w:left w:val="single" w:color="auto" w:sz="4" w:space="0"/>
                    <w:bottom w:val="single" w:color="auto" w:sz="4" w:space="0"/>
                    <w:right w:val="single" w:color="auto" w:sz="4" w:space="0"/>
                  </w:tcBorders>
                  <w:vAlign w:val="center"/>
                </w:tcPr>
                <w:p w14:paraId="4036F508">
                  <w:pPr>
                    <w:jc w:val="center"/>
                    <w:rPr>
                      <w:b/>
                      <w:szCs w:val="21"/>
                      <w:u w:val="single"/>
                    </w:rPr>
                  </w:pPr>
                  <w:r>
                    <w:rPr>
                      <w:rFonts w:ascii="宋体" w:hAnsi="宋体"/>
                      <w:b/>
                      <w:u w:val="single"/>
                    </w:rPr>
                    <w:t>监测频次</w:t>
                  </w:r>
                </w:p>
              </w:tc>
              <w:tc>
                <w:tcPr>
                  <w:tcW w:w="2318" w:type="dxa"/>
                  <w:tcBorders>
                    <w:top w:val="single" w:color="auto" w:sz="4" w:space="0"/>
                    <w:left w:val="single" w:color="auto" w:sz="4" w:space="0"/>
                    <w:bottom w:val="single" w:color="auto" w:sz="4" w:space="0"/>
                    <w:right w:val="single" w:color="auto" w:sz="4" w:space="0"/>
                  </w:tcBorders>
                  <w:vAlign w:val="center"/>
                </w:tcPr>
                <w:p w14:paraId="7189ABC0">
                  <w:pPr>
                    <w:jc w:val="center"/>
                    <w:rPr>
                      <w:b/>
                      <w:szCs w:val="21"/>
                      <w:u w:val="single"/>
                    </w:rPr>
                  </w:pPr>
                  <w:r>
                    <w:rPr>
                      <w:rFonts w:ascii="宋体" w:hAnsi="宋体"/>
                      <w:b/>
                      <w:u w:val="single"/>
                    </w:rPr>
                    <w:t>标准</w:t>
                  </w:r>
                </w:p>
              </w:tc>
              <w:tc>
                <w:tcPr>
                  <w:tcW w:w="1537" w:type="dxa"/>
                  <w:tcBorders>
                    <w:top w:val="single" w:color="auto" w:sz="4" w:space="0"/>
                    <w:left w:val="single" w:color="auto" w:sz="4" w:space="0"/>
                    <w:bottom w:val="single" w:color="auto" w:sz="4" w:space="0"/>
                    <w:right w:val="single" w:color="auto" w:sz="4" w:space="0"/>
                  </w:tcBorders>
                  <w:vAlign w:val="center"/>
                </w:tcPr>
                <w:p w14:paraId="4A5B98C2">
                  <w:pPr>
                    <w:jc w:val="center"/>
                    <w:rPr>
                      <w:b/>
                      <w:szCs w:val="21"/>
                      <w:u w:val="single"/>
                    </w:rPr>
                  </w:pPr>
                  <w:r>
                    <w:rPr>
                      <w:rFonts w:hint="eastAsia" w:ascii="宋体" w:hAnsi="宋体"/>
                      <w:b/>
                      <w:u w:val="single"/>
                    </w:rPr>
                    <w:t>标准限值</w:t>
                  </w:r>
                </w:p>
              </w:tc>
            </w:tr>
            <w:tr w14:paraId="1D83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215" w:type="dxa"/>
                  <w:vMerge w:val="restart"/>
                  <w:tcBorders>
                    <w:top w:val="nil"/>
                    <w:left w:val="single" w:color="auto" w:sz="4" w:space="0"/>
                    <w:bottom w:val="single" w:color="auto" w:sz="4" w:space="0"/>
                    <w:right w:val="single" w:color="auto" w:sz="4" w:space="0"/>
                  </w:tcBorders>
                  <w:vAlign w:val="center"/>
                </w:tcPr>
                <w:p w14:paraId="0E13D3CC">
                  <w:pPr>
                    <w:jc w:val="center"/>
                    <w:rPr>
                      <w:szCs w:val="21"/>
                      <w:u w:val="single"/>
                    </w:rPr>
                  </w:pPr>
                  <w:r>
                    <w:rPr>
                      <w:rFonts w:ascii="宋体" w:hAnsi="宋体"/>
                      <w:u w:val="single"/>
                    </w:rPr>
                    <w:t>厂区</w:t>
                  </w:r>
                  <w:r>
                    <w:rPr>
                      <w:rFonts w:hint="eastAsia" w:ascii="宋体" w:hAnsi="宋体"/>
                      <w:u w:val="single"/>
                    </w:rPr>
                    <w:t>废水</w:t>
                  </w:r>
                  <w:r>
                    <w:rPr>
                      <w:rFonts w:ascii="宋体" w:hAnsi="宋体"/>
                      <w:u w:val="single"/>
                    </w:rPr>
                    <w:t>总排口</w:t>
                  </w:r>
                </w:p>
              </w:tc>
              <w:tc>
                <w:tcPr>
                  <w:tcW w:w="1502" w:type="dxa"/>
                  <w:tcBorders>
                    <w:top w:val="single" w:color="auto" w:sz="4" w:space="0"/>
                    <w:left w:val="single" w:color="auto" w:sz="4" w:space="0"/>
                    <w:bottom w:val="single" w:color="auto" w:sz="4" w:space="0"/>
                    <w:right w:val="single" w:color="auto" w:sz="4" w:space="0"/>
                  </w:tcBorders>
                  <w:vAlign w:val="center"/>
                </w:tcPr>
                <w:p w14:paraId="3C1A3C6C">
                  <w:pPr>
                    <w:jc w:val="center"/>
                    <w:rPr>
                      <w:szCs w:val="21"/>
                      <w:u w:val="single"/>
                    </w:rPr>
                  </w:pPr>
                  <w:r>
                    <w:rPr>
                      <w:rFonts w:ascii="宋体" w:hAnsi="宋体"/>
                      <w:u w:val="single"/>
                    </w:rPr>
                    <w:t>流量</w:t>
                  </w:r>
                </w:p>
              </w:tc>
              <w:tc>
                <w:tcPr>
                  <w:tcW w:w="1254" w:type="dxa"/>
                  <w:vMerge w:val="restart"/>
                  <w:tcBorders>
                    <w:top w:val="nil"/>
                    <w:left w:val="single" w:color="auto" w:sz="4" w:space="0"/>
                    <w:bottom w:val="single" w:color="auto" w:sz="4" w:space="0"/>
                    <w:right w:val="single" w:color="auto" w:sz="4" w:space="0"/>
                  </w:tcBorders>
                  <w:vAlign w:val="center"/>
                </w:tcPr>
                <w:p w14:paraId="57F465FC">
                  <w:pPr>
                    <w:jc w:val="center"/>
                    <w:rPr>
                      <w:rFonts w:hint="eastAsia" w:eastAsia="宋体"/>
                      <w:szCs w:val="21"/>
                      <w:u w:val="single"/>
                      <w:lang w:val="en-US" w:eastAsia="zh-CN"/>
                    </w:rPr>
                  </w:pPr>
                  <w:r>
                    <w:rPr>
                      <w:rFonts w:hint="eastAsia"/>
                      <w:u w:val="single"/>
                    </w:rPr>
                    <w:t>1</w:t>
                  </w:r>
                  <w:r>
                    <w:rPr>
                      <w:rFonts w:hint="eastAsia" w:ascii="宋体" w:hAnsi="宋体"/>
                      <w:u w:val="single"/>
                    </w:rPr>
                    <w:t>次</w:t>
                  </w:r>
                  <w:r>
                    <w:rPr>
                      <w:rFonts w:hint="eastAsia"/>
                      <w:u w:val="single"/>
                    </w:rPr>
                    <w:t>/</w:t>
                  </w:r>
                  <w:r>
                    <w:rPr>
                      <w:rFonts w:hint="eastAsia"/>
                      <w:u w:val="single"/>
                      <w:lang w:val="en-US" w:eastAsia="zh-CN"/>
                    </w:rPr>
                    <w:t>季度</w:t>
                  </w:r>
                </w:p>
              </w:tc>
              <w:tc>
                <w:tcPr>
                  <w:tcW w:w="2318" w:type="dxa"/>
                  <w:vMerge w:val="restart"/>
                  <w:tcBorders>
                    <w:top w:val="nil"/>
                    <w:left w:val="single" w:color="auto" w:sz="4" w:space="0"/>
                    <w:bottom w:val="single" w:color="auto" w:sz="4" w:space="0"/>
                    <w:right w:val="single" w:color="auto" w:sz="4" w:space="0"/>
                  </w:tcBorders>
                  <w:vAlign w:val="center"/>
                </w:tcPr>
                <w:p w14:paraId="757C0611">
                  <w:pPr>
                    <w:jc w:val="center"/>
                    <w:rPr>
                      <w:szCs w:val="21"/>
                      <w:u w:val="single"/>
                    </w:rPr>
                  </w:pPr>
                  <w:r>
                    <w:rPr>
                      <w:rFonts w:hint="eastAsia" w:ascii="宋体" w:hAnsi="宋体"/>
                      <w:u w:val="single"/>
                    </w:rPr>
                    <w:t>《污水综合排放标准》（</w:t>
                  </w:r>
                  <w:r>
                    <w:rPr>
                      <w:rFonts w:hint="eastAsia"/>
                      <w:u w:val="single"/>
                    </w:rPr>
                    <w:t>GB8978-1996</w:t>
                  </w:r>
                  <w:r>
                    <w:rPr>
                      <w:rFonts w:hint="eastAsia" w:ascii="宋体" w:hAnsi="宋体"/>
                      <w:u w:val="single"/>
                    </w:rPr>
                    <w:t>）表</w:t>
                  </w:r>
                  <w:r>
                    <w:rPr>
                      <w:rFonts w:hint="eastAsia"/>
                      <w:u w:val="single"/>
                    </w:rPr>
                    <w:t>4</w:t>
                  </w:r>
                  <w:r>
                    <w:rPr>
                      <w:rFonts w:hint="eastAsia" w:ascii="宋体" w:hAnsi="宋体"/>
                      <w:u w:val="single"/>
                    </w:rPr>
                    <w:t>三级标准及清丰中州水务有限公司第二污水处理厂收水水质要求</w:t>
                  </w:r>
                </w:p>
              </w:tc>
              <w:tc>
                <w:tcPr>
                  <w:tcW w:w="1537" w:type="dxa"/>
                  <w:tcBorders>
                    <w:top w:val="single" w:color="auto" w:sz="4" w:space="0"/>
                    <w:left w:val="single" w:color="auto" w:sz="4" w:space="0"/>
                    <w:bottom w:val="single" w:color="auto" w:sz="4" w:space="0"/>
                    <w:right w:val="single" w:color="auto" w:sz="4" w:space="0"/>
                  </w:tcBorders>
                  <w:vAlign w:val="center"/>
                </w:tcPr>
                <w:p w14:paraId="2968086A">
                  <w:pPr>
                    <w:jc w:val="center"/>
                    <w:rPr>
                      <w:szCs w:val="21"/>
                      <w:u w:val="single"/>
                    </w:rPr>
                  </w:pPr>
                  <w:r>
                    <w:rPr>
                      <w:rFonts w:hint="eastAsia"/>
                      <w:u w:val="single"/>
                    </w:rPr>
                    <w:t>/</w:t>
                  </w:r>
                </w:p>
              </w:tc>
            </w:tr>
            <w:tr w14:paraId="4B16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215" w:type="dxa"/>
                  <w:vMerge w:val="continue"/>
                  <w:tcBorders>
                    <w:top w:val="nil"/>
                    <w:left w:val="single" w:color="auto" w:sz="4" w:space="0"/>
                    <w:bottom w:val="single" w:color="auto" w:sz="4" w:space="0"/>
                    <w:right w:val="single" w:color="auto" w:sz="4" w:space="0"/>
                  </w:tcBorders>
                  <w:vAlign w:val="center"/>
                </w:tcPr>
                <w:p w14:paraId="69BE4CA0">
                  <w:pPr>
                    <w:widowControl/>
                    <w:jc w:val="left"/>
                    <w:rPr>
                      <w:szCs w:val="21"/>
                      <w:u w:val="single"/>
                    </w:rPr>
                  </w:pPr>
                </w:p>
              </w:tc>
              <w:tc>
                <w:tcPr>
                  <w:tcW w:w="1502" w:type="dxa"/>
                  <w:tcBorders>
                    <w:top w:val="single" w:color="auto" w:sz="4" w:space="0"/>
                    <w:left w:val="single" w:color="auto" w:sz="4" w:space="0"/>
                    <w:bottom w:val="single" w:color="auto" w:sz="4" w:space="0"/>
                    <w:right w:val="single" w:color="auto" w:sz="4" w:space="0"/>
                  </w:tcBorders>
                  <w:vAlign w:val="center"/>
                </w:tcPr>
                <w:p w14:paraId="39E8FFE6">
                  <w:pPr>
                    <w:jc w:val="center"/>
                    <w:rPr>
                      <w:szCs w:val="21"/>
                      <w:u w:val="single"/>
                    </w:rPr>
                  </w:pPr>
                  <w:r>
                    <w:rPr>
                      <w:u w:val="single"/>
                    </w:rPr>
                    <w:t>p</w:t>
                  </w:r>
                  <w:r>
                    <w:rPr>
                      <w:rFonts w:hint="eastAsia"/>
                      <w:u w:val="single"/>
                    </w:rPr>
                    <w:t>H</w:t>
                  </w:r>
                </w:p>
              </w:tc>
              <w:tc>
                <w:tcPr>
                  <w:tcW w:w="1254" w:type="dxa"/>
                  <w:vMerge w:val="continue"/>
                  <w:tcBorders>
                    <w:top w:val="nil"/>
                    <w:left w:val="single" w:color="auto" w:sz="4" w:space="0"/>
                    <w:bottom w:val="single" w:color="auto" w:sz="4" w:space="0"/>
                    <w:right w:val="single" w:color="auto" w:sz="4" w:space="0"/>
                  </w:tcBorders>
                  <w:vAlign w:val="center"/>
                </w:tcPr>
                <w:p w14:paraId="48B497F9">
                  <w:pPr>
                    <w:widowControl/>
                    <w:jc w:val="left"/>
                    <w:rPr>
                      <w:szCs w:val="21"/>
                      <w:u w:val="single"/>
                    </w:rPr>
                  </w:pPr>
                </w:p>
              </w:tc>
              <w:tc>
                <w:tcPr>
                  <w:tcW w:w="2318" w:type="dxa"/>
                  <w:vMerge w:val="continue"/>
                  <w:tcBorders>
                    <w:top w:val="nil"/>
                    <w:left w:val="single" w:color="auto" w:sz="4" w:space="0"/>
                    <w:bottom w:val="single" w:color="auto" w:sz="4" w:space="0"/>
                    <w:right w:val="single" w:color="auto" w:sz="4" w:space="0"/>
                  </w:tcBorders>
                  <w:vAlign w:val="center"/>
                </w:tcPr>
                <w:p w14:paraId="377DEFB3">
                  <w:pPr>
                    <w:widowControl/>
                    <w:jc w:val="left"/>
                    <w:rPr>
                      <w:szCs w:val="21"/>
                      <w:u w:val="single"/>
                    </w:rPr>
                  </w:pPr>
                </w:p>
              </w:tc>
              <w:tc>
                <w:tcPr>
                  <w:tcW w:w="1537" w:type="dxa"/>
                  <w:tcBorders>
                    <w:top w:val="single" w:color="auto" w:sz="4" w:space="0"/>
                    <w:left w:val="single" w:color="auto" w:sz="4" w:space="0"/>
                    <w:bottom w:val="single" w:color="auto" w:sz="4" w:space="0"/>
                    <w:right w:val="single" w:color="auto" w:sz="4" w:space="0"/>
                  </w:tcBorders>
                  <w:vAlign w:val="center"/>
                </w:tcPr>
                <w:p w14:paraId="5E546B79">
                  <w:pPr>
                    <w:jc w:val="center"/>
                    <w:rPr>
                      <w:szCs w:val="21"/>
                      <w:u w:val="single"/>
                    </w:rPr>
                  </w:pPr>
                  <w:r>
                    <w:rPr>
                      <w:u w:val="single"/>
                    </w:rPr>
                    <w:t>6~9</w:t>
                  </w:r>
                </w:p>
              </w:tc>
            </w:tr>
            <w:tr w14:paraId="7FB5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215" w:type="dxa"/>
                  <w:vMerge w:val="continue"/>
                  <w:tcBorders>
                    <w:top w:val="nil"/>
                    <w:left w:val="single" w:color="auto" w:sz="4" w:space="0"/>
                    <w:bottom w:val="single" w:color="auto" w:sz="4" w:space="0"/>
                    <w:right w:val="single" w:color="auto" w:sz="4" w:space="0"/>
                  </w:tcBorders>
                  <w:vAlign w:val="center"/>
                </w:tcPr>
                <w:p w14:paraId="3A2DD518">
                  <w:pPr>
                    <w:widowControl/>
                    <w:jc w:val="left"/>
                    <w:rPr>
                      <w:szCs w:val="21"/>
                      <w:u w:val="single"/>
                    </w:rPr>
                  </w:pPr>
                </w:p>
              </w:tc>
              <w:tc>
                <w:tcPr>
                  <w:tcW w:w="1502" w:type="dxa"/>
                  <w:tcBorders>
                    <w:top w:val="single" w:color="auto" w:sz="4" w:space="0"/>
                    <w:left w:val="single" w:color="auto" w:sz="4" w:space="0"/>
                    <w:bottom w:val="single" w:color="auto" w:sz="4" w:space="0"/>
                    <w:right w:val="single" w:color="auto" w:sz="4" w:space="0"/>
                  </w:tcBorders>
                  <w:vAlign w:val="center"/>
                </w:tcPr>
                <w:p w14:paraId="3339D348">
                  <w:pPr>
                    <w:jc w:val="center"/>
                    <w:rPr>
                      <w:szCs w:val="21"/>
                      <w:u w:val="single"/>
                    </w:rPr>
                  </w:pPr>
                  <w:r>
                    <w:rPr>
                      <w:rFonts w:hint="eastAsia"/>
                      <w:u w:val="single"/>
                    </w:rPr>
                    <w:t>COD</w:t>
                  </w:r>
                </w:p>
              </w:tc>
              <w:tc>
                <w:tcPr>
                  <w:tcW w:w="1254" w:type="dxa"/>
                  <w:vMerge w:val="continue"/>
                  <w:tcBorders>
                    <w:top w:val="nil"/>
                    <w:left w:val="single" w:color="auto" w:sz="4" w:space="0"/>
                    <w:bottom w:val="single" w:color="auto" w:sz="4" w:space="0"/>
                    <w:right w:val="single" w:color="auto" w:sz="4" w:space="0"/>
                  </w:tcBorders>
                  <w:vAlign w:val="center"/>
                </w:tcPr>
                <w:p w14:paraId="03A20FE8">
                  <w:pPr>
                    <w:widowControl/>
                    <w:jc w:val="left"/>
                    <w:rPr>
                      <w:szCs w:val="21"/>
                      <w:u w:val="single"/>
                    </w:rPr>
                  </w:pPr>
                </w:p>
              </w:tc>
              <w:tc>
                <w:tcPr>
                  <w:tcW w:w="2318" w:type="dxa"/>
                  <w:vMerge w:val="continue"/>
                  <w:tcBorders>
                    <w:top w:val="nil"/>
                    <w:left w:val="single" w:color="auto" w:sz="4" w:space="0"/>
                    <w:bottom w:val="single" w:color="auto" w:sz="4" w:space="0"/>
                    <w:right w:val="single" w:color="auto" w:sz="4" w:space="0"/>
                  </w:tcBorders>
                  <w:vAlign w:val="center"/>
                </w:tcPr>
                <w:p w14:paraId="0B343DAD">
                  <w:pPr>
                    <w:widowControl/>
                    <w:jc w:val="left"/>
                    <w:rPr>
                      <w:szCs w:val="21"/>
                      <w:u w:val="single"/>
                    </w:rPr>
                  </w:pPr>
                </w:p>
              </w:tc>
              <w:tc>
                <w:tcPr>
                  <w:tcW w:w="1537" w:type="dxa"/>
                  <w:tcBorders>
                    <w:top w:val="single" w:color="auto" w:sz="4" w:space="0"/>
                    <w:left w:val="single" w:color="auto" w:sz="4" w:space="0"/>
                    <w:bottom w:val="single" w:color="auto" w:sz="4" w:space="0"/>
                    <w:right w:val="single" w:color="auto" w:sz="4" w:space="0"/>
                  </w:tcBorders>
                  <w:vAlign w:val="center"/>
                </w:tcPr>
                <w:p w14:paraId="6ECFD6CD">
                  <w:pPr>
                    <w:jc w:val="center"/>
                    <w:rPr>
                      <w:szCs w:val="21"/>
                      <w:u w:val="single"/>
                    </w:rPr>
                  </w:pPr>
                  <w:r>
                    <w:rPr>
                      <w:u w:val="single"/>
                    </w:rPr>
                    <w:t>350</w:t>
                  </w:r>
                  <w:r>
                    <w:rPr>
                      <w:rFonts w:eastAsia="TimesNewRomanPSMT"/>
                    </w:rPr>
                    <w:t>mg/L</w:t>
                  </w:r>
                </w:p>
              </w:tc>
            </w:tr>
            <w:tr w14:paraId="7BEB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215" w:type="dxa"/>
                  <w:vMerge w:val="continue"/>
                  <w:tcBorders>
                    <w:top w:val="nil"/>
                    <w:left w:val="single" w:color="auto" w:sz="4" w:space="0"/>
                    <w:bottom w:val="single" w:color="auto" w:sz="4" w:space="0"/>
                    <w:right w:val="single" w:color="auto" w:sz="4" w:space="0"/>
                  </w:tcBorders>
                  <w:vAlign w:val="center"/>
                </w:tcPr>
                <w:p w14:paraId="5A4605BB">
                  <w:pPr>
                    <w:widowControl/>
                    <w:jc w:val="left"/>
                    <w:rPr>
                      <w:szCs w:val="21"/>
                      <w:u w:val="single"/>
                    </w:rPr>
                  </w:pPr>
                </w:p>
              </w:tc>
              <w:tc>
                <w:tcPr>
                  <w:tcW w:w="1502" w:type="dxa"/>
                  <w:tcBorders>
                    <w:top w:val="single" w:color="auto" w:sz="4" w:space="0"/>
                    <w:left w:val="single" w:color="auto" w:sz="4" w:space="0"/>
                    <w:bottom w:val="single" w:color="auto" w:sz="4" w:space="0"/>
                    <w:right w:val="single" w:color="auto" w:sz="4" w:space="0"/>
                  </w:tcBorders>
                  <w:vAlign w:val="center"/>
                </w:tcPr>
                <w:p w14:paraId="45BD9F21">
                  <w:pPr>
                    <w:jc w:val="center"/>
                    <w:rPr>
                      <w:szCs w:val="21"/>
                      <w:u w:val="single"/>
                    </w:rPr>
                  </w:pPr>
                  <w:r>
                    <w:rPr>
                      <w:rFonts w:hint="eastAsia"/>
                      <w:u w:val="single"/>
                    </w:rPr>
                    <w:t>BOD</w:t>
                  </w:r>
                  <w:r>
                    <w:rPr>
                      <w:rFonts w:hint="eastAsia"/>
                      <w:u w:val="single"/>
                      <w:vertAlign w:val="subscript"/>
                    </w:rPr>
                    <w:t>5</w:t>
                  </w:r>
                </w:p>
              </w:tc>
              <w:tc>
                <w:tcPr>
                  <w:tcW w:w="1254" w:type="dxa"/>
                  <w:vMerge w:val="continue"/>
                  <w:tcBorders>
                    <w:top w:val="nil"/>
                    <w:left w:val="single" w:color="auto" w:sz="4" w:space="0"/>
                    <w:bottom w:val="single" w:color="auto" w:sz="4" w:space="0"/>
                    <w:right w:val="single" w:color="auto" w:sz="4" w:space="0"/>
                  </w:tcBorders>
                  <w:vAlign w:val="center"/>
                </w:tcPr>
                <w:p w14:paraId="0B0CFB51">
                  <w:pPr>
                    <w:widowControl/>
                    <w:jc w:val="left"/>
                    <w:rPr>
                      <w:szCs w:val="21"/>
                      <w:u w:val="single"/>
                    </w:rPr>
                  </w:pPr>
                </w:p>
              </w:tc>
              <w:tc>
                <w:tcPr>
                  <w:tcW w:w="2318" w:type="dxa"/>
                  <w:vMerge w:val="continue"/>
                  <w:tcBorders>
                    <w:top w:val="nil"/>
                    <w:left w:val="single" w:color="auto" w:sz="4" w:space="0"/>
                    <w:bottom w:val="single" w:color="auto" w:sz="4" w:space="0"/>
                    <w:right w:val="single" w:color="auto" w:sz="4" w:space="0"/>
                  </w:tcBorders>
                  <w:vAlign w:val="center"/>
                </w:tcPr>
                <w:p w14:paraId="46D5B1A9">
                  <w:pPr>
                    <w:widowControl/>
                    <w:jc w:val="left"/>
                    <w:rPr>
                      <w:szCs w:val="21"/>
                      <w:u w:val="single"/>
                    </w:rPr>
                  </w:pPr>
                </w:p>
              </w:tc>
              <w:tc>
                <w:tcPr>
                  <w:tcW w:w="1537" w:type="dxa"/>
                  <w:tcBorders>
                    <w:top w:val="single" w:color="auto" w:sz="4" w:space="0"/>
                    <w:left w:val="single" w:color="auto" w:sz="4" w:space="0"/>
                    <w:bottom w:val="single" w:color="auto" w:sz="4" w:space="0"/>
                    <w:right w:val="single" w:color="auto" w:sz="4" w:space="0"/>
                  </w:tcBorders>
                  <w:vAlign w:val="center"/>
                </w:tcPr>
                <w:p w14:paraId="1912986C">
                  <w:pPr>
                    <w:jc w:val="center"/>
                    <w:rPr>
                      <w:szCs w:val="21"/>
                      <w:u w:val="single"/>
                    </w:rPr>
                  </w:pPr>
                  <w:r>
                    <w:rPr>
                      <w:rFonts w:eastAsia="TimesNewRomanPSMT"/>
                    </w:rPr>
                    <w:t>170mg/L</w:t>
                  </w:r>
                </w:p>
              </w:tc>
            </w:tr>
            <w:tr w14:paraId="22EB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215" w:type="dxa"/>
                  <w:vMerge w:val="continue"/>
                  <w:tcBorders>
                    <w:top w:val="nil"/>
                    <w:left w:val="single" w:color="auto" w:sz="4" w:space="0"/>
                    <w:bottom w:val="single" w:color="auto" w:sz="4" w:space="0"/>
                    <w:right w:val="single" w:color="auto" w:sz="4" w:space="0"/>
                  </w:tcBorders>
                  <w:vAlign w:val="center"/>
                </w:tcPr>
                <w:p w14:paraId="73165314">
                  <w:pPr>
                    <w:widowControl/>
                    <w:jc w:val="left"/>
                    <w:rPr>
                      <w:szCs w:val="21"/>
                      <w:u w:val="single"/>
                    </w:rPr>
                  </w:pPr>
                </w:p>
              </w:tc>
              <w:tc>
                <w:tcPr>
                  <w:tcW w:w="1502" w:type="dxa"/>
                  <w:tcBorders>
                    <w:top w:val="single" w:color="auto" w:sz="4" w:space="0"/>
                    <w:left w:val="single" w:color="auto" w:sz="4" w:space="0"/>
                    <w:bottom w:val="single" w:color="auto" w:sz="4" w:space="0"/>
                    <w:right w:val="single" w:color="auto" w:sz="4" w:space="0"/>
                  </w:tcBorders>
                  <w:vAlign w:val="center"/>
                </w:tcPr>
                <w:p w14:paraId="1CD16496">
                  <w:pPr>
                    <w:jc w:val="center"/>
                    <w:rPr>
                      <w:szCs w:val="21"/>
                      <w:u w:val="single"/>
                    </w:rPr>
                  </w:pPr>
                  <w:r>
                    <w:rPr>
                      <w:rFonts w:hint="eastAsia"/>
                      <w:u w:val="single"/>
                    </w:rPr>
                    <w:t>SS</w:t>
                  </w:r>
                </w:p>
              </w:tc>
              <w:tc>
                <w:tcPr>
                  <w:tcW w:w="1254" w:type="dxa"/>
                  <w:vMerge w:val="continue"/>
                  <w:tcBorders>
                    <w:top w:val="nil"/>
                    <w:left w:val="single" w:color="auto" w:sz="4" w:space="0"/>
                    <w:bottom w:val="single" w:color="auto" w:sz="4" w:space="0"/>
                    <w:right w:val="single" w:color="auto" w:sz="4" w:space="0"/>
                  </w:tcBorders>
                  <w:vAlign w:val="center"/>
                </w:tcPr>
                <w:p w14:paraId="3D9A7F8E">
                  <w:pPr>
                    <w:widowControl/>
                    <w:jc w:val="left"/>
                    <w:rPr>
                      <w:szCs w:val="21"/>
                      <w:u w:val="single"/>
                    </w:rPr>
                  </w:pPr>
                </w:p>
              </w:tc>
              <w:tc>
                <w:tcPr>
                  <w:tcW w:w="2318" w:type="dxa"/>
                  <w:vMerge w:val="continue"/>
                  <w:tcBorders>
                    <w:top w:val="nil"/>
                    <w:left w:val="single" w:color="auto" w:sz="4" w:space="0"/>
                    <w:bottom w:val="single" w:color="auto" w:sz="4" w:space="0"/>
                    <w:right w:val="single" w:color="auto" w:sz="4" w:space="0"/>
                  </w:tcBorders>
                  <w:vAlign w:val="center"/>
                </w:tcPr>
                <w:p w14:paraId="4A133DD8">
                  <w:pPr>
                    <w:widowControl/>
                    <w:jc w:val="left"/>
                    <w:rPr>
                      <w:szCs w:val="21"/>
                      <w:u w:val="single"/>
                    </w:rPr>
                  </w:pPr>
                </w:p>
              </w:tc>
              <w:tc>
                <w:tcPr>
                  <w:tcW w:w="1537" w:type="dxa"/>
                  <w:tcBorders>
                    <w:top w:val="single" w:color="auto" w:sz="4" w:space="0"/>
                    <w:left w:val="single" w:color="auto" w:sz="4" w:space="0"/>
                    <w:bottom w:val="single" w:color="auto" w:sz="4" w:space="0"/>
                    <w:right w:val="single" w:color="auto" w:sz="4" w:space="0"/>
                  </w:tcBorders>
                  <w:vAlign w:val="center"/>
                </w:tcPr>
                <w:p w14:paraId="30D4FA32">
                  <w:pPr>
                    <w:jc w:val="center"/>
                    <w:rPr>
                      <w:szCs w:val="21"/>
                      <w:u w:val="single"/>
                    </w:rPr>
                  </w:pPr>
                  <w:r>
                    <w:rPr>
                      <w:u w:val="single"/>
                    </w:rPr>
                    <w:t>210mg/L</w:t>
                  </w:r>
                </w:p>
              </w:tc>
            </w:tr>
            <w:tr w14:paraId="7E09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215" w:type="dxa"/>
                  <w:vMerge w:val="continue"/>
                  <w:tcBorders>
                    <w:top w:val="nil"/>
                    <w:left w:val="single" w:color="auto" w:sz="4" w:space="0"/>
                    <w:bottom w:val="single" w:color="auto" w:sz="4" w:space="0"/>
                    <w:right w:val="single" w:color="auto" w:sz="4" w:space="0"/>
                  </w:tcBorders>
                  <w:vAlign w:val="center"/>
                </w:tcPr>
                <w:p w14:paraId="40F1B765">
                  <w:pPr>
                    <w:widowControl/>
                    <w:jc w:val="left"/>
                    <w:rPr>
                      <w:szCs w:val="21"/>
                      <w:u w:val="single"/>
                    </w:rPr>
                  </w:pPr>
                </w:p>
              </w:tc>
              <w:tc>
                <w:tcPr>
                  <w:tcW w:w="1502" w:type="dxa"/>
                  <w:tcBorders>
                    <w:top w:val="single" w:color="auto" w:sz="4" w:space="0"/>
                    <w:left w:val="single" w:color="auto" w:sz="4" w:space="0"/>
                    <w:bottom w:val="single" w:color="auto" w:sz="4" w:space="0"/>
                    <w:right w:val="single" w:color="auto" w:sz="4" w:space="0"/>
                  </w:tcBorders>
                  <w:vAlign w:val="center"/>
                </w:tcPr>
                <w:p w14:paraId="7388E359">
                  <w:pPr>
                    <w:jc w:val="center"/>
                    <w:rPr>
                      <w:szCs w:val="21"/>
                      <w:u w:val="single"/>
                    </w:rPr>
                  </w:pPr>
                  <w:r>
                    <w:rPr>
                      <w:rFonts w:ascii="宋体" w:hAnsi="宋体"/>
                      <w:u w:val="single"/>
                    </w:rPr>
                    <w:t>氨氮</w:t>
                  </w:r>
                </w:p>
              </w:tc>
              <w:tc>
                <w:tcPr>
                  <w:tcW w:w="1254" w:type="dxa"/>
                  <w:vMerge w:val="continue"/>
                  <w:tcBorders>
                    <w:top w:val="nil"/>
                    <w:left w:val="single" w:color="auto" w:sz="4" w:space="0"/>
                    <w:bottom w:val="single" w:color="auto" w:sz="4" w:space="0"/>
                    <w:right w:val="single" w:color="auto" w:sz="4" w:space="0"/>
                  </w:tcBorders>
                  <w:vAlign w:val="center"/>
                </w:tcPr>
                <w:p w14:paraId="7D065B41">
                  <w:pPr>
                    <w:widowControl/>
                    <w:jc w:val="left"/>
                    <w:rPr>
                      <w:szCs w:val="21"/>
                      <w:u w:val="single"/>
                    </w:rPr>
                  </w:pPr>
                </w:p>
              </w:tc>
              <w:tc>
                <w:tcPr>
                  <w:tcW w:w="2318" w:type="dxa"/>
                  <w:vMerge w:val="continue"/>
                  <w:tcBorders>
                    <w:top w:val="nil"/>
                    <w:left w:val="single" w:color="auto" w:sz="4" w:space="0"/>
                    <w:bottom w:val="single" w:color="auto" w:sz="4" w:space="0"/>
                    <w:right w:val="single" w:color="auto" w:sz="4" w:space="0"/>
                  </w:tcBorders>
                  <w:vAlign w:val="center"/>
                </w:tcPr>
                <w:p w14:paraId="2C4B8D73">
                  <w:pPr>
                    <w:widowControl/>
                    <w:jc w:val="left"/>
                    <w:rPr>
                      <w:szCs w:val="21"/>
                      <w:u w:val="single"/>
                    </w:rPr>
                  </w:pPr>
                </w:p>
              </w:tc>
              <w:tc>
                <w:tcPr>
                  <w:tcW w:w="1537" w:type="dxa"/>
                  <w:tcBorders>
                    <w:top w:val="single" w:color="auto" w:sz="4" w:space="0"/>
                    <w:left w:val="single" w:color="auto" w:sz="4" w:space="0"/>
                    <w:bottom w:val="single" w:color="auto" w:sz="4" w:space="0"/>
                    <w:right w:val="single" w:color="auto" w:sz="4" w:space="0"/>
                  </w:tcBorders>
                  <w:vAlign w:val="center"/>
                </w:tcPr>
                <w:p w14:paraId="5483ED38">
                  <w:pPr>
                    <w:jc w:val="center"/>
                    <w:rPr>
                      <w:szCs w:val="21"/>
                      <w:u w:val="single"/>
                    </w:rPr>
                  </w:pPr>
                  <w:r>
                    <w:rPr>
                      <w:u w:val="single"/>
                    </w:rPr>
                    <w:t>30mg/L</w:t>
                  </w:r>
                </w:p>
              </w:tc>
            </w:tr>
          </w:tbl>
          <w:p w14:paraId="5641E0C4">
            <w:pPr>
              <w:adjustRightInd w:val="0"/>
              <w:snapToGrid w:val="0"/>
              <w:spacing w:line="360" w:lineRule="auto"/>
              <w:ind w:firstLine="482" w:firstLineChars="200"/>
              <w:rPr>
                <w:b/>
                <w:sz w:val="24"/>
              </w:rPr>
            </w:pPr>
            <w:r>
              <w:rPr>
                <w:rFonts w:hint="eastAsia"/>
                <w:b/>
                <w:sz w:val="24"/>
              </w:rPr>
              <w:t>3、噪声</w:t>
            </w:r>
          </w:p>
          <w:p w14:paraId="5ABBCAB5">
            <w:pPr>
              <w:snapToGrid w:val="0"/>
              <w:spacing w:line="360" w:lineRule="auto"/>
              <w:ind w:firstLine="482" w:firstLineChars="200"/>
              <w:rPr>
                <w:b/>
                <w:sz w:val="24"/>
              </w:rPr>
            </w:pPr>
            <w:r>
              <w:rPr>
                <w:rFonts w:hint="eastAsia"/>
                <w:b/>
                <w:sz w:val="24"/>
              </w:rPr>
              <w:t>3.1噪声源强</w:t>
            </w:r>
          </w:p>
          <w:p w14:paraId="787DCD87">
            <w:pPr>
              <w:snapToGrid w:val="0"/>
              <w:spacing w:line="360" w:lineRule="auto"/>
              <w:ind w:firstLine="480" w:firstLineChars="200"/>
              <w:rPr>
                <w:sz w:val="24"/>
              </w:rPr>
            </w:pPr>
            <w:r>
              <w:rPr>
                <w:sz w:val="24"/>
              </w:rPr>
              <w:t>本项目营运期噪声源为切割机</w:t>
            </w:r>
            <w:r>
              <w:rPr>
                <w:rFonts w:hint="eastAsia"/>
                <w:sz w:val="24"/>
              </w:rPr>
              <w:t>、磨边机、清洗机、钢化炉、风机等设备运行产生的噪声</w:t>
            </w:r>
            <w:r>
              <w:rPr>
                <w:sz w:val="24"/>
              </w:rPr>
              <w:t>，其源强在</w:t>
            </w:r>
            <w:r>
              <w:rPr>
                <w:rFonts w:hint="eastAsia"/>
                <w:sz w:val="24"/>
              </w:rPr>
              <w:t>75</w:t>
            </w:r>
            <w:r>
              <w:rPr>
                <w:sz w:val="24"/>
              </w:rPr>
              <w:t>~</w:t>
            </w:r>
            <w:r>
              <w:rPr>
                <w:rFonts w:hint="eastAsia"/>
                <w:sz w:val="24"/>
              </w:rPr>
              <w:t>90</w:t>
            </w:r>
            <w:r>
              <w:rPr>
                <w:sz w:val="24"/>
              </w:rPr>
              <w:t>dB(A)之间。</w:t>
            </w:r>
          </w:p>
          <w:p w14:paraId="12D76D01">
            <w:pPr>
              <w:snapToGrid w:val="0"/>
              <w:spacing w:line="360" w:lineRule="auto"/>
              <w:ind w:firstLine="480" w:firstLineChars="200"/>
              <w:rPr>
                <w:sz w:val="24"/>
              </w:rPr>
            </w:pPr>
            <w:r>
              <w:rPr>
                <w:rFonts w:hint="eastAsia"/>
                <w:sz w:val="24"/>
              </w:rPr>
              <w:t>项目主要生产设备均布置在生产车间内，设备噪声通过设置减振垫、消声等措施进行降噪。风机设置在厂房外，通过采用低噪声设备、设软连接、减振垫、消音器等措施进行降噪。营运期设备噪声通过基础减振、消声、建筑隔声等措施进行处理后，可有效减少噪声影响。</w:t>
            </w:r>
          </w:p>
          <w:p w14:paraId="41A279CC">
            <w:pPr>
              <w:pStyle w:val="137"/>
              <w:numPr>
                <w:ilvl w:val="0"/>
                <w:numId w:val="7"/>
              </w:numPr>
              <w:adjustRightInd w:val="0"/>
              <w:snapToGrid w:val="0"/>
              <w:ind w:firstLineChars="0"/>
              <w:jc w:val="center"/>
              <w:rPr>
                <w:b/>
                <w:szCs w:val="21"/>
              </w:rPr>
            </w:pPr>
            <w:r>
              <w:rPr>
                <w:rFonts w:hint="eastAsia"/>
                <w:b/>
                <w:szCs w:val="21"/>
              </w:rPr>
              <w:t>本</w:t>
            </w:r>
            <w:r>
              <w:rPr>
                <w:b/>
                <w:szCs w:val="21"/>
              </w:rPr>
              <w:t>项目噪声源强一览表  单位：dB（A）</w:t>
            </w:r>
          </w:p>
          <w:tbl>
            <w:tblPr>
              <w:tblStyle w:val="3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638"/>
              <w:gridCol w:w="1134"/>
              <w:gridCol w:w="1029"/>
              <w:gridCol w:w="2233"/>
              <w:gridCol w:w="1327"/>
            </w:tblGrid>
            <w:tr w14:paraId="0A48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444" w:type="pct"/>
                  <w:tcBorders>
                    <w:tl2br w:val="nil"/>
                    <w:tr2bl w:val="nil"/>
                  </w:tcBorders>
                  <w:vAlign w:val="center"/>
                </w:tcPr>
                <w:p w14:paraId="5EECD452">
                  <w:pPr>
                    <w:adjustRightInd w:val="0"/>
                    <w:snapToGrid w:val="0"/>
                    <w:jc w:val="center"/>
                    <w:rPr>
                      <w:b/>
                      <w:szCs w:val="21"/>
                    </w:rPr>
                  </w:pPr>
                  <w:r>
                    <w:rPr>
                      <w:b/>
                      <w:szCs w:val="21"/>
                    </w:rPr>
                    <w:t>序号</w:t>
                  </w:r>
                </w:p>
              </w:tc>
              <w:tc>
                <w:tcPr>
                  <w:tcW w:w="1014" w:type="pct"/>
                  <w:tcBorders>
                    <w:tl2br w:val="nil"/>
                    <w:tr2bl w:val="nil"/>
                  </w:tcBorders>
                  <w:vAlign w:val="center"/>
                </w:tcPr>
                <w:p w14:paraId="45F1B712">
                  <w:pPr>
                    <w:adjustRightInd w:val="0"/>
                    <w:snapToGrid w:val="0"/>
                    <w:jc w:val="center"/>
                    <w:rPr>
                      <w:b/>
                      <w:szCs w:val="21"/>
                    </w:rPr>
                  </w:pPr>
                  <w:r>
                    <w:rPr>
                      <w:rFonts w:hint="eastAsia"/>
                      <w:b/>
                      <w:szCs w:val="21"/>
                    </w:rPr>
                    <w:t>噪声源</w:t>
                  </w:r>
                </w:p>
              </w:tc>
              <w:tc>
                <w:tcPr>
                  <w:tcW w:w="702" w:type="pct"/>
                  <w:tcBorders>
                    <w:tl2br w:val="nil"/>
                    <w:tr2bl w:val="nil"/>
                  </w:tcBorders>
                  <w:vAlign w:val="center"/>
                </w:tcPr>
                <w:p w14:paraId="0AF92D09">
                  <w:pPr>
                    <w:widowControl/>
                    <w:adjustRightInd w:val="0"/>
                    <w:snapToGrid w:val="0"/>
                    <w:jc w:val="center"/>
                    <w:rPr>
                      <w:b/>
                      <w:szCs w:val="21"/>
                    </w:rPr>
                  </w:pPr>
                  <w:r>
                    <w:rPr>
                      <w:b/>
                      <w:szCs w:val="21"/>
                    </w:rPr>
                    <w:t>数量</w:t>
                  </w:r>
                </w:p>
                <w:p w14:paraId="56B02B7A">
                  <w:pPr>
                    <w:widowControl/>
                    <w:adjustRightInd w:val="0"/>
                    <w:snapToGrid w:val="0"/>
                    <w:jc w:val="center"/>
                    <w:rPr>
                      <w:b/>
                      <w:szCs w:val="21"/>
                    </w:rPr>
                  </w:pPr>
                  <w:r>
                    <w:rPr>
                      <w:b/>
                      <w:szCs w:val="21"/>
                    </w:rPr>
                    <w:t>（台/套）</w:t>
                  </w:r>
                </w:p>
              </w:tc>
              <w:tc>
                <w:tcPr>
                  <w:tcW w:w="637" w:type="pct"/>
                  <w:tcBorders>
                    <w:tl2br w:val="nil"/>
                    <w:tr2bl w:val="nil"/>
                  </w:tcBorders>
                  <w:vAlign w:val="center"/>
                </w:tcPr>
                <w:p w14:paraId="694175C8">
                  <w:pPr>
                    <w:adjustRightInd w:val="0"/>
                    <w:snapToGrid w:val="0"/>
                    <w:jc w:val="center"/>
                    <w:rPr>
                      <w:b/>
                      <w:szCs w:val="21"/>
                    </w:rPr>
                  </w:pPr>
                  <w:r>
                    <w:rPr>
                      <w:b/>
                      <w:szCs w:val="21"/>
                    </w:rPr>
                    <w:t>声压级</w:t>
                  </w:r>
                </w:p>
                <w:p w14:paraId="3DD7D776">
                  <w:pPr>
                    <w:adjustRightInd w:val="0"/>
                    <w:snapToGrid w:val="0"/>
                    <w:jc w:val="center"/>
                    <w:rPr>
                      <w:b/>
                      <w:szCs w:val="21"/>
                    </w:rPr>
                  </w:pPr>
                  <w:r>
                    <w:rPr>
                      <w:b/>
                      <w:szCs w:val="21"/>
                    </w:rPr>
                    <w:t>dB（A）</w:t>
                  </w:r>
                </w:p>
              </w:tc>
              <w:tc>
                <w:tcPr>
                  <w:tcW w:w="1382" w:type="pct"/>
                  <w:tcBorders>
                    <w:tl2br w:val="nil"/>
                    <w:tr2bl w:val="nil"/>
                  </w:tcBorders>
                  <w:vAlign w:val="center"/>
                </w:tcPr>
                <w:p w14:paraId="737258CF">
                  <w:pPr>
                    <w:adjustRightInd w:val="0"/>
                    <w:snapToGrid w:val="0"/>
                    <w:jc w:val="center"/>
                    <w:rPr>
                      <w:b/>
                      <w:szCs w:val="21"/>
                    </w:rPr>
                  </w:pPr>
                  <w:r>
                    <w:rPr>
                      <w:b/>
                      <w:szCs w:val="21"/>
                    </w:rPr>
                    <w:t>治理措施</w:t>
                  </w:r>
                </w:p>
              </w:tc>
              <w:tc>
                <w:tcPr>
                  <w:tcW w:w="821" w:type="pct"/>
                  <w:tcBorders>
                    <w:tl2br w:val="nil"/>
                    <w:tr2bl w:val="nil"/>
                  </w:tcBorders>
                  <w:vAlign w:val="center"/>
                </w:tcPr>
                <w:p w14:paraId="2355CE6B">
                  <w:pPr>
                    <w:adjustRightInd w:val="0"/>
                    <w:snapToGrid w:val="0"/>
                    <w:jc w:val="center"/>
                    <w:rPr>
                      <w:b/>
                      <w:szCs w:val="21"/>
                    </w:rPr>
                  </w:pPr>
                  <w:r>
                    <w:rPr>
                      <w:b/>
                      <w:szCs w:val="21"/>
                    </w:rPr>
                    <w:t>减噪后源强</w:t>
                  </w:r>
                </w:p>
              </w:tc>
            </w:tr>
            <w:tr w14:paraId="0B1B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444" w:type="pct"/>
                  <w:tcBorders>
                    <w:tl2br w:val="nil"/>
                    <w:tr2bl w:val="nil"/>
                  </w:tcBorders>
                  <w:vAlign w:val="center"/>
                </w:tcPr>
                <w:p w14:paraId="701D227A">
                  <w:pPr>
                    <w:adjustRightInd w:val="0"/>
                    <w:snapToGrid w:val="0"/>
                    <w:jc w:val="center"/>
                    <w:rPr>
                      <w:szCs w:val="21"/>
                    </w:rPr>
                  </w:pPr>
                  <w:r>
                    <w:rPr>
                      <w:rFonts w:hint="eastAsia"/>
                      <w:szCs w:val="21"/>
                    </w:rPr>
                    <w:t>1</w:t>
                  </w:r>
                </w:p>
              </w:tc>
              <w:tc>
                <w:tcPr>
                  <w:tcW w:w="1014" w:type="pct"/>
                  <w:tcBorders>
                    <w:tl2br w:val="nil"/>
                    <w:tr2bl w:val="nil"/>
                  </w:tcBorders>
                  <w:vAlign w:val="center"/>
                </w:tcPr>
                <w:p w14:paraId="2CA21CBD">
                  <w:pPr>
                    <w:adjustRightInd w:val="0"/>
                    <w:snapToGrid w:val="0"/>
                    <w:jc w:val="center"/>
                    <w:rPr>
                      <w:szCs w:val="21"/>
                    </w:rPr>
                  </w:pPr>
                  <w:r>
                    <w:rPr>
                      <w:rFonts w:hint="eastAsia"/>
                      <w:szCs w:val="21"/>
                    </w:rPr>
                    <w:t>切割机</w:t>
                  </w:r>
                </w:p>
              </w:tc>
              <w:tc>
                <w:tcPr>
                  <w:tcW w:w="702" w:type="pct"/>
                  <w:tcBorders>
                    <w:tl2br w:val="nil"/>
                    <w:tr2bl w:val="nil"/>
                  </w:tcBorders>
                  <w:vAlign w:val="center"/>
                </w:tcPr>
                <w:p w14:paraId="3375A884">
                  <w:pPr>
                    <w:adjustRightInd w:val="0"/>
                    <w:snapToGrid w:val="0"/>
                    <w:jc w:val="center"/>
                    <w:rPr>
                      <w:szCs w:val="21"/>
                    </w:rPr>
                  </w:pPr>
                  <w:r>
                    <w:rPr>
                      <w:rFonts w:hint="eastAsia"/>
                      <w:szCs w:val="21"/>
                    </w:rPr>
                    <w:t>1</w:t>
                  </w:r>
                </w:p>
              </w:tc>
              <w:tc>
                <w:tcPr>
                  <w:tcW w:w="637" w:type="pct"/>
                  <w:tcBorders>
                    <w:tl2br w:val="nil"/>
                    <w:tr2bl w:val="nil"/>
                  </w:tcBorders>
                  <w:vAlign w:val="center"/>
                </w:tcPr>
                <w:p w14:paraId="2A766C29">
                  <w:pPr>
                    <w:adjustRightInd w:val="0"/>
                    <w:snapToGrid w:val="0"/>
                    <w:jc w:val="center"/>
                    <w:rPr>
                      <w:szCs w:val="21"/>
                    </w:rPr>
                  </w:pPr>
                  <w:r>
                    <w:rPr>
                      <w:rFonts w:hint="eastAsia"/>
                      <w:szCs w:val="21"/>
                    </w:rPr>
                    <w:t>85</w:t>
                  </w:r>
                </w:p>
              </w:tc>
              <w:tc>
                <w:tcPr>
                  <w:tcW w:w="1382" w:type="pct"/>
                  <w:tcBorders>
                    <w:tl2br w:val="nil"/>
                    <w:tr2bl w:val="nil"/>
                  </w:tcBorders>
                  <w:vAlign w:val="center"/>
                </w:tcPr>
                <w:p w14:paraId="147B49E2">
                  <w:pPr>
                    <w:adjustRightInd w:val="0"/>
                    <w:snapToGrid w:val="0"/>
                    <w:jc w:val="center"/>
                    <w:rPr>
                      <w:szCs w:val="21"/>
                    </w:rPr>
                  </w:pPr>
                  <w:r>
                    <w:rPr>
                      <w:szCs w:val="21"/>
                    </w:rPr>
                    <w:t>减</w:t>
                  </w:r>
                  <w:r>
                    <w:rPr>
                      <w:rFonts w:hint="eastAsia"/>
                      <w:szCs w:val="21"/>
                    </w:rPr>
                    <w:t>振、消声</w:t>
                  </w:r>
                </w:p>
              </w:tc>
              <w:tc>
                <w:tcPr>
                  <w:tcW w:w="821" w:type="pct"/>
                  <w:tcBorders>
                    <w:tl2br w:val="nil"/>
                    <w:tr2bl w:val="nil"/>
                  </w:tcBorders>
                  <w:vAlign w:val="center"/>
                </w:tcPr>
                <w:p w14:paraId="2CC643EA">
                  <w:pPr>
                    <w:adjustRightInd w:val="0"/>
                    <w:snapToGrid w:val="0"/>
                    <w:jc w:val="center"/>
                    <w:rPr>
                      <w:szCs w:val="21"/>
                    </w:rPr>
                  </w:pPr>
                  <w:r>
                    <w:rPr>
                      <w:rFonts w:hint="eastAsia"/>
                      <w:szCs w:val="21"/>
                    </w:rPr>
                    <w:t>75</w:t>
                  </w:r>
                </w:p>
              </w:tc>
            </w:tr>
            <w:tr w14:paraId="57AE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444" w:type="pct"/>
                  <w:tcBorders>
                    <w:tl2br w:val="nil"/>
                    <w:tr2bl w:val="nil"/>
                  </w:tcBorders>
                  <w:vAlign w:val="center"/>
                </w:tcPr>
                <w:p w14:paraId="32D9B02A">
                  <w:pPr>
                    <w:adjustRightInd w:val="0"/>
                    <w:snapToGrid w:val="0"/>
                    <w:jc w:val="center"/>
                    <w:rPr>
                      <w:szCs w:val="21"/>
                    </w:rPr>
                  </w:pPr>
                  <w:r>
                    <w:rPr>
                      <w:rFonts w:hint="eastAsia"/>
                      <w:szCs w:val="21"/>
                    </w:rPr>
                    <w:t>2</w:t>
                  </w:r>
                </w:p>
              </w:tc>
              <w:tc>
                <w:tcPr>
                  <w:tcW w:w="1014" w:type="pct"/>
                  <w:tcBorders>
                    <w:tl2br w:val="nil"/>
                    <w:tr2bl w:val="nil"/>
                  </w:tcBorders>
                  <w:vAlign w:val="center"/>
                </w:tcPr>
                <w:p w14:paraId="2FAAD46B">
                  <w:pPr>
                    <w:adjustRightInd w:val="0"/>
                    <w:snapToGrid w:val="0"/>
                    <w:jc w:val="center"/>
                    <w:rPr>
                      <w:szCs w:val="21"/>
                    </w:rPr>
                  </w:pPr>
                  <w:r>
                    <w:rPr>
                      <w:rFonts w:hint="eastAsia"/>
                      <w:szCs w:val="21"/>
                    </w:rPr>
                    <w:t>磨边机</w:t>
                  </w:r>
                </w:p>
              </w:tc>
              <w:tc>
                <w:tcPr>
                  <w:tcW w:w="702" w:type="pct"/>
                  <w:tcBorders>
                    <w:tl2br w:val="nil"/>
                    <w:tr2bl w:val="nil"/>
                  </w:tcBorders>
                  <w:vAlign w:val="center"/>
                </w:tcPr>
                <w:p w14:paraId="52E40FBC">
                  <w:pPr>
                    <w:adjustRightInd w:val="0"/>
                    <w:snapToGrid w:val="0"/>
                    <w:jc w:val="center"/>
                    <w:rPr>
                      <w:szCs w:val="21"/>
                    </w:rPr>
                  </w:pPr>
                  <w:r>
                    <w:rPr>
                      <w:rFonts w:hint="eastAsia"/>
                      <w:szCs w:val="21"/>
                    </w:rPr>
                    <w:t>1</w:t>
                  </w:r>
                </w:p>
              </w:tc>
              <w:tc>
                <w:tcPr>
                  <w:tcW w:w="637" w:type="pct"/>
                  <w:tcBorders>
                    <w:tl2br w:val="nil"/>
                    <w:tr2bl w:val="nil"/>
                  </w:tcBorders>
                  <w:vAlign w:val="center"/>
                </w:tcPr>
                <w:p w14:paraId="75800EEB">
                  <w:pPr>
                    <w:adjustRightInd w:val="0"/>
                    <w:snapToGrid w:val="0"/>
                    <w:jc w:val="center"/>
                    <w:rPr>
                      <w:szCs w:val="21"/>
                    </w:rPr>
                  </w:pPr>
                  <w:r>
                    <w:rPr>
                      <w:rFonts w:hint="eastAsia"/>
                      <w:szCs w:val="21"/>
                    </w:rPr>
                    <w:t>85</w:t>
                  </w:r>
                </w:p>
              </w:tc>
              <w:tc>
                <w:tcPr>
                  <w:tcW w:w="1382" w:type="pct"/>
                  <w:tcBorders>
                    <w:tl2br w:val="nil"/>
                    <w:tr2bl w:val="nil"/>
                  </w:tcBorders>
                  <w:vAlign w:val="center"/>
                </w:tcPr>
                <w:p w14:paraId="71DC3374">
                  <w:pPr>
                    <w:adjustRightInd w:val="0"/>
                    <w:snapToGrid w:val="0"/>
                    <w:jc w:val="center"/>
                    <w:rPr>
                      <w:szCs w:val="21"/>
                    </w:rPr>
                  </w:pPr>
                  <w:r>
                    <w:rPr>
                      <w:szCs w:val="21"/>
                    </w:rPr>
                    <w:t>减</w:t>
                  </w:r>
                  <w:r>
                    <w:rPr>
                      <w:rFonts w:hint="eastAsia"/>
                      <w:szCs w:val="21"/>
                    </w:rPr>
                    <w:t>振、消声</w:t>
                  </w:r>
                </w:p>
              </w:tc>
              <w:tc>
                <w:tcPr>
                  <w:tcW w:w="821" w:type="pct"/>
                  <w:tcBorders>
                    <w:tl2br w:val="nil"/>
                    <w:tr2bl w:val="nil"/>
                  </w:tcBorders>
                  <w:vAlign w:val="center"/>
                </w:tcPr>
                <w:p w14:paraId="57D916A6">
                  <w:pPr>
                    <w:adjustRightInd w:val="0"/>
                    <w:snapToGrid w:val="0"/>
                    <w:jc w:val="center"/>
                    <w:rPr>
                      <w:szCs w:val="21"/>
                    </w:rPr>
                  </w:pPr>
                  <w:r>
                    <w:rPr>
                      <w:rFonts w:hint="eastAsia"/>
                      <w:szCs w:val="21"/>
                    </w:rPr>
                    <w:t>75</w:t>
                  </w:r>
                </w:p>
              </w:tc>
            </w:tr>
            <w:tr w14:paraId="5029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444" w:type="pct"/>
                  <w:tcBorders>
                    <w:tl2br w:val="nil"/>
                    <w:tr2bl w:val="nil"/>
                  </w:tcBorders>
                  <w:vAlign w:val="center"/>
                </w:tcPr>
                <w:p w14:paraId="4D067AF5">
                  <w:pPr>
                    <w:adjustRightInd w:val="0"/>
                    <w:snapToGrid w:val="0"/>
                    <w:jc w:val="center"/>
                    <w:rPr>
                      <w:szCs w:val="21"/>
                    </w:rPr>
                  </w:pPr>
                  <w:r>
                    <w:rPr>
                      <w:rFonts w:hint="eastAsia"/>
                      <w:szCs w:val="21"/>
                    </w:rPr>
                    <w:t>3</w:t>
                  </w:r>
                </w:p>
              </w:tc>
              <w:tc>
                <w:tcPr>
                  <w:tcW w:w="1014" w:type="pct"/>
                  <w:tcBorders>
                    <w:tl2br w:val="nil"/>
                    <w:tr2bl w:val="nil"/>
                  </w:tcBorders>
                  <w:vAlign w:val="center"/>
                </w:tcPr>
                <w:p w14:paraId="4768A584">
                  <w:pPr>
                    <w:adjustRightInd w:val="0"/>
                    <w:snapToGrid w:val="0"/>
                    <w:jc w:val="center"/>
                    <w:rPr>
                      <w:szCs w:val="21"/>
                    </w:rPr>
                  </w:pPr>
                  <w:r>
                    <w:rPr>
                      <w:rFonts w:hint="eastAsia"/>
                      <w:szCs w:val="21"/>
                    </w:rPr>
                    <w:t>清洗干燥机</w:t>
                  </w:r>
                </w:p>
              </w:tc>
              <w:tc>
                <w:tcPr>
                  <w:tcW w:w="702" w:type="pct"/>
                  <w:tcBorders>
                    <w:tl2br w:val="nil"/>
                    <w:tr2bl w:val="nil"/>
                  </w:tcBorders>
                  <w:vAlign w:val="center"/>
                </w:tcPr>
                <w:p w14:paraId="5E068CD0">
                  <w:pPr>
                    <w:adjustRightInd w:val="0"/>
                    <w:snapToGrid w:val="0"/>
                    <w:jc w:val="center"/>
                    <w:rPr>
                      <w:szCs w:val="21"/>
                    </w:rPr>
                  </w:pPr>
                  <w:r>
                    <w:rPr>
                      <w:rFonts w:hint="eastAsia"/>
                      <w:szCs w:val="21"/>
                    </w:rPr>
                    <w:t>1</w:t>
                  </w:r>
                </w:p>
              </w:tc>
              <w:tc>
                <w:tcPr>
                  <w:tcW w:w="637" w:type="pct"/>
                  <w:tcBorders>
                    <w:tl2br w:val="nil"/>
                    <w:tr2bl w:val="nil"/>
                  </w:tcBorders>
                  <w:vAlign w:val="center"/>
                </w:tcPr>
                <w:p w14:paraId="63CE544C">
                  <w:pPr>
                    <w:adjustRightInd w:val="0"/>
                    <w:snapToGrid w:val="0"/>
                    <w:jc w:val="center"/>
                    <w:rPr>
                      <w:szCs w:val="21"/>
                    </w:rPr>
                  </w:pPr>
                  <w:r>
                    <w:rPr>
                      <w:rFonts w:hint="eastAsia"/>
                      <w:szCs w:val="21"/>
                    </w:rPr>
                    <w:t>75</w:t>
                  </w:r>
                </w:p>
              </w:tc>
              <w:tc>
                <w:tcPr>
                  <w:tcW w:w="1382" w:type="pct"/>
                  <w:tcBorders>
                    <w:tl2br w:val="nil"/>
                    <w:tr2bl w:val="nil"/>
                  </w:tcBorders>
                  <w:vAlign w:val="center"/>
                </w:tcPr>
                <w:p w14:paraId="69A59C61">
                  <w:pPr>
                    <w:adjustRightInd w:val="0"/>
                    <w:snapToGrid w:val="0"/>
                    <w:jc w:val="center"/>
                    <w:rPr>
                      <w:szCs w:val="21"/>
                    </w:rPr>
                  </w:pPr>
                  <w:r>
                    <w:rPr>
                      <w:szCs w:val="21"/>
                    </w:rPr>
                    <w:t>减</w:t>
                  </w:r>
                  <w:r>
                    <w:rPr>
                      <w:rFonts w:hint="eastAsia"/>
                      <w:szCs w:val="21"/>
                    </w:rPr>
                    <w:t>振、消声</w:t>
                  </w:r>
                </w:p>
              </w:tc>
              <w:tc>
                <w:tcPr>
                  <w:tcW w:w="821" w:type="pct"/>
                  <w:tcBorders>
                    <w:tl2br w:val="nil"/>
                    <w:tr2bl w:val="nil"/>
                  </w:tcBorders>
                  <w:vAlign w:val="center"/>
                </w:tcPr>
                <w:p w14:paraId="1E2AC879">
                  <w:pPr>
                    <w:adjustRightInd w:val="0"/>
                    <w:snapToGrid w:val="0"/>
                    <w:jc w:val="center"/>
                    <w:rPr>
                      <w:szCs w:val="21"/>
                    </w:rPr>
                  </w:pPr>
                  <w:r>
                    <w:rPr>
                      <w:rFonts w:hint="eastAsia"/>
                      <w:szCs w:val="21"/>
                    </w:rPr>
                    <w:t>65</w:t>
                  </w:r>
                </w:p>
              </w:tc>
            </w:tr>
            <w:tr w14:paraId="45C0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444" w:type="pct"/>
                  <w:tcBorders>
                    <w:tl2br w:val="nil"/>
                    <w:tr2bl w:val="nil"/>
                  </w:tcBorders>
                  <w:vAlign w:val="center"/>
                </w:tcPr>
                <w:p w14:paraId="0034D8E9">
                  <w:pPr>
                    <w:adjustRightInd w:val="0"/>
                    <w:snapToGrid w:val="0"/>
                    <w:jc w:val="center"/>
                    <w:rPr>
                      <w:szCs w:val="21"/>
                    </w:rPr>
                  </w:pPr>
                  <w:r>
                    <w:rPr>
                      <w:rFonts w:hint="eastAsia"/>
                      <w:szCs w:val="21"/>
                    </w:rPr>
                    <w:t>4</w:t>
                  </w:r>
                </w:p>
              </w:tc>
              <w:tc>
                <w:tcPr>
                  <w:tcW w:w="1014" w:type="pct"/>
                  <w:tcBorders>
                    <w:tl2br w:val="nil"/>
                    <w:tr2bl w:val="nil"/>
                  </w:tcBorders>
                  <w:vAlign w:val="center"/>
                </w:tcPr>
                <w:p w14:paraId="2035F147">
                  <w:pPr>
                    <w:adjustRightInd w:val="0"/>
                    <w:snapToGrid w:val="0"/>
                    <w:jc w:val="center"/>
                    <w:rPr>
                      <w:szCs w:val="21"/>
                    </w:rPr>
                  </w:pPr>
                  <w:r>
                    <w:rPr>
                      <w:rFonts w:hint="eastAsia"/>
                      <w:szCs w:val="21"/>
                    </w:rPr>
                    <w:t>钢化炉</w:t>
                  </w:r>
                </w:p>
              </w:tc>
              <w:tc>
                <w:tcPr>
                  <w:tcW w:w="702" w:type="pct"/>
                  <w:tcBorders>
                    <w:tl2br w:val="nil"/>
                    <w:tr2bl w:val="nil"/>
                  </w:tcBorders>
                  <w:vAlign w:val="center"/>
                </w:tcPr>
                <w:p w14:paraId="694FA7E6">
                  <w:pPr>
                    <w:adjustRightInd w:val="0"/>
                    <w:snapToGrid w:val="0"/>
                    <w:jc w:val="center"/>
                    <w:rPr>
                      <w:szCs w:val="21"/>
                    </w:rPr>
                  </w:pPr>
                  <w:r>
                    <w:rPr>
                      <w:rFonts w:hint="eastAsia"/>
                      <w:szCs w:val="21"/>
                    </w:rPr>
                    <w:t>1</w:t>
                  </w:r>
                </w:p>
              </w:tc>
              <w:tc>
                <w:tcPr>
                  <w:tcW w:w="637" w:type="pct"/>
                  <w:tcBorders>
                    <w:tl2br w:val="nil"/>
                    <w:tr2bl w:val="nil"/>
                  </w:tcBorders>
                  <w:vAlign w:val="center"/>
                </w:tcPr>
                <w:p w14:paraId="77D5BBE9">
                  <w:pPr>
                    <w:adjustRightInd w:val="0"/>
                    <w:snapToGrid w:val="0"/>
                    <w:jc w:val="center"/>
                    <w:rPr>
                      <w:szCs w:val="21"/>
                    </w:rPr>
                  </w:pPr>
                  <w:r>
                    <w:rPr>
                      <w:rFonts w:hint="eastAsia"/>
                      <w:szCs w:val="21"/>
                    </w:rPr>
                    <w:t>75</w:t>
                  </w:r>
                </w:p>
              </w:tc>
              <w:tc>
                <w:tcPr>
                  <w:tcW w:w="1382" w:type="pct"/>
                  <w:tcBorders>
                    <w:tl2br w:val="nil"/>
                    <w:tr2bl w:val="nil"/>
                  </w:tcBorders>
                  <w:vAlign w:val="center"/>
                </w:tcPr>
                <w:p w14:paraId="1518DA52">
                  <w:pPr>
                    <w:adjustRightInd w:val="0"/>
                    <w:snapToGrid w:val="0"/>
                    <w:jc w:val="center"/>
                    <w:rPr>
                      <w:szCs w:val="21"/>
                    </w:rPr>
                  </w:pPr>
                  <w:r>
                    <w:rPr>
                      <w:szCs w:val="21"/>
                    </w:rPr>
                    <w:t>减振</w:t>
                  </w:r>
                  <w:r>
                    <w:rPr>
                      <w:rFonts w:hint="eastAsia"/>
                      <w:szCs w:val="21"/>
                    </w:rPr>
                    <w:t>、</w:t>
                  </w:r>
                  <w:r>
                    <w:rPr>
                      <w:szCs w:val="21"/>
                    </w:rPr>
                    <w:t>消声</w:t>
                  </w:r>
                </w:p>
              </w:tc>
              <w:tc>
                <w:tcPr>
                  <w:tcW w:w="821" w:type="pct"/>
                  <w:tcBorders>
                    <w:tl2br w:val="nil"/>
                    <w:tr2bl w:val="nil"/>
                  </w:tcBorders>
                  <w:vAlign w:val="center"/>
                </w:tcPr>
                <w:p w14:paraId="0B460220">
                  <w:pPr>
                    <w:adjustRightInd w:val="0"/>
                    <w:snapToGrid w:val="0"/>
                    <w:jc w:val="center"/>
                    <w:rPr>
                      <w:szCs w:val="21"/>
                    </w:rPr>
                  </w:pPr>
                  <w:r>
                    <w:rPr>
                      <w:rFonts w:hint="eastAsia"/>
                      <w:szCs w:val="21"/>
                    </w:rPr>
                    <w:t>65</w:t>
                  </w:r>
                </w:p>
              </w:tc>
            </w:tr>
            <w:tr w14:paraId="7E03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444" w:type="pct"/>
                  <w:tcBorders>
                    <w:tl2br w:val="nil"/>
                    <w:tr2bl w:val="nil"/>
                  </w:tcBorders>
                  <w:vAlign w:val="center"/>
                </w:tcPr>
                <w:p w14:paraId="5F2854E3">
                  <w:pPr>
                    <w:adjustRightInd w:val="0"/>
                    <w:snapToGrid w:val="0"/>
                    <w:jc w:val="center"/>
                    <w:rPr>
                      <w:szCs w:val="21"/>
                    </w:rPr>
                  </w:pPr>
                  <w:r>
                    <w:rPr>
                      <w:rFonts w:hint="eastAsia"/>
                      <w:szCs w:val="21"/>
                    </w:rPr>
                    <w:t>5</w:t>
                  </w:r>
                </w:p>
              </w:tc>
              <w:tc>
                <w:tcPr>
                  <w:tcW w:w="1014" w:type="pct"/>
                  <w:tcBorders>
                    <w:tl2br w:val="nil"/>
                    <w:tr2bl w:val="nil"/>
                  </w:tcBorders>
                  <w:vAlign w:val="center"/>
                </w:tcPr>
                <w:p w14:paraId="720EADB3">
                  <w:pPr>
                    <w:adjustRightInd w:val="0"/>
                    <w:snapToGrid w:val="0"/>
                    <w:jc w:val="center"/>
                    <w:rPr>
                      <w:szCs w:val="21"/>
                    </w:rPr>
                  </w:pPr>
                  <w:r>
                    <w:rPr>
                      <w:rFonts w:hint="eastAsia"/>
                      <w:szCs w:val="21"/>
                    </w:rPr>
                    <w:t>空压机</w:t>
                  </w:r>
                </w:p>
              </w:tc>
              <w:tc>
                <w:tcPr>
                  <w:tcW w:w="702" w:type="pct"/>
                  <w:tcBorders>
                    <w:tl2br w:val="nil"/>
                    <w:tr2bl w:val="nil"/>
                  </w:tcBorders>
                  <w:vAlign w:val="center"/>
                </w:tcPr>
                <w:p w14:paraId="066F9C5D">
                  <w:pPr>
                    <w:adjustRightInd w:val="0"/>
                    <w:snapToGrid w:val="0"/>
                    <w:jc w:val="center"/>
                    <w:rPr>
                      <w:szCs w:val="21"/>
                    </w:rPr>
                  </w:pPr>
                  <w:r>
                    <w:rPr>
                      <w:rFonts w:hint="eastAsia"/>
                      <w:szCs w:val="21"/>
                    </w:rPr>
                    <w:t>1</w:t>
                  </w:r>
                </w:p>
              </w:tc>
              <w:tc>
                <w:tcPr>
                  <w:tcW w:w="637" w:type="pct"/>
                  <w:tcBorders>
                    <w:tl2br w:val="nil"/>
                    <w:tr2bl w:val="nil"/>
                  </w:tcBorders>
                  <w:vAlign w:val="center"/>
                </w:tcPr>
                <w:p w14:paraId="7F814FA4">
                  <w:pPr>
                    <w:adjustRightInd w:val="0"/>
                    <w:snapToGrid w:val="0"/>
                    <w:jc w:val="center"/>
                    <w:rPr>
                      <w:szCs w:val="21"/>
                    </w:rPr>
                  </w:pPr>
                  <w:r>
                    <w:rPr>
                      <w:rFonts w:hint="eastAsia"/>
                      <w:szCs w:val="21"/>
                    </w:rPr>
                    <w:t>90</w:t>
                  </w:r>
                </w:p>
              </w:tc>
              <w:tc>
                <w:tcPr>
                  <w:tcW w:w="1382" w:type="pct"/>
                  <w:tcBorders>
                    <w:tl2br w:val="nil"/>
                    <w:tr2bl w:val="nil"/>
                  </w:tcBorders>
                  <w:vAlign w:val="center"/>
                </w:tcPr>
                <w:p w14:paraId="55F89EC4">
                  <w:pPr>
                    <w:adjustRightInd w:val="0"/>
                    <w:snapToGrid w:val="0"/>
                    <w:jc w:val="center"/>
                    <w:rPr>
                      <w:szCs w:val="21"/>
                    </w:rPr>
                  </w:pPr>
                  <w:r>
                    <w:rPr>
                      <w:szCs w:val="21"/>
                    </w:rPr>
                    <w:t>减振</w:t>
                  </w:r>
                  <w:r>
                    <w:rPr>
                      <w:rFonts w:hint="eastAsia"/>
                      <w:szCs w:val="21"/>
                    </w:rPr>
                    <w:t>、</w:t>
                  </w:r>
                  <w:r>
                    <w:rPr>
                      <w:szCs w:val="21"/>
                    </w:rPr>
                    <w:t>消声</w:t>
                  </w:r>
                </w:p>
              </w:tc>
              <w:tc>
                <w:tcPr>
                  <w:tcW w:w="821" w:type="pct"/>
                  <w:tcBorders>
                    <w:tl2br w:val="nil"/>
                    <w:tr2bl w:val="nil"/>
                  </w:tcBorders>
                  <w:vAlign w:val="center"/>
                </w:tcPr>
                <w:p w14:paraId="28D78637">
                  <w:pPr>
                    <w:adjustRightInd w:val="0"/>
                    <w:snapToGrid w:val="0"/>
                    <w:jc w:val="center"/>
                    <w:rPr>
                      <w:szCs w:val="21"/>
                    </w:rPr>
                  </w:pPr>
                  <w:r>
                    <w:rPr>
                      <w:rFonts w:hint="eastAsia"/>
                      <w:szCs w:val="21"/>
                    </w:rPr>
                    <w:t>80</w:t>
                  </w:r>
                </w:p>
              </w:tc>
            </w:tr>
            <w:tr w14:paraId="1B5F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444" w:type="pct"/>
                  <w:tcBorders>
                    <w:tl2br w:val="nil"/>
                    <w:tr2bl w:val="nil"/>
                  </w:tcBorders>
                  <w:vAlign w:val="center"/>
                </w:tcPr>
                <w:p w14:paraId="7E83FE8B">
                  <w:pPr>
                    <w:adjustRightInd w:val="0"/>
                    <w:snapToGrid w:val="0"/>
                    <w:jc w:val="center"/>
                    <w:rPr>
                      <w:szCs w:val="21"/>
                    </w:rPr>
                  </w:pPr>
                  <w:r>
                    <w:rPr>
                      <w:rFonts w:hint="eastAsia"/>
                      <w:szCs w:val="21"/>
                    </w:rPr>
                    <w:t>6</w:t>
                  </w:r>
                </w:p>
              </w:tc>
              <w:tc>
                <w:tcPr>
                  <w:tcW w:w="1014" w:type="pct"/>
                  <w:tcBorders>
                    <w:tl2br w:val="nil"/>
                    <w:tr2bl w:val="nil"/>
                  </w:tcBorders>
                  <w:vAlign w:val="center"/>
                </w:tcPr>
                <w:p w14:paraId="3B5B6347">
                  <w:pPr>
                    <w:adjustRightInd w:val="0"/>
                    <w:snapToGrid w:val="0"/>
                    <w:jc w:val="center"/>
                    <w:rPr>
                      <w:szCs w:val="21"/>
                    </w:rPr>
                  </w:pPr>
                  <w:r>
                    <w:rPr>
                      <w:rFonts w:hint="eastAsia"/>
                      <w:szCs w:val="21"/>
                    </w:rPr>
                    <w:t>中空玻璃机</w:t>
                  </w:r>
                </w:p>
              </w:tc>
              <w:tc>
                <w:tcPr>
                  <w:tcW w:w="702" w:type="pct"/>
                  <w:tcBorders>
                    <w:tl2br w:val="nil"/>
                    <w:tr2bl w:val="nil"/>
                  </w:tcBorders>
                  <w:vAlign w:val="center"/>
                </w:tcPr>
                <w:p w14:paraId="485D07A4">
                  <w:pPr>
                    <w:adjustRightInd w:val="0"/>
                    <w:snapToGrid w:val="0"/>
                    <w:jc w:val="center"/>
                    <w:rPr>
                      <w:szCs w:val="21"/>
                    </w:rPr>
                  </w:pPr>
                  <w:r>
                    <w:rPr>
                      <w:rFonts w:hint="eastAsia"/>
                      <w:szCs w:val="21"/>
                    </w:rPr>
                    <w:t>2</w:t>
                  </w:r>
                </w:p>
              </w:tc>
              <w:tc>
                <w:tcPr>
                  <w:tcW w:w="637" w:type="pct"/>
                  <w:tcBorders>
                    <w:tl2br w:val="nil"/>
                    <w:tr2bl w:val="nil"/>
                  </w:tcBorders>
                  <w:vAlign w:val="center"/>
                </w:tcPr>
                <w:p w14:paraId="2F450FF0">
                  <w:pPr>
                    <w:adjustRightInd w:val="0"/>
                    <w:snapToGrid w:val="0"/>
                    <w:jc w:val="center"/>
                    <w:rPr>
                      <w:szCs w:val="21"/>
                    </w:rPr>
                  </w:pPr>
                  <w:r>
                    <w:rPr>
                      <w:rFonts w:hint="eastAsia"/>
                      <w:szCs w:val="21"/>
                    </w:rPr>
                    <w:t>80</w:t>
                  </w:r>
                </w:p>
              </w:tc>
              <w:tc>
                <w:tcPr>
                  <w:tcW w:w="1382" w:type="pct"/>
                  <w:tcBorders>
                    <w:tl2br w:val="nil"/>
                    <w:tr2bl w:val="nil"/>
                  </w:tcBorders>
                  <w:vAlign w:val="center"/>
                </w:tcPr>
                <w:p w14:paraId="66E5CBBF">
                  <w:pPr>
                    <w:adjustRightInd w:val="0"/>
                    <w:snapToGrid w:val="0"/>
                    <w:jc w:val="center"/>
                    <w:rPr>
                      <w:szCs w:val="21"/>
                    </w:rPr>
                  </w:pPr>
                  <w:r>
                    <w:rPr>
                      <w:szCs w:val="21"/>
                    </w:rPr>
                    <w:t>减振</w:t>
                  </w:r>
                  <w:r>
                    <w:rPr>
                      <w:rFonts w:hint="eastAsia"/>
                      <w:szCs w:val="21"/>
                    </w:rPr>
                    <w:t>、</w:t>
                  </w:r>
                  <w:r>
                    <w:rPr>
                      <w:szCs w:val="21"/>
                    </w:rPr>
                    <w:t>消声</w:t>
                  </w:r>
                </w:p>
              </w:tc>
              <w:tc>
                <w:tcPr>
                  <w:tcW w:w="821" w:type="pct"/>
                  <w:tcBorders>
                    <w:tl2br w:val="nil"/>
                    <w:tr2bl w:val="nil"/>
                  </w:tcBorders>
                  <w:vAlign w:val="center"/>
                </w:tcPr>
                <w:p w14:paraId="06C2B3C5">
                  <w:pPr>
                    <w:adjustRightInd w:val="0"/>
                    <w:snapToGrid w:val="0"/>
                    <w:jc w:val="center"/>
                    <w:rPr>
                      <w:szCs w:val="21"/>
                    </w:rPr>
                  </w:pPr>
                  <w:r>
                    <w:rPr>
                      <w:rFonts w:hint="eastAsia"/>
                      <w:szCs w:val="21"/>
                    </w:rPr>
                    <w:t>70</w:t>
                  </w:r>
                </w:p>
              </w:tc>
            </w:tr>
            <w:tr w14:paraId="5D92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444" w:type="pct"/>
                  <w:tcBorders>
                    <w:tl2br w:val="nil"/>
                    <w:tr2bl w:val="nil"/>
                  </w:tcBorders>
                  <w:vAlign w:val="center"/>
                </w:tcPr>
                <w:p w14:paraId="4C058B40">
                  <w:pPr>
                    <w:adjustRightInd w:val="0"/>
                    <w:snapToGrid w:val="0"/>
                    <w:jc w:val="center"/>
                    <w:rPr>
                      <w:szCs w:val="21"/>
                    </w:rPr>
                  </w:pPr>
                  <w:r>
                    <w:rPr>
                      <w:rFonts w:hint="eastAsia"/>
                      <w:szCs w:val="21"/>
                    </w:rPr>
                    <w:t>7</w:t>
                  </w:r>
                </w:p>
              </w:tc>
              <w:tc>
                <w:tcPr>
                  <w:tcW w:w="1014" w:type="pct"/>
                  <w:tcBorders>
                    <w:tl2br w:val="nil"/>
                    <w:tr2bl w:val="nil"/>
                  </w:tcBorders>
                  <w:vAlign w:val="center"/>
                </w:tcPr>
                <w:p w14:paraId="61B3B147">
                  <w:pPr>
                    <w:adjustRightInd w:val="0"/>
                    <w:snapToGrid w:val="0"/>
                    <w:jc w:val="center"/>
                    <w:rPr>
                      <w:szCs w:val="21"/>
                    </w:rPr>
                  </w:pPr>
                  <w:r>
                    <w:rPr>
                      <w:rFonts w:hint="eastAsia"/>
                      <w:szCs w:val="21"/>
                    </w:rPr>
                    <w:t>铝条折弯机</w:t>
                  </w:r>
                </w:p>
              </w:tc>
              <w:tc>
                <w:tcPr>
                  <w:tcW w:w="702" w:type="pct"/>
                  <w:tcBorders>
                    <w:tl2br w:val="nil"/>
                    <w:tr2bl w:val="nil"/>
                  </w:tcBorders>
                  <w:vAlign w:val="center"/>
                </w:tcPr>
                <w:p w14:paraId="2008E539">
                  <w:pPr>
                    <w:adjustRightInd w:val="0"/>
                    <w:snapToGrid w:val="0"/>
                    <w:jc w:val="center"/>
                    <w:rPr>
                      <w:szCs w:val="21"/>
                    </w:rPr>
                  </w:pPr>
                  <w:r>
                    <w:rPr>
                      <w:rFonts w:hint="eastAsia"/>
                      <w:szCs w:val="21"/>
                    </w:rPr>
                    <w:t>1</w:t>
                  </w:r>
                </w:p>
              </w:tc>
              <w:tc>
                <w:tcPr>
                  <w:tcW w:w="637" w:type="pct"/>
                  <w:tcBorders>
                    <w:tl2br w:val="nil"/>
                    <w:tr2bl w:val="nil"/>
                  </w:tcBorders>
                  <w:vAlign w:val="center"/>
                </w:tcPr>
                <w:p w14:paraId="1683EA70">
                  <w:pPr>
                    <w:adjustRightInd w:val="0"/>
                    <w:snapToGrid w:val="0"/>
                    <w:jc w:val="center"/>
                    <w:rPr>
                      <w:szCs w:val="21"/>
                    </w:rPr>
                  </w:pPr>
                  <w:r>
                    <w:rPr>
                      <w:rFonts w:hint="eastAsia"/>
                      <w:szCs w:val="21"/>
                    </w:rPr>
                    <w:t>80</w:t>
                  </w:r>
                </w:p>
              </w:tc>
              <w:tc>
                <w:tcPr>
                  <w:tcW w:w="1382" w:type="pct"/>
                  <w:tcBorders>
                    <w:tl2br w:val="nil"/>
                    <w:tr2bl w:val="nil"/>
                  </w:tcBorders>
                  <w:vAlign w:val="center"/>
                </w:tcPr>
                <w:p w14:paraId="7E0AD46B">
                  <w:pPr>
                    <w:adjustRightInd w:val="0"/>
                    <w:snapToGrid w:val="0"/>
                    <w:jc w:val="center"/>
                    <w:rPr>
                      <w:szCs w:val="21"/>
                    </w:rPr>
                  </w:pPr>
                  <w:r>
                    <w:rPr>
                      <w:szCs w:val="21"/>
                    </w:rPr>
                    <w:t>减振</w:t>
                  </w:r>
                  <w:r>
                    <w:rPr>
                      <w:rFonts w:hint="eastAsia"/>
                      <w:szCs w:val="21"/>
                    </w:rPr>
                    <w:t>、</w:t>
                  </w:r>
                  <w:r>
                    <w:rPr>
                      <w:szCs w:val="21"/>
                    </w:rPr>
                    <w:t>消声</w:t>
                  </w:r>
                </w:p>
              </w:tc>
              <w:tc>
                <w:tcPr>
                  <w:tcW w:w="821" w:type="pct"/>
                  <w:tcBorders>
                    <w:tl2br w:val="nil"/>
                    <w:tr2bl w:val="nil"/>
                  </w:tcBorders>
                  <w:vAlign w:val="center"/>
                </w:tcPr>
                <w:p w14:paraId="0EBE80E5">
                  <w:pPr>
                    <w:adjustRightInd w:val="0"/>
                    <w:snapToGrid w:val="0"/>
                    <w:jc w:val="center"/>
                    <w:rPr>
                      <w:szCs w:val="21"/>
                    </w:rPr>
                  </w:pPr>
                  <w:r>
                    <w:rPr>
                      <w:rFonts w:hint="eastAsia"/>
                      <w:szCs w:val="21"/>
                    </w:rPr>
                    <w:t>70</w:t>
                  </w:r>
                </w:p>
              </w:tc>
            </w:tr>
            <w:tr w14:paraId="2D66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444" w:type="pct"/>
                  <w:tcBorders>
                    <w:tl2br w:val="nil"/>
                    <w:tr2bl w:val="nil"/>
                  </w:tcBorders>
                  <w:vAlign w:val="center"/>
                </w:tcPr>
                <w:p w14:paraId="0A1E6818">
                  <w:pPr>
                    <w:adjustRightInd w:val="0"/>
                    <w:snapToGrid w:val="0"/>
                    <w:jc w:val="center"/>
                    <w:rPr>
                      <w:szCs w:val="21"/>
                    </w:rPr>
                  </w:pPr>
                  <w:r>
                    <w:rPr>
                      <w:rFonts w:hint="eastAsia"/>
                      <w:szCs w:val="21"/>
                    </w:rPr>
                    <w:t>8</w:t>
                  </w:r>
                </w:p>
              </w:tc>
              <w:tc>
                <w:tcPr>
                  <w:tcW w:w="1014" w:type="pct"/>
                  <w:tcBorders>
                    <w:tl2br w:val="nil"/>
                    <w:tr2bl w:val="nil"/>
                  </w:tcBorders>
                  <w:vAlign w:val="center"/>
                </w:tcPr>
                <w:p w14:paraId="05D5C0E8">
                  <w:pPr>
                    <w:adjustRightInd w:val="0"/>
                    <w:snapToGrid w:val="0"/>
                    <w:jc w:val="center"/>
                    <w:rPr>
                      <w:szCs w:val="21"/>
                    </w:rPr>
                  </w:pPr>
                  <w:r>
                    <w:rPr>
                      <w:rFonts w:hint="eastAsia"/>
                      <w:szCs w:val="21"/>
                    </w:rPr>
                    <w:t>灌装机</w:t>
                  </w:r>
                </w:p>
              </w:tc>
              <w:tc>
                <w:tcPr>
                  <w:tcW w:w="702" w:type="pct"/>
                  <w:tcBorders>
                    <w:tl2br w:val="nil"/>
                    <w:tr2bl w:val="nil"/>
                  </w:tcBorders>
                  <w:vAlign w:val="center"/>
                </w:tcPr>
                <w:p w14:paraId="341BA143">
                  <w:pPr>
                    <w:adjustRightInd w:val="0"/>
                    <w:snapToGrid w:val="0"/>
                    <w:jc w:val="center"/>
                    <w:rPr>
                      <w:szCs w:val="21"/>
                    </w:rPr>
                  </w:pPr>
                  <w:r>
                    <w:rPr>
                      <w:rFonts w:hint="eastAsia"/>
                      <w:szCs w:val="21"/>
                    </w:rPr>
                    <w:t>1</w:t>
                  </w:r>
                </w:p>
              </w:tc>
              <w:tc>
                <w:tcPr>
                  <w:tcW w:w="637" w:type="pct"/>
                  <w:tcBorders>
                    <w:tl2br w:val="nil"/>
                    <w:tr2bl w:val="nil"/>
                  </w:tcBorders>
                  <w:vAlign w:val="center"/>
                </w:tcPr>
                <w:p w14:paraId="39F8719E">
                  <w:pPr>
                    <w:adjustRightInd w:val="0"/>
                    <w:snapToGrid w:val="0"/>
                    <w:jc w:val="center"/>
                    <w:rPr>
                      <w:szCs w:val="21"/>
                    </w:rPr>
                  </w:pPr>
                  <w:r>
                    <w:rPr>
                      <w:rFonts w:hint="eastAsia"/>
                      <w:szCs w:val="21"/>
                    </w:rPr>
                    <w:t>80</w:t>
                  </w:r>
                </w:p>
              </w:tc>
              <w:tc>
                <w:tcPr>
                  <w:tcW w:w="1382" w:type="pct"/>
                  <w:tcBorders>
                    <w:tl2br w:val="nil"/>
                    <w:tr2bl w:val="nil"/>
                  </w:tcBorders>
                  <w:vAlign w:val="center"/>
                </w:tcPr>
                <w:p w14:paraId="5870BB2F">
                  <w:pPr>
                    <w:adjustRightInd w:val="0"/>
                    <w:snapToGrid w:val="0"/>
                    <w:jc w:val="center"/>
                    <w:rPr>
                      <w:szCs w:val="21"/>
                    </w:rPr>
                  </w:pPr>
                  <w:r>
                    <w:rPr>
                      <w:szCs w:val="21"/>
                    </w:rPr>
                    <w:t>减振</w:t>
                  </w:r>
                  <w:r>
                    <w:rPr>
                      <w:rFonts w:hint="eastAsia"/>
                      <w:szCs w:val="21"/>
                    </w:rPr>
                    <w:t>、</w:t>
                  </w:r>
                  <w:r>
                    <w:rPr>
                      <w:szCs w:val="21"/>
                    </w:rPr>
                    <w:t>消声</w:t>
                  </w:r>
                </w:p>
              </w:tc>
              <w:tc>
                <w:tcPr>
                  <w:tcW w:w="821" w:type="pct"/>
                  <w:tcBorders>
                    <w:tl2br w:val="nil"/>
                    <w:tr2bl w:val="nil"/>
                  </w:tcBorders>
                  <w:vAlign w:val="center"/>
                </w:tcPr>
                <w:p w14:paraId="5DA65E9A">
                  <w:pPr>
                    <w:adjustRightInd w:val="0"/>
                    <w:snapToGrid w:val="0"/>
                    <w:jc w:val="center"/>
                    <w:rPr>
                      <w:szCs w:val="21"/>
                    </w:rPr>
                  </w:pPr>
                  <w:r>
                    <w:rPr>
                      <w:rFonts w:hint="eastAsia"/>
                      <w:szCs w:val="21"/>
                    </w:rPr>
                    <w:t>70</w:t>
                  </w:r>
                </w:p>
              </w:tc>
            </w:tr>
            <w:tr w14:paraId="6D72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444" w:type="pct"/>
                  <w:tcBorders>
                    <w:tl2br w:val="nil"/>
                    <w:tr2bl w:val="nil"/>
                  </w:tcBorders>
                  <w:vAlign w:val="center"/>
                </w:tcPr>
                <w:p w14:paraId="174D8788">
                  <w:pPr>
                    <w:adjustRightInd w:val="0"/>
                    <w:snapToGrid w:val="0"/>
                    <w:jc w:val="center"/>
                    <w:rPr>
                      <w:szCs w:val="21"/>
                    </w:rPr>
                  </w:pPr>
                  <w:r>
                    <w:rPr>
                      <w:rFonts w:hint="eastAsia"/>
                      <w:szCs w:val="21"/>
                    </w:rPr>
                    <w:t>9</w:t>
                  </w:r>
                </w:p>
              </w:tc>
              <w:tc>
                <w:tcPr>
                  <w:tcW w:w="1014" w:type="pct"/>
                  <w:tcBorders>
                    <w:tl2br w:val="nil"/>
                    <w:tr2bl w:val="nil"/>
                  </w:tcBorders>
                  <w:vAlign w:val="center"/>
                </w:tcPr>
                <w:p w14:paraId="6B6E21C1">
                  <w:pPr>
                    <w:adjustRightInd w:val="0"/>
                    <w:snapToGrid w:val="0"/>
                    <w:jc w:val="center"/>
                    <w:rPr>
                      <w:szCs w:val="21"/>
                    </w:rPr>
                  </w:pPr>
                  <w:r>
                    <w:rPr>
                      <w:rFonts w:hint="eastAsia"/>
                      <w:szCs w:val="21"/>
                    </w:rPr>
                    <w:t>铝框输送机</w:t>
                  </w:r>
                </w:p>
              </w:tc>
              <w:tc>
                <w:tcPr>
                  <w:tcW w:w="702" w:type="pct"/>
                  <w:tcBorders>
                    <w:tl2br w:val="nil"/>
                    <w:tr2bl w:val="nil"/>
                  </w:tcBorders>
                  <w:vAlign w:val="center"/>
                </w:tcPr>
                <w:p w14:paraId="742679C3">
                  <w:pPr>
                    <w:adjustRightInd w:val="0"/>
                    <w:snapToGrid w:val="0"/>
                    <w:jc w:val="center"/>
                    <w:rPr>
                      <w:szCs w:val="21"/>
                    </w:rPr>
                  </w:pPr>
                  <w:r>
                    <w:rPr>
                      <w:rFonts w:hint="eastAsia"/>
                      <w:szCs w:val="21"/>
                    </w:rPr>
                    <w:t>1</w:t>
                  </w:r>
                </w:p>
              </w:tc>
              <w:tc>
                <w:tcPr>
                  <w:tcW w:w="637" w:type="pct"/>
                  <w:tcBorders>
                    <w:tl2br w:val="nil"/>
                    <w:tr2bl w:val="nil"/>
                  </w:tcBorders>
                  <w:vAlign w:val="center"/>
                </w:tcPr>
                <w:p w14:paraId="21C05A62">
                  <w:pPr>
                    <w:adjustRightInd w:val="0"/>
                    <w:snapToGrid w:val="0"/>
                    <w:jc w:val="center"/>
                    <w:rPr>
                      <w:szCs w:val="21"/>
                    </w:rPr>
                  </w:pPr>
                  <w:r>
                    <w:rPr>
                      <w:rFonts w:hint="eastAsia"/>
                      <w:szCs w:val="21"/>
                    </w:rPr>
                    <w:t>80</w:t>
                  </w:r>
                </w:p>
              </w:tc>
              <w:tc>
                <w:tcPr>
                  <w:tcW w:w="1382" w:type="pct"/>
                  <w:tcBorders>
                    <w:tl2br w:val="nil"/>
                    <w:tr2bl w:val="nil"/>
                  </w:tcBorders>
                  <w:vAlign w:val="center"/>
                </w:tcPr>
                <w:p w14:paraId="407D5FAE">
                  <w:pPr>
                    <w:adjustRightInd w:val="0"/>
                    <w:snapToGrid w:val="0"/>
                    <w:jc w:val="center"/>
                    <w:rPr>
                      <w:szCs w:val="21"/>
                    </w:rPr>
                  </w:pPr>
                  <w:r>
                    <w:rPr>
                      <w:szCs w:val="21"/>
                    </w:rPr>
                    <w:t>减振</w:t>
                  </w:r>
                  <w:r>
                    <w:rPr>
                      <w:rFonts w:hint="eastAsia"/>
                      <w:szCs w:val="21"/>
                    </w:rPr>
                    <w:t>、</w:t>
                  </w:r>
                  <w:r>
                    <w:rPr>
                      <w:szCs w:val="21"/>
                    </w:rPr>
                    <w:t>消声</w:t>
                  </w:r>
                </w:p>
              </w:tc>
              <w:tc>
                <w:tcPr>
                  <w:tcW w:w="821" w:type="pct"/>
                  <w:tcBorders>
                    <w:tl2br w:val="nil"/>
                    <w:tr2bl w:val="nil"/>
                  </w:tcBorders>
                  <w:vAlign w:val="center"/>
                </w:tcPr>
                <w:p w14:paraId="538703E7">
                  <w:pPr>
                    <w:adjustRightInd w:val="0"/>
                    <w:snapToGrid w:val="0"/>
                    <w:jc w:val="center"/>
                    <w:rPr>
                      <w:szCs w:val="21"/>
                    </w:rPr>
                  </w:pPr>
                  <w:r>
                    <w:rPr>
                      <w:rFonts w:hint="eastAsia"/>
                      <w:szCs w:val="21"/>
                    </w:rPr>
                    <w:t>70</w:t>
                  </w:r>
                </w:p>
              </w:tc>
            </w:tr>
            <w:tr w14:paraId="76DF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444" w:type="pct"/>
                  <w:tcBorders>
                    <w:tl2br w:val="nil"/>
                    <w:tr2bl w:val="nil"/>
                  </w:tcBorders>
                  <w:vAlign w:val="center"/>
                </w:tcPr>
                <w:p w14:paraId="6FD591B5">
                  <w:pPr>
                    <w:adjustRightInd w:val="0"/>
                    <w:snapToGrid w:val="0"/>
                    <w:jc w:val="center"/>
                    <w:rPr>
                      <w:szCs w:val="21"/>
                    </w:rPr>
                  </w:pPr>
                  <w:r>
                    <w:rPr>
                      <w:rFonts w:hint="eastAsia"/>
                      <w:szCs w:val="21"/>
                    </w:rPr>
                    <w:t>10</w:t>
                  </w:r>
                </w:p>
              </w:tc>
              <w:tc>
                <w:tcPr>
                  <w:tcW w:w="1014" w:type="pct"/>
                  <w:tcBorders>
                    <w:tl2br w:val="nil"/>
                    <w:tr2bl w:val="nil"/>
                  </w:tcBorders>
                  <w:vAlign w:val="center"/>
                </w:tcPr>
                <w:p w14:paraId="0B84C853">
                  <w:pPr>
                    <w:adjustRightInd w:val="0"/>
                    <w:snapToGrid w:val="0"/>
                    <w:jc w:val="center"/>
                    <w:rPr>
                      <w:szCs w:val="21"/>
                    </w:rPr>
                  </w:pPr>
                  <w:r>
                    <w:rPr>
                      <w:rFonts w:hint="eastAsia"/>
                      <w:szCs w:val="21"/>
                    </w:rPr>
                    <w:t>水泵</w:t>
                  </w:r>
                </w:p>
              </w:tc>
              <w:tc>
                <w:tcPr>
                  <w:tcW w:w="702" w:type="pct"/>
                  <w:tcBorders>
                    <w:tl2br w:val="nil"/>
                    <w:tr2bl w:val="nil"/>
                  </w:tcBorders>
                  <w:vAlign w:val="center"/>
                </w:tcPr>
                <w:p w14:paraId="5ABE2864">
                  <w:pPr>
                    <w:adjustRightInd w:val="0"/>
                    <w:snapToGrid w:val="0"/>
                    <w:jc w:val="center"/>
                    <w:rPr>
                      <w:szCs w:val="21"/>
                    </w:rPr>
                  </w:pPr>
                  <w:r>
                    <w:rPr>
                      <w:rFonts w:hint="eastAsia"/>
                      <w:szCs w:val="21"/>
                    </w:rPr>
                    <w:t>2</w:t>
                  </w:r>
                </w:p>
              </w:tc>
              <w:tc>
                <w:tcPr>
                  <w:tcW w:w="637" w:type="pct"/>
                  <w:tcBorders>
                    <w:tl2br w:val="nil"/>
                    <w:tr2bl w:val="nil"/>
                  </w:tcBorders>
                  <w:vAlign w:val="center"/>
                </w:tcPr>
                <w:p w14:paraId="2AC29ECB">
                  <w:pPr>
                    <w:adjustRightInd w:val="0"/>
                    <w:snapToGrid w:val="0"/>
                    <w:jc w:val="center"/>
                    <w:rPr>
                      <w:szCs w:val="21"/>
                    </w:rPr>
                  </w:pPr>
                  <w:r>
                    <w:rPr>
                      <w:rFonts w:hint="eastAsia"/>
                      <w:szCs w:val="21"/>
                    </w:rPr>
                    <w:t>85</w:t>
                  </w:r>
                </w:p>
              </w:tc>
              <w:tc>
                <w:tcPr>
                  <w:tcW w:w="1382" w:type="pct"/>
                  <w:tcBorders>
                    <w:tl2br w:val="nil"/>
                    <w:tr2bl w:val="nil"/>
                  </w:tcBorders>
                  <w:vAlign w:val="center"/>
                </w:tcPr>
                <w:p w14:paraId="04F407C7">
                  <w:pPr>
                    <w:adjustRightInd w:val="0"/>
                    <w:snapToGrid w:val="0"/>
                    <w:jc w:val="center"/>
                    <w:rPr>
                      <w:szCs w:val="21"/>
                    </w:rPr>
                  </w:pPr>
                  <w:r>
                    <w:rPr>
                      <w:szCs w:val="21"/>
                    </w:rPr>
                    <w:t>减振</w:t>
                  </w:r>
                  <w:r>
                    <w:rPr>
                      <w:rFonts w:hint="eastAsia"/>
                      <w:szCs w:val="21"/>
                    </w:rPr>
                    <w:t>、</w:t>
                  </w:r>
                  <w:r>
                    <w:rPr>
                      <w:szCs w:val="21"/>
                    </w:rPr>
                    <w:t>消声</w:t>
                  </w:r>
                </w:p>
              </w:tc>
              <w:tc>
                <w:tcPr>
                  <w:tcW w:w="821" w:type="pct"/>
                  <w:tcBorders>
                    <w:tl2br w:val="nil"/>
                    <w:tr2bl w:val="nil"/>
                  </w:tcBorders>
                  <w:vAlign w:val="center"/>
                </w:tcPr>
                <w:p w14:paraId="44500D3F">
                  <w:pPr>
                    <w:adjustRightInd w:val="0"/>
                    <w:snapToGrid w:val="0"/>
                    <w:jc w:val="center"/>
                    <w:rPr>
                      <w:szCs w:val="21"/>
                    </w:rPr>
                  </w:pPr>
                  <w:r>
                    <w:rPr>
                      <w:rFonts w:hint="eastAsia"/>
                      <w:szCs w:val="21"/>
                    </w:rPr>
                    <w:t>75</w:t>
                  </w:r>
                </w:p>
              </w:tc>
            </w:tr>
            <w:tr w14:paraId="55FE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444" w:type="pct"/>
                  <w:tcBorders>
                    <w:tl2br w:val="nil"/>
                    <w:tr2bl w:val="nil"/>
                  </w:tcBorders>
                  <w:vAlign w:val="center"/>
                </w:tcPr>
                <w:p w14:paraId="48C3C439">
                  <w:pPr>
                    <w:adjustRightInd w:val="0"/>
                    <w:snapToGrid w:val="0"/>
                    <w:jc w:val="center"/>
                    <w:rPr>
                      <w:szCs w:val="21"/>
                    </w:rPr>
                  </w:pPr>
                  <w:r>
                    <w:rPr>
                      <w:rFonts w:hint="eastAsia"/>
                      <w:szCs w:val="21"/>
                    </w:rPr>
                    <w:t>11</w:t>
                  </w:r>
                </w:p>
              </w:tc>
              <w:tc>
                <w:tcPr>
                  <w:tcW w:w="1014" w:type="pct"/>
                  <w:tcBorders>
                    <w:tl2br w:val="nil"/>
                    <w:tr2bl w:val="nil"/>
                  </w:tcBorders>
                  <w:vAlign w:val="center"/>
                </w:tcPr>
                <w:p w14:paraId="0F2B6B66">
                  <w:pPr>
                    <w:adjustRightInd w:val="0"/>
                    <w:snapToGrid w:val="0"/>
                    <w:jc w:val="center"/>
                    <w:rPr>
                      <w:szCs w:val="21"/>
                    </w:rPr>
                  </w:pPr>
                  <w:r>
                    <w:rPr>
                      <w:rFonts w:hint="eastAsia"/>
                      <w:szCs w:val="21"/>
                    </w:rPr>
                    <w:t>风机</w:t>
                  </w:r>
                </w:p>
              </w:tc>
              <w:tc>
                <w:tcPr>
                  <w:tcW w:w="702" w:type="pct"/>
                  <w:tcBorders>
                    <w:tl2br w:val="nil"/>
                    <w:tr2bl w:val="nil"/>
                  </w:tcBorders>
                  <w:vAlign w:val="center"/>
                </w:tcPr>
                <w:p w14:paraId="47D798A6">
                  <w:pPr>
                    <w:adjustRightInd w:val="0"/>
                    <w:snapToGrid w:val="0"/>
                    <w:jc w:val="center"/>
                    <w:rPr>
                      <w:szCs w:val="21"/>
                    </w:rPr>
                  </w:pPr>
                  <w:r>
                    <w:rPr>
                      <w:rFonts w:hint="eastAsia"/>
                      <w:szCs w:val="21"/>
                    </w:rPr>
                    <w:t>1</w:t>
                  </w:r>
                </w:p>
              </w:tc>
              <w:tc>
                <w:tcPr>
                  <w:tcW w:w="637" w:type="pct"/>
                  <w:tcBorders>
                    <w:tl2br w:val="nil"/>
                    <w:tr2bl w:val="nil"/>
                  </w:tcBorders>
                  <w:vAlign w:val="center"/>
                </w:tcPr>
                <w:p w14:paraId="53ECC7ED">
                  <w:pPr>
                    <w:adjustRightInd w:val="0"/>
                    <w:snapToGrid w:val="0"/>
                    <w:jc w:val="center"/>
                    <w:rPr>
                      <w:szCs w:val="21"/>
                    </w:rPr>
                  </w:pPr>
                  <w:r>
                    <w:rPr>
                      <w:rFonts w:hint="eastAsia"/>
                      <w:szCs w:val="21"/>
                    </w:rPr>
                    <w:t>90</w:t>
                  </w:r>
                </w:p>
              </w:tc>
              <w:tc>
                <w:tcPr>
                  <w:tcW w:w="1382" w:type="pct"/>
                  <w:tcBorders>
                    <w:tl2br w:val="nil"/>
                    <w:tr2bl w:val="nil"/>
                  </w:tcBorders>
                  <w:vAlign w:val="center"/>
                </w:tcPr>
                <w:p w14:paraId="7B0EDBE4">
                  <w:pPr>
                    <w:adjustRightInd w:val="0"/>
                    <w:snapToGrid w:val="0"/>
                    <w:jc w:val="center"/>
                    <w:rPr>
                      <w:szCs w:val="21"/>
                    </w:rPr>
                  </w:pPr>
                  <w:r>
                    <w:rPr>
                      <w:rFonts w:hint="eastAsia"/>
                      <w:szCs w:val="21"/>
                    </w:rPr>
                    <w:t>设软连接、减振、消音</w:t>
                  </w:r>
                </w:p>
              </w:tc>
              <w:tc>
                <w:tcPr>
                  <w:tcW w:w="821" w:type="pct"/>
                  <w:tcBorders>
                    <w:tl2br w:val="nil"/>
                    <w:tr2bl w:val="nil"/>
                  </w:tcBorders>
                  <w:vAlign w:val="center"/>
                </w:tcPr>
                <w:p w14:paraId="2C173338">
                  <w:pPr>
                    <w:adjustRightInd w:val="0"/>
                    <w:snapToGrid w:val="0"/>
                    <w:jc w:val="center"/>
                    <w:rPr>
                      <w:szCs w:val="21"/>
                    </w:rPr>
                  </w:pPr>
                  <w:r>
                    <w:rPr>
                      <w:rFonts w:hint="eastAsia"/>
                      <w:szCs w:val="21"/>
                    </w:rPr>
                    <w:t>75</w:t>
                  </w:r>
                </w:p>
              </w:tc>
            </w:tr>
            <w:tr w14:paraId="5937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444" w:type="pct"/>
                  <w:tcBorders>
                    <w:tl2br w:val="nil"/>
                    <w:tr2bl w:val="nil"/>
                  </w:tcBorders>
                  <w:vAlign w:val="center"/>
                </w:tcPr>
                <w:p w14:paraId="65E37B0C">
                  <w:pPr>
                    <w:adjustRightInd w:val="0"/>
                    <w:snapToGrid w:val="0"/>
                    <w:jc w:val="center"/>
                    <w:rPr>
                      <w:szCs w:val="21"/>
                    </w:rPr>
                  </w:pPr>
                  <w:r>
                    <w:rPr>
                      <w:rFonts w:hint="eastAsia"/>
                      <w:szCs w:val="21"/>
                    </w:rPr>
                    <w:t>12</w:t>
                  </w:r>
                </w:p>
              </w:tc>
              <w:tc>
                <w:tcPr>
                  <w:tcW w:w="1014" w:type="pct"/>
                  <w:tcBorders>
                    <w:tl2br w:val="nil"/>
                    <w:tr2bl w:val="nil"/>
                  </w:tcBorders>
                  <w:vAlign w:val="center"/>
                </w:tcPr>
                <w:p w14:paraId="501E4088">
                  <w:pPr>
                    <w:adjustRightInd w:val="0"/>
                    <w:snapToGrid w:val="0"/>
                    <w:jc w:val="center"/>
                    <w:rPr>
                      <w:szCs w:val="21"/>
                    </w:rPr>
                  </w:pPr>
                  <w:r>
                    <w:rPr>
                      <w:rFonts w:hint="eastAsia"/>
                      <w:szCs w:val="21"/>
                    </w:rPr>
                    <w:t>废气处理风机</w:t>
                  </w:r>
                </w:p>
              </w:tc>
              <w:tc>
                <w:tcPr>
                  <w:tcW w:w="702" w:type="pct"/>
                  <w:tcBorders>
                    <w:tl2br w:val="nil"/>
                    <w:tr2bl w:val="nil"/>
                  </w:tcBorders>
                  <w:vAlign w:val="center"/>
                </w:tcPr>
                <w:p w14:paraId="2B900FCC">
                  <w:pPr>
                    <w:adjustRightInd w:val="0"/>
                    <w:snapToGrid w:val="0"/>
                    <w:jc w:val="center"/>
                    <w:rPr>
                      <w:szCs w:val="21"/>
                    </w:rPr>
                  </w:pPr>
                  <w:r>
                    <w:rPr>
                      <w:rFonts w:hint="eastAsia"/>
                      <w:szCs w:val="21"/>
                    </w:rPr>
                    <w:t>1</w:t>
                  </w:r>
                </w:p>
              </w:tc>
              <w:tc>
                <w:tcPr>
                  <w:tcW w:w="637" w:type="pct"/>
                  <w:tcBorders>
                    <w:tl2br w:val="nil"/>
                    <w:tr2bl w:val="nil"/>
                  </w:tcBorders>
                  <w:vAlign w:val="center"/>
                </w:tcPr>
                <w:p w14:paraId="050B8807">
                  <w:pPr>
                    <w:adjustRightInd w:val="0"/>
                    <w:snapToGrid w:val="0"/>
                    <w:jc w:val="center"/>
                    <w:rPr>
                      <w:szCs w:val="21"/>
                    </w:rPr>
                  </w:pPr>
                  <w:r>
                    <w:rPr>
                      <w:rFonts w:hint="eastAsia"/>
                      <w:szCs w:val="21"/>
                    </w:rPr>
                    <w:t>90</w:t>
                  </w:r>
                </w:p>
              </w:tc>
              <w:tc>
                <w:tcPr>
                  <w:tcW w:w="1382" w:type="pct"/>
                  <w:tcBorders>
                    <w:tl2br w:val="nil"/>
                    <w:tr2bl w:val="nil"/>
                  </w:tcBorders>
                  <w:vAlign w:val="center"/>
                </w:tcPr>
                <w:p w14:paraId="4E8CDF75">
                  <w:pPr>
                    <w:adjustRightInd w:val="0"/>
                    <w:snapToGrid w:val="0"/>
                    <w:jc w:val="center"/>
                    <w:rPr>
                      <w:szCs w:val="21"/>
                    </w:rPr>
                  </w:pPr>
                  <w:r>
                    <w:rPr>
                      <w:rFonts w:hint="eastAsia"/>
                      <w:szCs w:val="21"/>
                    </w:rPr>
                    <w:t>设软连接、减振、消音</w:t>
                  </w:r>
                </w:p>
              </w:tc>
              <w:tc>
                <w:tcPr>
                  <w:tcW w:w="821" w:type="pct"/>
                  <w:tcBorders>
                    <w:tl2br w:val="nil"/>
                    <w:tr2bl w:val="nil"/>
                  </w:tcBorders>
                  <w:vAlign w:val="center"/>
                </w:tcPr>
                <w:p w14:paraId="65EF53FE">
                  <w:pPr>
                    <w:adjustRightInd w:val="0"/>
                    <w:snapToGrid w:val="0"/>
                    <w:jc w:val="center"/>
                    <w:rPr>
                      <w:szCs w:val="21"/>
                    </w:rPr>
                  </w:pPr>
                  <w:r>
                    <w:rPr>
                      <w:rFonts w:hint="eastAsia"/>
                      <w:szCs w:val="21"/>
                    </w:rPr>
                    <w:t>75</w:t>
                  </w:r>
                </w:p>
              </w:tc>
            </w:tr>
          </w:tbl>
          <w:p w14:paraId="63A80089">
            <w:pPr>
              <w:snapToGrid w:val="0"/>
              <w:spacing w:line="360" w:lineRule="auto"/>
              <w:ind w:firstLine="480" w:firstLineChars="200"/>
              <w:rPr>
                <w:sz w:val="24"/>
              </w:rPr>
            </w:pPr>
            <w:r>
              <w:rPr>
                <w:rFonts w:hint="eastAsia"/>
                <w:sz w:val="24"/>
              </w:rPr>
              <w:t>本</w:t>
            </w:r>
            <w:r>
              <w:rPr>
                <w:sz w:val="24"/>
              </w:rPr>
              <w:t>项目噪声源强</w:t>
            </w:r>
            <w:r>
              <w:rPr>
                <w:rFonts w:hint="eastAsia"/>
                <w:sz w:val="24"/>
              </w:rPr>
              <w:t>调查</w:t>
            </w:r>
            <w:r>
              <w:rPr>
                <w:sz w:val="24"/>
              </w:rPr>
              <w:t>清单</w:t>
            </w:r>
            <w:r>
              <w:rPr>
                <w:rFonts w:hint="eastAsia"/>
                <w:sz w:val="24"/>
              </w:rPr>
              <w:t>见下表。</w:t>
            </w:r>
          </w:p>
        </w:tc>
      </w:tr>
    </w:tbl>
    <w:p w14:paraId="702082C4">
      <w:pPr>
        <w:adjustRightInd w:val="0"/>
        <w:snapToGrid w:val="0"/>
        <w:jc w:val="center"/>
        <w:rPr>
          <w:rFonts w:ascii="宋体" w:hAnsi="宋体" w:cs="宋体"/>
          <w:bCs/>
          <w:szCs w:val="21"/>
        </w:rPr>
        <w:sectPr>
          <w:pgSz w:w="11907" w:h="16840"/>
          <w:pgMar w:top="1701" w:right="1531" w:bottom="2127" w:left="1531" w:header="851" w:footer="1134" w:gutter="0"/>
          <w:cols w:space="720" w:num="1"/>
          <w:docGrid w:linePitch="312" w:charSpace="0"/>
        </w:sectPr>
      </w:pPr>
    </w:p>
    <w:tbl>
      <w:tblPr>
        <w:tblStyle w:val="38"/>
        <w:tblW w:w="128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2474"/>
      </w:tblGrid>
      <w:tr w14:paraId="77743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1" w:hRule="atLeast"/>
          <w:jc w:val="center"/>
        </w:trPr>
        <w:tc>
          <w:tcPr>
            <w:tcW w:w="409" w:type="dxa"/>
            <w:tcMar>
              <w:left w:w="28" w:type="dxa"/>
              <w:right w:w="28" w:type="dxa"/>
            </w:tcMar>
            <w:vAlign w:val="center"/>
          </w:tcPr>
          <w:p w14:paraId="591B12C9">
            <w:pPr>
              <w:adjustRightInd w:val="0"/>
              <w:snapToGrid w:val="0"/>
              <w:jc w:val="center"/>
              <w:rPr>
                <w:rFonts w:ascii="宋体" w:hAnsi="宋体" w:cs="宋体"/>
                <w:bCs/>
                <w:szCs w:val="21"/>
              </w:rPr>
            </w:pPr>
            <w:r>
              <w:rPr>
                <w:rFonts w:hint="eastAsia" w:ascii="宋体" w:hAnsi="宋体" w:cs="宋体"/>
                <w:bCs/>
                <w:szCs w:val="21"/>
              </w:rPr>
              <w:t>营运期环境影响和保护措施</w:t>
            </w:r>
          </w:p>
        </w:tc>
        <w:tc>
          <w:tcPr>
            <w:tcW w:w="12474" w:type="dxa"/>
          </w:tcPr>
          <w:p w14:paraId="772FE785">
            <w:pPr>
              <w:pStyle w:val="137"/>
              <w:numPr>
                <w:ilvl w:val="0"/>
                <w:numId w:val="7"/>
              </w:numPr>
              <w:adjustRightInd w:val="0"/>
              <w:snapToGrid w:val="0"/>
              <w:ind w:firstLineChars="0"/>
              <w:jc w:val="center"/>
              <w:rPr>
                <w:b/>
                <w:snapToGrid w:val="0"/>
                <w:kern w:val="0"/>
                <w:szCs w:val="21"/>
              </w:rPr>
            </w:pPr>
            <w:r>
              <w:rPr>
                <w:rFonts w:hint="eastAsia"/>
                <w:b/>
                <w:snapToGrid w:val="0"/>
                <w:kern w:val="0"/>
                <w:szCs w:val="21"/>
              </w:rPr>
              <w:t>工业企业噪声源强调查清单（室外声源）</w:t>
            </w:r>
          </w:p>
          <w:tbl>
            <w:tblPr>
              <w:tblStyle w:val="38"/>
              <w:tblW w:w="121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2491"/>
              <w:gridCol w:w="925"/>
              <w:gridCol w:w="991"/>
              <w:gridCol w:w="872"/>
              <w:gridCol w:w="1271"/>
              <w:gridCol w:w="2292"/>
              <w:gridCol w:w="1576"/>
              <w:gridCol w:w="1132"/>
            </w:tblGrid>
            <w:tr w14:paraId="5145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57" w:type="pct"/>
                  <w:vMerge w:val="restart"/>
                  <w:vAlign w:val="center"/>
                </w:tcPr>
                <w:p w14:paraId="56E002C6">
                  <w:pPr>
                    <w:adjustRightInd w:val="0"/>
                    <w:snapToGrid w:val="0"/>
                    <w:jc w:val="center"/>
                    <w:outlineLvl w:val="0"/>
                    <w:rPr>
                      <w:b/>
                      <w:sz w:val="18"/>
                      <w:szCs w:val="18"/>
                      <w:lang w:eastAsia="en-US"/>
                    </w:rPr>
                  </w:pPr>
                  <w:bookmarkStart w:id="13" w:name="_Toc157673404"/>
                  <w:r>
                    <w:rPr>
                      <w:b/>
                      <w:spacing w:val="5"/>
                      <w:sz w:val="18"/>
                      <w:szCs w:val="18"/>
                      <w:lang w:eastAsia="en-US"/>
                    </w:rPr>
                    <w:t>序号</w:t>
                  </w:r>
                  <w:bookmarkEnd w:id="13"/>
                </w:p>
              </w:tc>
              <w:tc>
                <w:tcPr>
                  <w:tcW w:w="1023" w:type="pct"/>
                  <w:vMerge w:val="restart"/>
                  <w:vAlign w:val="center"/>
                </w:tcPr>
                <w:p w14:paraId="5C8B6092">
                  <w:pPr>
                    <w:adjustRightInd w:val="0"/>
                    <w:snapToGrid w:val="0"/>
                    <w:jc w:val="center"/>
                    <w:outlineLvl w:val="0"/>
                    <w:rPr>
                      <w:b/>
                      <w:sz w:val="18"/>
                      <w:szCs w:val="18"/>
                      <w:lang w:eastAsia="en-US"/>
                    </w:rPr>
                  </w:pPr>
                  <w:bookmarkStart w:id="14" w:name="_Toc157673405"/>
                  <w:r>
                    <w:rPr>
                      <w:b/>
                      <w:spacing w:val="6"/>
                      <w:sz w:val="18"/>
                      <w:szCs w:val="18"/>
                      <w:lang w:eastAsia="en-US"/>
                    </w:rPr>
                    <w:t>声源名称</w:t>
                  </w:r>
                  <w:bookmarkEnd w:id="14"/>
                </w:p>
              </w:tc>
              <w:tc>
                <w:tcPr>
                  <w:tcW w:w="380" w:type="pct"/>
                  <w:vMerge w:val="restart"/>
                  <w:vAlign w:val="center"/>
                </w:tcPr>
                <w:p w14:paraId="48FE911E">
                  <w:pPr>
                    <w:adjustRightInd w:val="0"/>
                    <w:snapToGrid w:val="0"/>
                    <w:jc w:val="center"/>
                    <w:outlineLvl w:val="0"/>
                    <w:rPr>
                      <w:b/>
                      <w:sz w:val="18"/>
                      <w:szCs w:val="18"/>
                      <w:lang w:eastAsia="en-US"/>
                    </w:rPr>
                  </w:pPr>
                  <w:bookmarkStart w:id="15" w:name="_Toc157673406"/>
                  <w:r>
                    <w:rPr>
                      <w:rFonts w:hint="eastAsia"/>
                      <w:b/>
                      <w:spacing w:val="6"/>
                      <w:sz w:val="18"/>
                      <w:szCs w:val="18"/>
                    </w:rPr>
                    <w:t>型号</w:t>
                  </w:r>
                  <w:bookmarkEnd w:id="15"/>
                </w:p>
              </w:tc>
              <w:tc>
                <w:tcPr>
                  <w:tcW w:w="1287" w:type="pct"/>
                  <w:gridSpan w:val="3"/>
                  <w:vAlign w:val="center"/>
                </w:tcPr>
                <w:p w14:paraId="1EF479F3">
                  <w:pPr>
                    <w:adjustRightInd w:val="0"/>
                    <w:snapToGrid w:val="0"/>
                    <w:jc w:val="center"/>
                    <w:outlineLvl w:val="0"/>
                    <w:rPr>
                      <w:b/>
                      <w:sz w:val="18"/>
                      <w:szCs w:val="18"/>
                      <w:lang w:eastAsia="en-US"/>
                    </w:rPr>
                  </w:pPr>
                  <w:bookmarkStart w:id="16" w:name="_Toc157673407"/>
                  <w:r>
                    <w:rPr>
                      <w:b/>
                      <w:spacing w:val="6"/>
                      <w:sz w:val="18"/>
                      <w:szCs w:val="18"/>
                      <w:lang w:eastAsia="en-US"/>
                    </w:rPr>
                    <w:t>空间相对位置/m</w:t>
                  </w:r>
                  <w:bookmarkEnd w:id="16"/>
                </w:p>
              </w:tc>
              <w:tc>
                <w:tcPr>
                  <w:tcW w:w="941" w:type="pct"/>
                  <w:vAlign w:val="center"/>
                </w:tcPr>
                <w:p w14:paraId="27040DCF">
                  <w:pPr>
                    <w:adjustRightInd w:val="0"/>
                    <w:snapToGrid w:val="0"/>
                    <w:jc w:val="center"/>
                    <w:outlineLvl w:val="0"/>
                    <w:rPr>
                      <w:b/>
                      <w:sz w:val="18"/>
                      <w:szCs w:val="18"/>
                      <w:lang w:eastAsia="en-US"/>
                    </w:rPr>
                  </w:pPr>
                  <w:bookmarkStart w:id="17" w:name="_Toc157673408"/>
                  <w:r>
                    <w:rPr>
                      <w:b/>
                      <w:spacing w:val="6"/>
                      <w:sz w:val="18"/>
                      <w:szCs w:val="18"/>
                      <w:lang w:eastAsia="en-US"/>
                    </w:rPr>
                    <w:t>声源源强</w:t>
                  </w:r>
                  <w:bookmarkEnd w:id="17"/>
                </w:p>
              </w:tc>
              <w:tc>
                <w:tcPr>
                  <w:tcW w:w="647" w:type="pct"/>
                  <w:vMerge w:val="restart"/>
                  <w:vAlign w:val="center"/>
                </w:tcPr>
                <w:p w14:paraId="27CF40E8">
                  <w:pPr>
                    <w:adjustRightInd w:val="0"/>
                    <w:snapToGrid w:val="0"/>
                    <w:jc w:val="center"/>
                    <w:outlineLvl w:val="0"/>
                    <w:rPr>
                      <w:b/>
                      <w:sz w:val="18"/>
                      <w:szCs w:val="18"/>
                      <w:lang w:eastAsia="en-US"/>
                    </w:rPr>
                  </w:pPr>
                  <w:bookmarkStart w:id="18" w:name="_Toc157673409"/>
                  <w:r>
                    <w:rPr>
                      <w:b/>
                      <w:spacing w:val="7"/>
                      <w:sz w:val="18"/>
                      <w:szCs w:val="18"/>
                      <w:lang w:eastAsia="en-US"/>
                    </w:rPr>
                    <w:t>声源控制措</w:t>
                  </w:r>
                  <w:bookmarkEnd w:id="18"/>
                </w:p>
                <w:p w14:paraId="22E5F536">
                  <w:pPr>
                    <w:adjustRightInd w:val="0"/>
                    <w:snapToGrid w:val="0"/>
                    <w:jc w:val="center"/>
                    <w:rPr>
                      <w:b/>
                      <w:sz w:val="18"/>
                      <w:szCs w:val="18"/>
                      <w:lang w:eastAsia="en-US"/>
                    </w:rPr>
                  </w:pPr>
                  <w:r>
                    <w:rPr>
                      <w:b/>
                      <w:spacing w:val="1"/>
                      <w:sz w:val="18"/>
                      <w:szCs w:val="18"/>
                      <w:lang w:eastAsia="en-US"/>
                    </w:rPr>
                    <w:t>施</w:t>
                  </w:r>
                </w:p>
              </w:tc>
              <w:tc>
                <w:tcPr>
                  <w:tcW w:w="465" w:type="pct"/>
                  <w:vMerge w:val="restart"/>
                  <w:vAlign w:val="center"/>
                </w:tcPr>
                <w:p w14:paraId="0D1DD4C1">
                  <w:pPr>
                    <w:adjustRightInd w:val="0"/>
                    <w:snapToGrid w:val="0"/>
                    <w:jc w:val="center"/>
                    <w:outlineLvl w:val="0"/>
                    <w:rPr>
                      <w:b/>
                      <w:sz w:val="18"/>
                      <w:szCs w:val="18"/>
                      <w:lang w:eastAsia="en-US"/>
                    </w:rPr>
                  </w:pPr>
                  <w:bookmarkStart w:id="19" w:name="_Toc157673410"/>
                  <w:r>
                    <w:rPr>
                      <w:b/>
                      <w:spacing w:val="7"/>
                      <w:sz w:val="18"/>
                      <w:szCs w:val="18"/>
                      <w:lang w:eastAsia="en-US"/>
                    </w:rPr>
                    <w:t>运行时段</w:t>
                  </w:r>
                  <w:bookmarkEnd w:id="19"/>
                </w:p>
              </w:tc>
            </w:tr>
            <w:tr w14:paraId="3F58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57" w:type="pct"/>
                  <w:vMerge w:val="continue"/>
                  <w:vAlign w:val="center"/>
                </w:tcPr>
                <w:p w14:paraId="517023AA">
                  <w:pPr>
                    <w:adjustRightInd w:val="0"/>
                    <w:snapToGrid w:val="0"/>
                    <w:jc w:val="center"/>
                    <w:rPr>
                      <w:sz w:val="18"/>
                      <w:szCs w:val="18"/>
                    </w:rPr>
                  </w:pPr>
                </w:p>
              </w:tc>
              <w:tc>
                <w:tcPr>
                  <w:tcW w:w="1023" w:type="pct"/>
                  <w:vMerge w:val="continue"/>
                  <w:vAlign w:val="center"/>
                </w:tcPr>
                <w:p w14:paraId="772B60E7">
                  <w:pPr>
                    <w:adjustRightInd w:val="0"/>
                    <w:snapToGrid w:val="0"/>
                    <w:jc w:val="center"/>
                    <w:rPr>
                      <w:sz w:val="18"/>
                      <w:szCs w:val="18"/>
                    </w:rPr>
                  </w:pPr>
                </w:p>
              </w:tc>
              <w:tc>
                <w:tcPr>
                  <w:tcW w:w="380" w:type="pct"/>
                  <w:vMerge w:val="continue"/>
                  <w:vAlign w:val="center"/>
                </w:tcPr>
                <w:p w14:paraId="337E7225">
                  <w:pPr>
                    <w:adjustRightInd w:val="0"/>
                    <w:snapToGrid w:val="0"/>
                    <w:jc w:val="center"/>
                    <w:rPr>
                      <w:sz w:val="18"/>
                      <w:szCs w:val="18"/>
                    </w:rPr>
                  </w:pPr>
                </w:p>
              </w:tc>
              <w:tc>
                <w:tcPr>
                  <w:tcW w:w="407" w:type="pct"/>
                  <w:vAlign w:val="center"/>
                </w:tcPr>
                <w:p w14:paraId="13650F20">
                  <w:pPr>
                    <w:adjustRightInd w:val="0"/>
                    <w:snapToGrid w:val="0"/>
                    <w:jc w:val="center"/>
                    <w:outlineLvl w:val="0"/>
                    <w:rPr>
                      <w:sz w:val="18"/>
                      <w:szCs w:val="18"/>
                      <w:lang w:eastAsia="en-US"/>
                    </w:rPr>
                  </w:pPr>
                  <w:bookmarkStart w:id="20" w:name="_Toc157673411"/>
                  <w:r>
                    <w:rPr>
                      <w:sz w:val="18"/>
                      <w:szCs w:val="18"/>
                      <w:lang w:eastAsia="en-US"/>
                    </w:rPr>
                    <w:t>X</w:t>
                  </w:r>
                  <w:bookmarkEnd w:id="20"/>
                </w:p>
              </w:tc>
              <w:tc>
                <w:tcPr>
                  <w:tcW w:w="358" w:type="pct"/>
                  <w:vAlign w:val="center"/>
                </w:tcPr>
                <w:p w14:paraId="274A393D">
                  <w:pPr>
                    <w:adjustRightInd w:val="0"/>
                    <w:snapToGrid w:val="0"/>
                    <w:jc w:val="center"/>
                    <w:outlineLvl w:val="0"/>
                    <w:rPr>
                      <w:sz w:val="18"/>
                      <w:szCs w:val="18"/>
                      <w:lang w:eastAsia="en-US"/>
                    </w:rPr>
                  </w:pPr>
                  <w:bookmarkStart w:id="21" w:name="_Toc157673412"/>
                  <w:r>
                    <w:rPr>
                      <w:sz w:val="18"/>
                      <w:szCs w:val="18"/>
                      <w:lang w:eastAsia="en-US"/>
                    </w:rPr>
                    <w:t>Y</w:t>
                  </w:r>
                  <w:bookmarkEnd w:id="21"/>
                </w:p>
              </w:tc>
              <w:tc>
                <w:tcPr>
                  <w:tcW w:w="522" w:type="pct"/>
                  <w:vAlign w:val="center"/>
                </w:tcPr>
                <w:p w14:paraId="77CFA6DE">
                  <w:pPr>
                    <w:adjustRightInd w:val="0"/>
                    <w:snapToGrid w:val="0"/>
                    <w:jc w:val="center"/>
                    <w:outlineLvl w:val="0"/>
                    <w:rPr>
                      <w:sz w:val="18"/>
                      <w:szCs w:val="18"/>
                      <w:lang w:eastAsia="en-US"/>
                    </w:rPr>
                  </w:pPr>
                  <w:bookmarkStart w:id="22" w:name="_Toc157673413"/>
                  <w:r>
                    <w:rPr>
                      <w:sz w:val="18"/>
                      <w:szCs w:val="18"/>
                      <w:lang w:eastAsia="en-US"/>
                    </w:rPr>
                    <w:t>Z</w:t>
                  </w:r>
                  <w:bookmarkEnd w:id="22"/>
                </w:p>
              </w:tc>
              <w:tc>
                <w:tcPr>
                  <w:tcW w:w="941" w:type="pct"/>
                  <w:vAlign w:val="center"/>
                </w:tcPr>
                <w:p w14:paraId="1CD5BE21">
                  <w:pPr>
                    <w:adjustRightInd w:val="0"/>
                    <w:snapToGrid w:val="0"/>
                    <w:jc w:val="center"/>
                    <w:rPr>
                      <w:b/>
                      <w:sz w:val="18"/>
                      <w:szCs w:val="18"/>
                    </w:rPr>
                  </w:pPr>
                  <w:r>
                    <w:rPr>
                      <w:rFonts w:hint="eastAsia"/>
                      <w:b/>
                      <w:sz w:val="18"/>
                      <w:szCs w:val="18"/>
                    </w:rPr>
                    <w:t>（声压级/距声源距离）/（dB(A)/m）</w:t>
                  </w:r>
                </w:p>
              </w:tc>
              <w:tc>
                <w:tcPr>
                  <w:tcW w:w="647" w:type="pct"/>
                  <w:vMerge w:val="continue"/>
                  <w:vAlign w:val="center"/>
                </w:tcPr>
                <w:p w14:paraId="3FD6283F">
                  <w:pPr>
                    <w:adjustRightInd w:val="0"/>
                    <w:snapToGrid w:val="0"/>
                    <w:jc w:val="center"/>
                    <w:rPr>
                      <w:sz w:val="18"/>
                      <w:szCs w:val="18"/>
                    </w:rPr>
                  </w:pPr>
                </w:p>
              </w:tc>
              <w:tc>
                <w:tcPr>
                  <w:tcW w:w="465" w:type="pct"/>
                  <w:vMerge w:val="continue"/>
                  <w:vAlign w:val="center"/>
                </w:tcPr>
                <w:p w14:paraId="357652CD">
                  <w:pPr>
                    <w:adjustRightInd w:val="0"/>
                    <w:snapToGrid w:val="0"/>
                    <w:jc w:val="center"/>
                    <w:rPr>
                      <w:sz w:val="18"/>
                      <w:szCs w:val="18"/>
                    </w:rPr>
                  </w:pPr>
                </w:p>
              </w:tc>
            </w:tr>
            <w:tr w14:paraId="42FA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57" w:type="pct"/>
                  <w:vAlign w:val="center"/>
                </w:tcPr>
                <w:p w14:paraId="4E52F204">
                  <w:pPr>
                    <w:adjustRightInd w:val="0"/>
                    <w:snapToGrid w:val="0"/>
                    <w:jc w:val="center"/>
                    <w:outlineLvl w:val="0"/>
                    <w:rPr>
                      <w:sz w:val="18"/>
                      <w:szCs w:val="18"/>
                      <w:lang w:eastAsia="en-US"/>
                    </w:rPr>
                  </w:pPr>
                  <w:bookmarkStart w:id="23" w:name="_Toc157673414"/>
                  <w:r>
                    <w:rPr>
                      <w:sz w:val="18"/>
                      <w:szCs w:val="18"/>
                      <w:lang w:eastAsia="en-US"/>
                    </w:rPr>
                    <w:t>1</w:t>
                  </w:r>
                  <w:bookmarkEnd w:id="23"/>
                </w:p>
              </w:tc>
              <w:tc>
                <w:tcPr>
                  <w:tcW w:w="1023" w:type="pct"/>
                  <w:vAlign w:val="center"/>
                </w:tcPr>
                <w:p w14:paraId="4ADE090F">
                  <w:pPr>
                    <w:adjustRightInd w:val="0"/>
                    <w:snapToGrid w:val="0"/>
                    <w:jc w:val="center"/>
                    <w:outlineLvl w:val="0"/>
                    <w:rPr>
                      <w:sz w:val="18"/>
                      <w:szCs w:val="18"/>
                    </w:rPr>
                  </w:pPr>
                  <w:bookmarkStart w:id="24" w:name="_Toc157673415"/>
                  <w:r>
                    <w:rPr>
                      <w:spacing w:val="5"/>
                      <w:sz w:val="18"/>
                      <w:szCs w:val="18"/>
                    </w:rPr>
                    <w:t>风机</w:t>
                  </w:r>
                  <w:bookmarkEnd w:id="24"/>
                </w:p>
              </w:tc>
              <w:tc>
                <w:tcPr>
                  <w:tcW w:w="380" w:type="pct"/>
                  <w:vAlign w:val="center"/>
                </w:tcPr>
                <w:p w14:paraId="6DBCF233">
                  <w:pPr>
                    <w:adjustRightInd w:val="0"/>
                    <w:snapToGrid w:val="0"/>
                    <w:jc w:val="center"/>
                    <w:outlineLvl w:val="0"/>
                    <w:rPr>
                      <w:sz w:val="18"/>
                      <w:szCs w:val="18"/>
                    </w:rPr>
                  </w:pPr>
                  <w:bookmarkStart w:id="25" w:name="_Toc157673416"/>
                  <w:r>
                    <w:rPr>
                      <w:rFonts w:hint="eastAsia"/>
                      <w:sz w:val="18"/>
                      <w:szCs w:val="18"/>
                    </w:rPr>
                    <w:t>/</w:t>
                  </w:r>
                  <w:bookmarkEnd w:id="25"/>
                </w:p>
              </w:tc>
              <w:tc>
                <w:tcPr>
                  <w:tcW w:w="407" w:type="pct"/>
                  <w:vAlign w:val="center"/>
                </w:tcPr>
                <w:p w14:paraId="0A6C4BF2">
                  <w:pPr>
                    <w:adjustRightInd w:val="0"/>
                    <w:snapToGrid w:val="0"/>
                    <w:jc w:val="center"/>
                    <w:outlineLvl w:val="0"/>
                    <w:rPr>
                      <w:sz w:val="18"/>
                      <w:szCs w:val="18"/>
                    </w:rPr>
                  </w:pPr>
                  <w:r>
                    <w:rPr>
                      <w:rFonts w:hint="eastAsia"/>
                      <w:sz w:val="18"/>
                      <w:szCs w:val="18"/>
                    </w:rPr>
                    <w:t>-25</w:t>
                  </w:r>
                </w:p>
              </w:tc>
              <w:tc>
                <w:tcPr>
                  <w:tcW w:w="358" w:type="pct"/>
                  <w:vAlign w:val="center"/>
                </w:tcPr>
                <w:p w14:paraId="08FAAC52">
                  <w:pPr>
                    <w:adjustRightInd w:val="0"/>
                    <w:snapToGrid w:val="0"/>
                    <w:jc w:val="center"/>
                    <w:outlineLvl w:val="0"/>
                    <w:rPr>
                      <w:sz w:val="18"/>
                      <w:szCs w:val="18"/>
                    </w:rPr>
                  </w:pPr>
                  <w:r>
                    <w:rPr>
                      <w:rFonts w:hint="eastAsia"/>
                      <w:sz w:val="18"/>
                      <w:szCs w:val="18"/>
                    </w:rPr>
                    <w:t>-11</w:t>
                  </w:r>
                </w:p>
              </w:tc>
              <w:tc>
                <w:tcPr>
                  <w:tcW w:w="522" w:type="pct"/>
                  <w:vAlign w:val="center"/>
                </w:tcPr>
                <w:p w14:paraId="2E85BC4E">
                  <w:pPr>
                    <w:adjustRightInd w:val="0"/>
                    <w:snapToGrid w:val="0"/>
                    <w:jc w:val="center"/>
                    <w:outlineLvl w:val="0"/>
                    <w:rPr>
                      <w:sz w:val="18"/>
                      <w:szCs w:val="18"/>
                    </w:rPr>
                  </w:pPr>
                  <w:bookmarkStart w:id="26" w:name="_Toc157673419"/>
                  <w:r>
                    <w:rPr>
                      <w:rFonts w:hint="eastAsia"/>
                      <w:sz w:val="18"/>
                      <w:szCs w:val="18"/>
                    </w:rPr>
                    <w:t>1.2</w:t>
                  </w:r>
                  <w:bookmarkEnd w:id="26"/>
                </w:p>
              </w:tc>
              <w:tc>
                <w:tcPr>
                  <w:tcW w:w="941" w:type="pct"/>
                  <w:vAlign w:val="center"/>
                </w:tcPr>
                <w:p w14:paraId="296CF337">
                  <w:pPr>
                    <w:adjustRightInd w:val="0"/>
                    <w:snapToGrid w:val="0"/>
                    <w:jc w:val="center"/>
                    <w:outlineLvl w:val="0"/>
                    <w:rPr>
                      <w:sz w:val="18"/>
                      <w:szCs w:val="18"/>
                    </w:rPr>
                  </w:pPr>
                  <w:bookmarkStart w:id="27" w:name="_Toc157673420"/>
                  <w:r>
                    <w:rPr>
                      <w:rFonts w:hint="eastAsia"/>
                      <w:sz w:val="18"/>
                      <w:szCs w:val="18"/>
                    </w:rPr>
                    <w:t>75</w:t>
                  </w:r>
                  <w:bookmarkEnd w:id="27"/>
                  <w:r>
                    <w:rPr>
                      <w:rFonts w:hint="eastAsia"/>
                      <w:sz w:val="18"/>
                      <w:szCs w:val="18"/>
                    </w:rPr>
                    <w:t>/1</w:t>
                  </w:r>
                </w:p>
              </w:tc>
              <w:tc>
                <w:tcPr>
                  <w:tcW w:w="647" w:type="pct"/>
                  <w:vMerge w:val="restart"/>
                  <w:vAlign w:val="center"/>
                </w:tcPr>
                <w:p w14:paraId="5D3609B3">
                  <w:pPr>
                    <w:adjustRightInd w:val="0"/>
                    <w:snapToGrid w:val="0"/>
                    <w:jc w:val="center"/>
                    <w:outlineLvl w:val="0"/>
                    <w:rPr>
                      <w:sz w:val="18"/>
                      <w:szCs w:val="18"/>
                    </w:rPr>
                  </w:pPr>
                  <w:bookmarkStart w:id="28" w:name="_Toc157673421"/>
                  <w:r>
                    <w:rPr>
                      <w:sz w:val="18"/>
                      <w:szCs w:val="18"/>
                    </w:rPr>
                    <w:t>低噪声设备、基础减振、软连接、</w:t>
                  </w:r>
                  <w:r>
                    <w:rPr>
                      <w:rFonts w:hint="eastAsia"/>
                      <w:sz w:val="18"/>
                      <w:szCs w:val="18"/>
                    </w:rPr>
                    <w:t>消音器</w:t>
                  </w:r>
                  <w:r>
                    <w:rPr>
                      <w:sz w:val="18"/>
                      <w:szCs w:val="18"/>
                    </w:rPr>
                    <w:t>等降噪措施</w:t>
                  </w:r>
                  <w:bookmarkEnd w:id="28"/>
                </w:p>
              </w:tc>
              <w:tc>
                <w:tcPr>
                  <w:tcW w:w="465" w:type="pct"/>
                  <w:vAlign w:val="center"/>
                </w:tcPr>
                <w:p w14:paraId="619B0735">
                  <w:pPr>
                    <w:adjustRightInd w:val="0"/>
                    <w:snapToGrid w:val="0"/>
                    <w:jc w:val="center"/>
                    <w:outlineLvl w:val="0"/>
                    <w:rPr>
                      <w:spacing w:val="4"/>
                      <w:sz w:val="18"/>
                      <w:szCs w:val="18"/>
                    </w:rPr>
                  </w:pPr>
                  <w:bookmarkStart w:id="29" w:name="_Toc157673422"/>
                  <w:r>
                    <w:rPr>
                      <w:rFonts w:hint="eastAsia"/>
                      <w:spacing w:val="4"/>
                      <w:sz w:val="18"/>
                      <w:szCs w:val="18"/>
                    </w:rPr>
                    <w:t>8h</w:t>
                  </w:r>
                  <w:bookmarkEnd w:id="29"/>
                </w:p>
              </w:tc>
            </w:tr>
            <w:tr w14:paraId="6EB3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57" w:type="pct"/>
                  <w:vAlign w:val="center"/>
                </w:tcPr>
                <w:p w14:paraId="37638239">
                  <w:pPr>
                    <w:adjustRightInd w:val="0"/>
                    <w:snapToGrid w:val="0"/>
                    <w:jc w:val="center"/>
                    <w:outlineLvl w:val="0"/>
                    <w:rPr>
                      <w:sz w:val="18"/>
                      <w:szCs w:val="18"/>
                    </w:rPr>
                  </w:pPr>
                  <w:r>
                    <w:rPr>
                      <w:rFonts w:hint="eastAsia"/>
                      <w:sz w:val="18"/>
                      <w:szCs w:val="18"/>
                    </w:rPr>
                    <w:t>2</w:t>
                  </w:r>
                </w:p>
              </w:tc>
              <w:tc>
                <w:tcPr>
                  <w:tcW w:w="1023" w:type="pct"/>
                  <w:vAlign w:val="center"/>
                </w:tcPr>
                <w:p w14:paraId="6ECEFE62">
                  <w:pPr>
                    <w:adjustRightInd w:val="0"/>
                    <w:snapToGrid w:val="0"/>
                    <w:jc w:val="center"/>
                    <w:outlineLvl w:val="0"/>
                    <w:rPr>
                      <w:spacing w:val="5"/>
                      <w:sz w:val="18"/>
                      <w:szCs w:val="18"/>
                    </w:rPr>
                  </w:pPr>
                  <w:r>
                    <w:rPr>
                      <w:spacing w:val="5"/>
                      <w:sz w:val="18"/>
                      <w:szCs w:val="18"/>
                    </w:rPr>
                    <w:t>废气处理风机</w:t>
                  </w:r>
                </w:p>
              </w:tc>
              <w:tc>
                <w:tcPr>
                  <w:tcW w:w="380" w:type="pct"/>
                  <w:vAlign w:val="center"/>
                </w:tcPr>
                <w:p w14:paraId="7400A4BB">
                  <w:pPr>
                    <w:adjustRightInd w:val="0"/>
                    <w:snapToGrid w:val="0"/>
                    <w:jc w:val="center"/>
                    <w:outlineLvl w:val="0"/>
                    <w:rPr>
                      <w:sz w:val="18"/>
                      <w:szCs w:val="18"/>
                    </w:rPr>
                  </w:pPr>
                  <w:r>
                    <w:rPr>
                      <w:rFonts w:hint="eastAsia"/>
                      <w:sz w:val="18"/>
                      <w:szCs w:val="18"/>
                    </w:rPr>
                    <w:t>/</w:t>
                  </w:r>
                </w:p>
              </w:tc>
              <w:tc>
                <w:tcPr>
                  <w:tcW w:w="407" w:type="pct"/>
                  <w:vAlign w:val="center"/>
                </w:tcPr>
                <w:p w14:paraId="5499ADB1">
                  <w:pPr>
                    <w:adjustRightInd w:val="0"/>
                    <w:snapToGrid w:val="0"/>
                    <w:jc w:val="center"/>
                    <w:outlineLvl w:val="0"/>
                    <w:rPr>
                      <w:sz w:val="18"/>
                      <w:szCs w:val="18"/>
                    </w:rPr>
                  </w:pPr>
                  <w:r>
                    <w:rPr>
                      <w:rFonts w:hint="eastAsia"/>
                      <w:sz w:val="18"/>
                      <w:szCs w:val="18"/>
                    </w:rPr>
                    <w:t>-25</w:t>
                  </w:r>
                </w:p>
              </w:tc>
              <w:tc>
                <w:tcPr>
                  <w:tcW w:w="358" w:type="pct"/>
                  <w:vAlign w:val="center"/>
                </w:tcPr>
                <w:p w14:paraId="7A24033D">
                  <w:pPr>
                    <w:adjustRightInd w:val="0"/>
                    <w:snapToGrid w:val="0"/>
                    <w:jc w:val="center"/>
                    <w:outlineLvl w:val="0"/>
                    <w:rPr>
                      <w:sz w:val="18"/>
                      <w:szCs w:val="18"/>
                    </w:rPr>
                  </w:pPr>
                  <w:r>
                    <w:rPr>
                      <w:rFonts w:hint="eastAsia"/>
                      <w:sz w:val="18"/>
                      <w:szCs w:val="18"/>
                    </w:rPr>
                    <w:t>-10</w:t>
                  </w:r>
                </w:p>
              </w:tc>
              <w:tc>
                <w:tcPr>
                  <w:tcW w:w="522" w:type="pct"/>
                  <w:vAlign w:val="center"/>
                </w:tcPr>
                <w:p w14:paraId="3B82E5A4">
                  <w:pPr>
                    <w:adjustRightInd w:val="0"/>
                    <w:snapToGrid w:val="0"/>
                    <w:jc w:val="center"/>
                    <w:outlineLvl w:val="0"/>
                    <w:rPr>
                      <w:sz w:val="18"/>
                      <w:szCs w:val="18"/>
                    </w:rPr>
                  </w:pPr>
                  <w:r>
                    <w:rPr>
                      <w:rFonts w:hint="eastAsia"/>
                      <w:sz w:val="18"/>
                      <w:szCs w:val="18"/>
                    </w:rPr>
                    <w:t>1.2</w:t>
                  </w:r>
                </w:p>
              </w:tc>
              <w:tc>
                <w:tcPr>
                  <w:tcW w:w="941" w:type="pct"/>
                  <w:vAlign w:val="center"/>
                </w:tcPr>
                <w:p w14:paraId="6739197E">
                  <w:pPr>
                    <w:adjustRightInd w:val="0"/>
                    <w:snapToGrid w:val="0"/>
                    <w:jc w:val="center"/>
                    <w:outlineLvl w:val="0"/>
                    <w:rPr>
                      <w:sz w:val="18"/>
                      <w:szCs w:val="18"/>
                    </w:rPr>
                  </w:pPr>
                  <w:r>
                    <w:rPr>
                      <w:rFonts w:hint="eastAsia"/>
                      <w:sz w:val="18"/>
                      <w:szCs w:val="18"/>
                    </w:rPr>
                    <w:t>75/1</w:t>
                  </w:r>
                </w:p>
              </w:tc>
              <w:tc>
                <w:tcPr>
                  <w:tcW w:w="647" w:type="pct"/>
                  <w:vMerge w:val="continue"/>
                  <w:vAlign w:val="center"/>
                </w:tcPr>
                <w:p w14:paraId="1AAD411B">
                  <w:pPr>
                    <w:adjustRightInd w:val="0"/>
                    <w:snapToGrid w:val="0"/>
                    <w:jc w:val="center"/>
                    <w:outlineLvl w:val="0"/>
                    <w:rPr>
                      <w:sz w:val="18"/>
                      <w:szCs w:val="18"/>
                    </w:rPr>
                  </w:pPr>
                </w:p>
              </w:tc>
              <w:tc>
                <w:tcPr>
                  <w:tcW w:w="465" w:type="pct"/>
                  <w:vAlign w:val="center"/>
                </w:tcPr>
                <w:p w14:paraId="3D8A1E2B">
                  <w:pPr>
                    <w:adjustRightInd w:val="0"/>
                    <w:snapToGrid w:val="0"/>
                    <w:jc w:val="center"/>
                    <w:outlineLvl w:val="0"/>
                    <w:rPr>
                      <w:spacing w:val="4"/>
                      <w:sz w:val="18"/>
                      <w:szCs w:val="18"/>
                    </w:rPr>
                  </w:pPr>
                  <w:r>
                    <w:rPr>
                      <w:rFonts w:hint="eastAsia"/>
                      <w:spacing w:val="4"/>
                      <w:sz w:val="18"/>
                      <w:szCs w:val="18"/>
                    </w:rPr>
                    <w:t>8h</w:t>
                  </w:r>
                </w:p>
              </w:tc>
            </w:tr>
          </w:tbl>
          <w:p w14:paraId="2FD380C0">
            <w:pPr>
              <w:tabs>
                <w:tab w:val="left" w:pos="3398"/>
              </w:tabs>
              <w:spacing w:line="360" w:lineRule="auto"/>
              <w:rPr>
                <w:szCs w:val="21"/>
              </w:rPr>
            </w:pPr>
            <w:r>
              <w:rPr>
                <w:rFonts w:hint="eastAsia"/>
                <w:szCs w:val="21"/>
              </w:rPr>
              <w:t>注：表中坐标以项目厂房中心（E</w:t>
            </w:r>
            <w:r>
              <w:rPr>
                <w:szCs w:val="21"/>
              </w:rPr>
              <w:t>115.123021381°</w:t>
            </w:r>
            <w:r>
              <w:rPr>
                <w:rFonts w:hint="eastAsia"/>
                <w:szCs w:val="21"/>
              </w:rPr>
              <w:t>，N</w:t>
            </w:r>
            <w:r>
              <w:rPr>
                <w:szCs w:val="21"/>
              </w:rPr>
              <w:t>35.848465146°</w:t>
            </w:r>
            <w:r>
              <w:rPr>
                <w:rFonts w:hint="eastAsia"/>
                <w:szCs w:val="21"/>
              </w:rPr>
              <w:t>）为坐标原点，正东向为X轴正方向，正北向为Y轴正方向。</w:t>
            </w:r>
          </w:p>
          <w:p w14:paraId="1686BE41">
            <w:pPr>
              <w:pStyle w:val="137"/>
              <w:numPr>
                <w:ilvl w:val="0"/>
                <w:numId w:val="7"/>
              </w:numPr>
              <w:adjustRightInd w:val="0"/>
              <w:snapToGrid w:val="0"/>
              <w:ind w:firstLineChars="0"/>
              <w:jc w:val="center"/>
              <w:rPr>
                <w:b/>
                <w:snapToGrid w:val="0"/>
                <w:kern w:val="0"/>
                <w:szCs w:val="21"/>
              </w:rPr>
            </w:pPr>
            <w:r>
              <w:rPr>
                <w:rFonts w:hint="eastAsia"/>
                <w:b/>
                <w:snapToGrid w:val="0"/>
                <w:kern w:val="0"/>
                <w:szCs w:val="21"/>
              </w:rPr>
              <w:t>工业企业噪声源强调查清单（室内声源）</w:t>
            </w:r>
          </w:p>
          <w:tbl>
            <w:tblPr>
              <w:tblStyle w:val="38"/>
              <w:tblW w:w="493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5"/>
              <w:gridCol w:w="687"/>
              <w:gridCol w:w="873"/>
              <w:gridCol w:w="423"/>
              <w:gridCol w:w="1417"/>
              <w:gridCol w:w="871"/>
              <w:gridCol w:w="547"/>
              <w:gridCol w:w="709"/>
              <w:gridCol w:w="568"/>
              <w:gridCol w:w="709"/>
              <w:gridCol w:w="709"/>
              <w:gridCol w:w="992"/>
              <w:gridCol w:w="709"/>
              <w:gridCol w:w="854"/>
              <w:gridCol w:w="883"/>
              <w:gridCol w:w="718"/>
            </w:tblGrid>
            <w:tr w14:paraId="69691D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76" w:type="pct"/>
                  <w:vMerge w:val="restart"/>
                  <w:textDirection w:val="tbRlV"/>
                  <w:vAlign w:val="center"/>
                </w:tcPr>
                <w:p w14:paraId="38F66DFA">
                  <w:pPr>
                    <w:adjustRightInd w:val="0"/>
                    <w:snapToGrid w:val="0"/>
                    <w:jc w:val="center"/>
                    <w:outlineLvl w:val="0"/>
                    <w:rPr>
                      <w:b/>
                      <w:bCs/>
                      <w:spacing w:val="6"/>
                      <w:sz w:val="18"/>
                      <w:szCs w:val="18"/>
                    </w:rPr>
                  </w:pPr>
                  <w:bookmarkStart w:id="30" w:name="_Toc157673430"/>
                  <w:r>
                    <w:rPr>
                      <w:rFonts w:hint="eastAsia"/>
                      <w:b/>
                      <w:bCs/>
                      <w:spacing w:val="6"/>
                      <w:sz w:val="18"/>
                      <w:szCs w:val="18"/>
                    </w:rPr>
                    <w:t>序号</w:t>
                  </w:r>
                  <w:bookmarkEnd w:id="30"/>
                </w:p>
              </w:tc>
              <w:tc>
                <w:tcPr>
                  <w:tcW w:w="284" w:type="pct"/>
                  <w:vMerge w:val="restart"/>
                  <w:vAlign w:val="center"/>
                </w:tcPr>
                <w:p w14:paraId="4DBEA671">
                  <w:pPr>
                    <w:adjustRightInd w:val="0"/>
                    <w:snapToGrid w:val="0"/>
                    <w:jc w:val="center"/>
                    <w:outlineLvl w:val="0"/>
                    <w:rPr>
                      <w:b/>
                      <w:bCs/>
                      <w:spacing w:val="6"/>
                      <w:sz w:val="18"/>
                      <w:szCs w:val="18"/>
                      <w:lang w:eastAsia="en-US"/>
                    </w:rPr>
                  </w:pPr>
                  <w:bookmarkStart w:id="31" w:name="_Toc157673431"/>
                  <w:r>
                    <w:rPr>
                      <w:b/>
                      <w:bCs/>
                      <w:spacing w:val="6"/>
                      <w:sz w:val="18"/>
                      <w:szCs w:val="18"/>
                      <w:lang w:eastAsia="en-US"/>
                    </w:rPr>
                    <w:t>建筑</w:t>
                  </w:r>
                  <w:bookmarkEnd w:id="31"/>
                  <w:bookmarkStart w:id="32" w:name="_Toc157673432"/>
                  <w:r>
                    <w:rPr>
                      <w:b/>
                      <w:bCs/>
                      <w:spacing w:val="6"/>
                      <w:sz w:val="18"/>
                      <w:szCs w:val="18"/>
                      <w:lang w:eastAsia="en-US"/>
                    </w:rPr>
                    <w:t>物名</w:t>
                  </w:r>
                  <w:bookmarkEnd w:id="32"/>
                  <w:bookmarkStart w:id="33" w:name="_Toc157673433"/>
                  <w:r>
                    <w:rPr>
                      <w:b/>
                      <w:bCs/>
                      <w:spacing w:val="6"/>
                      <w:sz w:val="18"/>
                      <w:szCs w:val="18"/>
                      <w:lang w:eastAsia="en-US"/>
                    </w:rPr>
                    <w:t>称</w:t>
                  </w:r>
                  <w:bookmarkEnd w:id="33"/>
                </w:p>
              </w:tc>
              <w:tc>
                <w:tcPr>
                  <w:tcW w:w="361" w:type="pct"/>
                  <w:vMerge w:val="restart"/>
                  <w:vAlign w:val="center"/>
                </w:tcPr>
                <w:p w14:paraId="70B28513">
                  <w:pPr>
                    <w:adjustRightInd w:val="0"/>
                    <w:snapToGrid w:val="0"/>
                    <w:jc w:val="center"/>
                    <w:outlineLvl w:val="0"/>
                    <w:rPr>
                      <w:b/>
                      <w:bCs/>
                      <w:spacing w:val="6"/>
                      <w:sz w:val="18"/>
                      <w:szCs w:val="18"/>
                      <w:lang w:eastAsia="en-US"/>
                    </w:rPr>
                  </w:pPr>
                  <w:bookmarkStart w:id="34" w:name="_Toc157673434"/>
                  <w:r>
                    <w:rPr>
                      <w:b/>
                      <w:bCs/>
                      <w:spacing w:val="6"/>
                      <w:sz w:val="18"/>
                      <w:szCs w:val="18"/>
                      <w:lang w:eastAsia="en-US"/>
                    </w:rPr>
                    <w:t>声源名称</w:t>
                  </w:r>
                  <w:bookmarkEnd w:id="34"/>
                </w:p>
              </w:tc>
              <w:tc>
                <w:tcPr>
                  <w:tcW w:w="175" w:type="pct"/>
                  <w:vMerge w:val="restart"/>
                  <w:textDirection w:val="tbRlV"/>
                  <w:vAlign w:val="center"/>
                </w:tcPr>
                <w:p w14:paraId="490D3318">
                  <w:pPr>
                    <w:adjustRightInd w:val="0"/>
                    <w:snapToGrid w:val="0"/>
                    <w:jc w:val="center"/>
                    <w:outlineLvl w:val="0"/>
                    <w:rPr>
                      <w:b/>
                      <w:bCs/>
                      <w:spacing w:val="6"/>
                      <w:sz w:val="18"/>
                      <w:szCs w:val="18"/>
                      <w:lang w:eastAsia="en-US"/>
                    </w:rPr>
                  </w:pPr>
                  <w:bookmarkStart w:id="35" w:name="_Toc157673435"/>
                  <w:r>
                    <w:rPr>
                      <w:rFonts w:hint="eastAsia"/>
                      <w:b/>
                      <w:bCs/>
                      <w:spacing w:val="6"/>
                      <w:sz w:val="18"/>
                      <w:szCs w:val="18"/>
                      <w:lang w:eastAsia="en-US"/>
                    </w:rPr>
                    <w:t>型号</w:t>
                  </w:r>
                  <w:bookmarkEnd w:id="35"/>
                </w:p>
              </w:tc>
              <w:tc>
                <w:tcPr>
                  <w:tcW w:w="586" w:type="pct"/>
                  <w:vAlign w:val="center"/>
                </w:tcPr>
                <w:p w14:paraId="056ADFB5">
                  <w:pPr>
                    <w:adjustRightInd w:val="0"/>
                    <w:snapToGrid w:val="0"/>
                    <w:jc w:val="center"/>
                    <w:outlineLvl w:val="0"/>
                    <w:rPr>
                      <w:b/>
                      <w:bCs/>
                      <w:spacing w:val="6"/>
                      <w:sz w:val="18"/>
                      <w:szCs w:val="18"/>
                      <w:lang w:eastAsia="en-US"/>
                    </w:rPr>
                  </w:pPr>
                  <w:bookmarkStart w:id="36" w:name="_Toc157673436"/>
                  <w:r>
                    <w:rPr>
                      <w:b/>
                      <w:bCs/>
                      <w:spacing w:val="6"/>
                      <w:sz w:val="18"/>
                      <w:szCs w:val="18"/>
                      <w:lang w:eastAsia="en-US"/>
                    </w:rPr>
                    <w:t>声源源强</w:t>
                  </w:r>
                  <w:bookmarkEnd w:id="36"/>
                </w:p>
              </w:tc>
              <w:tc>
                <w:tcPr>
                  <w:tcW w:w="360" w:type="pct"/>
                  <w:vMerge w:val="restart"/>
                  <w:vAlign w:val="center"/>
                </w:tcPr>
                <w:p w14:paraId="3F956729">
                  <w:pPr>
                    <w:adjustRightInd w:val="0"/>
                    <w:snapToGrid w:val="0"/>
                    <w:jc w:val="center"/>
                    <w:outlineLvl w:val="0"/>
                    <w:rPr>
                      <w:b/>
                      <w:bCs/>
                      <w:spacing w:val="6"/>
                      <w:sz w:val="18"/>
                      <w:szCs w:val="18"/>
                      <w:lang w:eastAsia="en-US"/>
                    </w:rPr>
                  </w:pPr>
                  <w:bookmarkStart w:id="37" w:name="_Toc157673437"/>
                  <w:r>
                    <w:rPr>
                      <w:b/>
                      <w:bCs/>
                      <w:spacing w:val="6"/>
                      <w:sz w:val="18"/>
                      <w:szCs w:val="18"/>
                      <w:lang w:eastAsia="en-US"/>
                    </w:rPr>
                    <w:t>声源控</w:t>
                  </w:r>
                  <w:bookmarkEnd w:id="37"/>
                </w:p>
                <w:p w14:paraId="7C59EAA0">
                  <w:pPr>
                    <w:adjustRightInd w:val="0"/>
                    <w:snapToGrid w:val="0"/>
                    <w:jc w:val="center"/>
                    <w:outlineLvl w:val="0"/>
                    <w:rPr>
                      <w:b/>
                      <w:bCs/>
                      <w:spacing w:val="6"/>
                      <w:sz w:val="18"/>
                      <w:szCs w:val="18"/>
                      <w:lang w:eastAsia="en-US"/>
                    </w:rPr>
                  </w:pPr>
                  <w:bookmarkStart w:id="38" w:name="_Toc157673438"/>
                  <w:r>
                    <w:rPr>
                      <w:b/>
                      <w:bCs/>
                      <w:spacing w:val="6"/>
                      <w:sz w:val="18"/>
                      <w:szCs w:val="18"/>
                      <w:lang w:eastAsia="en-US"/>
                    </w:rPr>
                    <w:t>制措施</w:t>
                  </w:r>
                  <w:bookmarkEnd w:id="38"/>
                </w:p>
              </w:tc>
              <w:tc>
                <w:tcPr>
                  <w:tcW w:w="754" w:type="pct"/>
                  <w:gridSpan w:val="3"/>
                  <w:vAlign w:val="center"/>
                </w:tcPr>
                <w:p w14:paraId="2715AFF6">
                  <w:pPr>
                    <w:adjustRightInd w:val="0"/>
                    <w:snapToGrid w:val="0"/>
                    <w:jc w:val="center"/>
                    <w:outlineLvl w:val="0"/>
                    <w:rPr>
                      <w:b/>
                      <w:bCs/>
                      <w:spacing w:val="6"/>
                      <w:sz w:val="18"/>
                      <w:szCs w:val="18"/>
                    </w:rPr>
                  </w:pPr>
                  <w:bookmarkStart w:id="39" w:name="_Toc157673439"/>
                  <w:r>
                    <w:rPr>
                      <w:b/>
                      <w:bCs/>
                      <w:spacing w:val="6"/>
                      <w:sz w:val="18"/>
                      <w:szCs w:val="18"/>
                      <w:lang w:eastAsia="en-US"/>
                    </w:rPr>
                    <w:t>空间相对位置</w:t>
                  </w:r>
                  <w:r>
                    <w:rPr>
                      <w:rFonts w:hint="eastAsia"/>
                      <w:b/>
                      <w:bCs/>
                      <w:spacing w:val="6"/>
                      <w:sz w:val="18"/>
                      <w:szCs w:val="18"/>
                    </w:rPr>
                    <w:t>/m</w:t>
                  </w:r>
                  <w:bookmarkEnd w:id="39"/>
                </w:p>
              </w:tc>
              <w:tc>
                <w:tcPr>
                  <w:tcW w:w="586" w:type="pct"/>
                  <w:gridSpan w:val="2"/>
                  <w:vMerge w:val="restart"/>
                  <w:vAlign w:val="center"/>
                </w:tcPr>
                <w:p w14:paraId="251F9E2F">
                  <w:pPr>
                    <w:adjustRightInd w:val="0"/>
                    <w:snapToGrid w:val="0"/>
                    <w:jc w:val="center"/>
                    <w:outlineLvl w:val="0"/>
                    <w:rPr>
                      <w:b/>
                      <w:bCs/>
                      <w:spacing w:val="6"/>
                      <w:sz w:val="18"/>
                      <w:szCs w:val="18"/>
                    </w:rPr>
                  </w:pPr>
                  <w:bookmarkStart w:id="40" w:name="_Toc157673440"/>
                  <w:r>
                    <w:rPr>
                      <w:b/>
                      <w:bCs/>
                      <w:spacing w:val="6"/>
                      <w:sz w:val="18"/>
                      <w:szCs w:val="18"/>
                    </w:rPr>
                    <w:t>距室内边</w:t>
                  </w:r>
                  <w:bookmarkEnd w:id="40"/>
                  <w:bookmarkStart w:id="41" w:name="_Toc157673441"/>
                  <w:r>
                    <w:rPr>
                      <w:b/>
                      <w:bCs/>
                      <w:spacing w:val="6"/>
                      <w:sz w:val="18"/>
                      <w:szCs w:val="18"/>
                    </w:rPr>
                    <w:t>界距离</w:t>
                  </w:r>
                  <w:r>
                    <w:rPr>
                      <w:rFonts w:hint="eastAsia"/>
                      <w:b/>
                      <w:bCs/>
                      <w:spacing w:val="6"/>
                      <w:sz w:val="18"/>
                      <w:szCs w:val="18"/>
                    </w:rPr>
                    <w:t>/m</w:t>
                  </w:r>
                  <w:bookmarkEnd w:id="41"/>
                </w:p>
              </w:tc>
              <w:tc>
                <w:tcPr>
                  <w:tcW w:w="410" w:type="pct"/>
                  <w:vMerge w:val="restart"/>
                  <w:vAlign w:val="center"/>
                </w:tcPr>
                <w:p w14:paraId="59ACA518">
                  <w:pPr>
                    <w:adjustRightInd w:val="0"/>
                    <w:snapToGrid w:val="0"/>
                    <w:jc w:val="center"/>
                    <w:outlineLvl w:val="0"/>
                    <w:rPr>
                      <w:b/>
                      <w:bCs/>
                      <w:spacing w:val="6"/>
                      <w:sz w:val="18"/>
                      <w:szCs w:val="18"/>
                    </w:rPr>
                  </w:pPr>
                  <w:bookmarkStart w:id="42" w:name="_Toc157673442"/>
                  <w:r>
                    <w:rPr>
                      <w:b/>
                      <w:bCs/>
                      <w:spacing w:val="6"/>
                      <w:sz w:val="18"/>
                      <w:szCs w:val="18"/>
                    </w:rPr>
                    <w:t>室内边界声级</w:t>
                  </w:r>
                  <w:r>
                    <w:rPr>
                      <w:rFonts w:hint="eastAsia"/>
                      <w:b/>
                      <w:bCs/>
                      <w:spacing w:val="6"/>
                      <w:sz w:val="18"/>
                      <w:szCs w:val="18"/>
                    </w:rPr>
                    <w:t>/dB（A）</w:t>
                  </w:r>
                  <w:bookmarkEnd w:id="42"/>
                </w:p>
              </w:tc>
              <w:tc>
                <w:tcPr>
                  <w:tcW w:w="293" w:type="pct"/>
                  <w:vMerge w:val="restart"/>
                  <w:vAlign w:val="center"/>
                </w:tcPr>
                <w:p w14:paraId="136D7343">
                  <w:pPr>
                    <w:adjustRightInd w:val="0"/>
                    <w:snapToGrid w:val="0"/>
                    <w:jc w:val="center"/>
                    <w:outlineLvl w:val="0"/>
                    <w:rPr>
                      <w:b/>
                      <w:bCs/>
                      <w:spacing w:val="6"/>
                      <w:sz w:val="18"/>
                      <w:szCs w:val="18"/>
                      <w:lang w:eastAsia="en-US"/>
                    </w:rPr>
                  </w:pPr>
                  <w:bookmarkStart w:id="43" w:name="_Toc157673443"/>
                  <w:r>
                    <w:rPr>
                      <w:b/>
                      <w:bCs/>
                      <w:spacing w:val="6"/>
                      <w:sz w:val="18"/>
                      <w:szCs w:val="18"/>
                      <w:lang w:eastAsia="en-US"/>
                    </w:rPr>
                    <w:t>运行时段</w:t>
                  </w:r>
                  <w:bookmarkEnd w:id="43"/>
                </w:p>
              </w:tc>
              <w:tc>
                <w:tcPr>
                  <w:tcW w:w="353" w:type="pct"/>
                  <w:vMerge w:val="restart"/>
                  <w:vAlign w:val="center"/>
                </w:tcPr>
                <w:p w14:paraId="306F7E6F">
                  <w:pPr>
                    <w:adjustRightInd w:val="0"/>
                    <w:snapToGrid w:val="0"/>
                    <w:jc w:val="center"/>
                    <w:outlineLvl w:val="0"/>
                    <w:rPr>
                      <w:b/>
                      <w:bCs/>
                      <w:spacing w:val="6"/>
                      <w:sz w:val="18"/>
                      <w:szCs w:val="18"/>
                    </w:rPr>
                  </w:pPr>
                  <w:bookmarkStart w:id="44" w:name="_Toc157673444"/>
                  <w:r>
                    <w:rPr>
                      <w:b/>
                      <w:bCs/>
                      <w:spacing w:val="6"/>
                      <w:sz w:val="18"/>
                      <w:szCs w:val="18"/>
                    </w:rPr>
                    <w:t>建筑物插入损失</w:t>
                  </w:r>
                  <w:r>
                    <w:rPr>
                      <w:rFonts w:hint="eastAsia"/>
                      <w:b/>
                      <w:bCs/>
                      <w:spacing w:val="6"/>
                      <w:sz w:val="18"/>
                      <w:szCs w:val="18"/>
                    </w:rPr>
                    <w:t>/ dB（A）</w:t>
                  </w:r>
                  <w:bookmarkEnd w:id="44"/>
                </w:p>
              </w:tc>
              <w:tc>
                <w:tcPr>
                  <w:tcW w:w="662" w:type="pct"/>
                  <w:gridSpan w:val="2"/>
                  <w:vAlign w:val="center"/>
                </w:tcPr>
                <w:p w14:paraId="6590E50F">
                  <w:pPr>
                    <w:adjustRightInd w:val="0"/>
                    <w:snapToGrid w:val="0"/>
                    <w:jc w:val="center"/>
                    <w:outlineLvl w:val="0"/>
                    <w:rPr>
                      <w:b/>
                      <w:bCs/>
                      <w:spacing w:val="6"/>
                      <w:sz w:val="18"/>
                      <w:szCs w:val="18"/>
                      <w:lang w:eastAsia="en-US"/>
                    </w:rPr>
                  </w:pPr>
                  <w:bookmarkStart w:id="45" w:name="_Toc157673445"/>
                  <w:r>
                    <w:rPr>
                      <w:b/>
                      <w:bCs/>
                      <w:spacing w:val="6"/>
                      <w:sz w:val="18"/>
                      <w:szCs w:val="18"/>
                      <w:lang w:eastAsia="en-US"/>
                    </w:rPr>
                    <w:t>建筑物外噪声</w:t>
                  </w:r>
                  <w:bookmarkEnd w:id="45"/>
                </w:p>
              </w:tc>
            </w:tr>
            <w:tr w14:paraId="7EFD98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176" w:type="pct"/>
                  <w:vMerge w:val="continue"/>
                  <w:textDirection w:val="tbRlV"/>
                  <w:vAlign w:val="center"/>
                </w:tcPr>
                <w:p w14:paraId="39D185EF">
                  <w:pPr>
                    <w:adjustRightInd w:val="0"/>
                    <w:snapToGrid w:val="0"/>
                    <w:jc w:val="center"/>
                    <w:outlineLvl w:val="0"/>
                    <w:rPr>
                      <w:b/>
                      <w:bCs/>
                      <w:spacing w:val="6"/>
                      <w:sz w:val="18"/>
                      <w:szCs w:val="18"/>
                      <w:lang w:eastAsia="en-US"/>
                    </w:rPr>
                  </w:pPr>
                </w:p>
              </w:tc>
              <w:tc>
                <w:tcPr>
                  <w:tcW w:w="284" w:type="pct"/>
                  <w:vMerge w:val="continue"/>
                  <w:vAlign w:val="center"/>
                </w:tcPr>
                <w:p w14:paraId="41801DAF">
                  <w:pPr>
                    <w:adjustRightInd w:val="0"/>
                    <w:snapToGrid w:val="0"/>
                    <w:jc w:val="center"/>
                    <w:outlineLvl w:val="0"/>
                    <w:rPr>
                      <w:b/>
                      <w:bCs/>
                      <w:spacing w:val="6"/>
                      <w:sz w:val="18"/>
                      <w:szCs w:val="18"/>
                      <w:lang w:eastAsia="en-US"/>
                    </w:rPr>
                  </w:pPr>
                </w:p>
              </w:tc>
              <w:tc>
                <w:tcPr>
                  <w:tcW w:w="361" w:type="pct"/>
                  <w:vMerge w:val="continue"/>
                  <w:vAlign w:val="center"/>
                </w:tcPr>
                <w:p w14:paraId="395BC822">
                  <w:pPr>
                    <w:adjustRightInd w:val="0"/>
                    <w:snapToGrid w:val="0"/>
                    <w:jc w:val="center"/>
                    <w:outlineLvl w:val="0"/>
                    <w:rPr>
                      <w:b/>
                      <w:bCs/>
                      <w:spacing w:val="6"/>
                      <w:sz w:val="18"/>
                      <w:szCs w:val="18"/>
                      <w:lang w:eastAsia="en-US"/>
                    </w:rPr>
                  </w:pPr>
                </w:p>
              </w:tc>
              <w:tc>
                <w:tcPr>
                  <w:tcW w:w="175" w:type="pct"/>
                  <w:vMerge w:val="continue"/>
                  <w:textDirection w:val="tbRlV"/>
                  <w:vAlign w:val="center"/>
                </w:tcPr>
                <w:p w14:paraId="5568B6D4">
                  <w:pPr>
                    <w:adjustRightInd w:val="0"/>
                    <w:snapToGrid w:val="0"/>
                    <w:jc w:val="center"/>
                    <w:outlineLvl w:val="0"/>
                    <w:rPr>
                      <w:b/>
                      <w:bCs/>
                      <w:spacing w:val="6"/>
                      <w:sz w:val="18"/>
                      <w:szCs w:val="18"/>
                      <w:lang w:eastAsia="en-US"/>
                    </w:rPr>
                  </w:pPr>
                </w:p>
              </w:tc>
              <w:tc>
                <w:tcPr>
                  <w:tcW w:w="586" w:type="pct"/>
                  <w:vAlign w:val="center"/>
                </w:tcPr>
                <w:p w14:paraId="5B8C4D5A">
                  <w:pPr>
                    <w:adjustRightInd w:val="0"/>
                    <w:snapToGrid w:val="0"/>
                    <w:jc w:val="center"/>
                    <w:outlineLvl w:val="0"/>
                    <w:rPr>
                      <w:b/>
                      <w:bCs/>
                      <w:spacing w:val="6"/>
                      <w:sz w:val="18"/>
                      <w:szCs w:val="18"/>
                    </w:rPr>
                  </w:pPr>
                  <w:bookmarkStart w:id="46" w:name="_Toc157673446"/>
                  <w:r>
                    <w:rPr>
                      <w:rFonts w:hint="eastAsia"/>
                      <w:b/>
                      <w:bCs/>
                      <w:spacing w:val="6"/>
                      <w:sz w:val="18"/>
                      <w:szCs w:val="18"/>
                    </w:rPr>
                    <w:t>(声压级/距声源距离)/（dB（A）/m）</w:t>
                  </w:r>
                  <w:bookmarkEnd w:id="46"/>
                </w:p>
              </w:tc>
              <w:tc>
                <w:tcPr>
                  <w:tcW w:w="360" w:type="pct"/>
                  <w:vMerge w:val="continue"/>
                  <w:vAlign w:val="center"/>
                </w:tcPr>
                <w:p w14:paraId="3B3B1D1C">
                  <w:pPr>
                    <w:adjustRightInd w:val="0"/>
                    <w:snapToGrid w:val="0"/>
                    <w:jc w:val="center"/>
                    <w:outlineLvl w:val="0"/>
                    <w:rPr>
                      <w:b/>
                      <w:bCs/>
                      <w:spacing w:val="6"/>
                      <w:sz w:val="18"/>
                      <w:szCs w:val="18"/>
                    </w:rPr>
                  </w:pPr>
                </w:p>
              </w:tc>
              <w:tc>
                <w:tcPr>
                  <w:tcW w:w="226" w:type="pct"/>
                  <w:vAlign w:val="center"/>
                </w:tcPr>
                <w:p w14:paraId="06F330ED">
                  <w:pPr>
                    <w:adjustRightInd w:val="0"/>
                    <w:snapToGrid w:val="0"/>
                    <w:jc w:val="center"/>
                    <w:outlineLvl w:val="0"/>
                    <w:rPr>
                      <w:b/>
                      <w:bCs/>
                      <w:spacing w:val="6"/>
                      <w:sz w:val="18"/>
                      <w:szCs w:val="18"/>
                    </w:rPr>
                  </w:pPr>
                  <w:bookmarkStart w:id="47" w:name="_Toc157673447"/>
                  <w:r>
                    <w:rPr>
                      <w:b/>
                      <w:bCs/>
                      <w:spacing w:val="6"/>
                      <w:sz w:val="18"/>
                      <w:szCs w:val="18"/>
                    </w:rPr>
                    <w:t>X</w:t>
                  </w:r>
                  <w:bookmarkEnd w:id="47"/>
                </w:p>
              </w:tc>
              <w:tc>
                <w:tcPr>
                  <w:tcW w:w="293" w:type="pct"/>
                  <w:vAlign w:val="center"/>
                </w:tcPr>
                <w:p w14:paraId="18F963FA">
                  <w:pPr>
                    <w:adjustRightInd w:val="0"/>
                    <w:snapToGrid w:val="0"/>
                    <w:jc w:val="center"/>
                    <w:outlineLvl w:val="0"/>
                    <w:rPr>
                      <w:b/>
                      <w:bCs/>
                      <w:spacing w:val="6"/>
                      <w:sz w:val="18"/>
                      <w:szCs w:val="18"/>
                    </w:rPr>
                  </w:pPr>
                  <w:bookmarkStart w:id="48" w:name="_Toc157673448"/>
                  <w:r>
                    <w:rPr>
                      <w:b/>
                      <w:bCs/>
                      <w:spacing w:val="6"/>
                      <w:sz w:val="18"/>
                      <w:szCs w:val="18"/>
                    </w:rPr>
                    <w:t>Y</w:t>
                  </w:r>
                  <w:bookmarkEnd w:id="48"/>
                </w:p>
              </w:tc>
              <w:tc>
                <w:tcPr>
                  <w:tcW w:w="235" w:type="pct"/>
                  <w:vAlign w:val="center"/>
                </w:tcPr>
                <w:p w14:paraId="5D8AE7F2">
                  <w:pPr>
                    <w:adjustRightInd w:val="0"/>
                    <w:snapToGrid w:val="0"/>
                    <w:jc w:val="center"/>
                    <w:outlineLvl w:val="0"/>
                    <w:rPr>
                      <w:b/>
                      <w:bCs/>
                      <w:spacing w:val="6"/>
                      <w:sz w:val="18"/>
                      <w:szCs w:val="18"/>
                    </w:rPr>
                  </w:pPr>
                  <w:bookmarkStart w:id="49" w:name="_Toc157673449"/>
                  <w:r>
                    <w:rPr>
                      <w:b/>
                      <w:bCs/>
                      <w:spacing w:val="6"/>
                      <w:sz w:val="18"/>
                      <w:szCs w:val="18"/>
                    </w:rPr>
                    <w:t>Z</w:t>
                  </w:r>
                  <w:bookmarkEnd w:id="49"/>
                </w:p>
              </w:tc>
              <w:tc>
                <w:tcPr>
                  <w:tcW w:w="586" w:type="pct"/>
                  <w:gridSpan w:val="2"/>
                  <w:vMerge w:val="continue"/>
                  <w:vAlign w:val="center"/>
                </w:tcPr>
                <w:p w14:paraId="47F933FB">
                  <w:pPr>
                    <w:adjustRightInd w:val="0"/>
                    <w:snapToGrid w:val="0"/>
                    <w:jc w:val="center"/>
                    <w:outlineLvl w:val="0"/>
                    <w:rPr>
                      <w:b/>
                      <w:bCs/>
                      <w:spacing w:val="6"/>
                      <w:sz w:val="18"/>
                      <w:szCs w:val="18"/>
                    </w:rPr>
                  </w:pPr>
                </w:p>
              </w:tc>
              <w:tc>
                <w:tcPr>
                  <w:tcW w:w="410" w:type="pct"/>
                  <w:vMerge w:val="continue"/>
                  <w:vAlign w:val="center"/>
                </w:tcPr>
                <w:p w14:paraId="163C41AD">
                  <w:pPr>
                    <w:adjustRightInd w:val="0"/>
                    <w:snapToGrid w:val="0"/>
                    <w:jc w:val="center"/>
                    <w:outlineLvl w:val="0"/>
                    <w:rPr>
                      <w:b/>
                      <w:bCs/>
                      <w:spacing w:val="6"/>
                      <w:sz w:val="18"/>
                      <w:szCs w:val="18"/>
                    </w:rPr>
                  </w:pPr>
                </w:p>
              </w:tc>
              <w:tc>
                <w:tcPr>
                  <w:tcW w:w="293" w:type="pct"/>
                  <w:vMerge w:val="continue"/>
                  <w:vAlign w:val="center"/>
                </w:tcPr>
                <w:p w14:paraId="1D4C10E0">
                  <w:pPr>
                    <w:adjustRightInd w:val="0"/>
                    <w:snapToGrid w:val="0"/>
                    <w:jc w:val="center"/>
                    <w:outlineLvl w:val="0"/>
                    <w:rPr>
                      <w:b/>
                      <w:bCs/>
                      <w:spacing w:val="6"/>
                      <w:sz w:val="18"/>
                      <w:szCs w:val="18"/>
                    </w:rPr>
                  </w:pPr>
                </w:p>
              </w:tc>
              <w:tc>
                <w:tcPr>
                  <w:tcW w:w="353" w:type="pct"/>
                  <w:vMerge w:val="continue"/>
                  <w:vAlign w:val="center"/>
                </w:tcPr>
                <w:p w14:paraId="73F61915">
                  <w:pPr>
                    <w:adjustRightInd w:val="0"/>
                    <w:snapToGrid w:val="0"/>
                    <w:jc w:val="center"/>
                    <w:outlineLvl w:val="0"/>
                    <w:rPr>
                      <w:b/>
                      <w:bCs/>
                      <w:spacing w:val="6"/>
                      <w:sz w:val="18"/>
                      <w:szCs w:val="18"/>
                    </w:rPr>
                  </w:pPr>
                </w:p>
              </w:tc>
              <w:tc>
                <w:tcPr>
                  <w:tcW w:w="365" w:type="pct"/>
                  <w:vAlign w:val="center"/>
                </w:tcPr>
                <w:p w14:paraId="368D0E5C">
                  <w:pPr>
                    <w:adjustRightInd w:val="0"/>
                    <w:snapToGrid w:val="0"/>
                    <w:jc w:val="center"/>
                    <w:outlineLvl w:val="0"/>
                    <w:rPr>
                      <w:b/>
                      <w:bCs/>
                      <w:spacing w:val="6"/>
                      <w:sz w:val="18"/>
                      <w:szCs w:val="18"/>
                    </w:rPr>
                  </w:pPr>
                  <w:bookmarkStart w:id="50" w:name="_Toc157673450"/>
                  <w:r>
                    <w:rPr>
                      <w:b/>
                      <w:bCs/>
                      <w:spacing w:val="6"/>
                      <w:sz w:val="18"/>
                      <w:szCs w:val="18"/>
                    </w:rPr>
                    <w:t>声压级</w:t>
                  </w:r>
                  <w:r>
                    <w:rPr>
                      <w:rFonts w:hint="eastAsia"/>
                      <w:b/>
                      <w:bCs/>
                      <w:spacing w:val="6"/>
                      <w:sz w:val="18"/>
                      <w:szCs w:val="18"/>
                    </w:rPr>
                    <w:t>/ dB（A）</w:t>
                  </w:r>
                  <w:bookmarkEnd w:id="50"/>
                </w:p>
              </w:tc>
              <w:tc>
                <w:tcPr>
                  <w:tcW w:w="297" w:type="pct"/>
                  <w:vAlign w:val="center"/>
                </w:tcPr>
                <w:p w14:paraId="13E08343">
                  <w:pPr>
                    <w:adjustRightInd w:val="0"/>
                    <w:snapToGrid w:val="0"/>
                    <w:jc w:val="center"/>
                    <w:outlineLvl w:val="0"/>
                    <w:rPr>
                      <w:b/>
                      <w:bCs/>
                      <w:spacing w:val="6"/>
                      <w:sz w:val="18"/>
                      <w:szCs w:val="18"/>
                    </w:rPr>
                  </w:pPr>
                  <w:bookmarkStart w:id="51" w:name="_Toc157673451"/>
                  <w:r>
                    <w:rPr>
                      <w:b/>
                      <w:bCs/>
                      <w:spacing w:val="6"/>
                      <w:sz w:val="18"/>
                      <w:szCs w:val="18"/>
                    </w:rPr>
                    <w:t>建筑物外距离</w:t>
                  </w:r>
                  <w:bookmarkEnd w:id="51"/>
                </w:p>
              </w:tc>
            </w:tr>
            <w:tr w14:paraId="70AF19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176" w:type="pct"/>
                  <w:vMerge w:val="restart"/>
                  <w:vAlign w:val="center"/>
                </w:tcPr>
                <w:p w14:paraId="5FE47EFD">
                  <w:pPr>
                    <w:jc w:val="center"/>
                    <w:rPr>
                      <w:spacing w:val="6"/>
                      <w:sz w:val="18"/>
                      <w:szCs w:val="18"/>
                    </w:rPr>
                  </w:pPr>
                  <w:r>
                    <w:rPr>
                      <w:sz w:val="18"/>
                      <w:szCs w:val="18"/>
                    </w:rPr>
                    <w:t>1</w:t>
                  </w:r>
                </w:p>
              </w:tc>
              <w:tc>
                <w:tcPr>
                  <w:tcW w:w="284" w:type="pct"/>
                  <w:vMerge w:val="restart"/>
                  <w:vAlign w:val="center"/>
                </w:tcPr>
                <w:p w14:paraId="67508307">
                  <w:pPr>
                    <w:jc w:val="center"/>
                    <w:rPr>
                      <w:spacing w:val="6"/>
                      <w:sz w:val="18"/>
                      <w:szCs w:val="18"/>
                    </w:rPr>
                  </w:pPr>
                  <w:r>
                    <w:rPr>
                      <w:rFonts w:hint="eastAsia"/>
                      <w:spacing w:val="6"/>
                      <w:sz w:val="18"/>
                      <w:szCs w:val="18"/>
                    </w:rPr>
                    <w:t>生产</w:t>
                  </w:r>
                  <w:r>
                    <w:rPr>
                      <w:spacing w:val="6"/>
                      <w:sz w:val="18"/>
                      <w:szCs w:val="18"/>
                    </w:rPr>
                    <w:t>厂房</w:t>
                  </w:r>
                </w:p>
              </w:tc>
              <w:tc>
                <w:tcPr>
                  <w:tcW w:w="361" w:type="pct"/>
                  <w:vMerge w:val="restart"/>
                  <w:vAlign w:val="center"/>
                </w:tcPr>
                <w:p w14:paraId="7A1EEFAD">
                  <w:pPr>
                    <w:jc w:val="center"/>
                    <w:rPr>
                      <w:spacing w:val="6"/>
                      <w:sz w:val="18"/>
                      <w:szCs w:val="18"/>
                    </w:rPr>
                  </w:pPr>
                  <w:r>
                    <w:rPr>
                      <w:spacing w:val="6"/>
                      <w:sz w:val="18"/>
                      <w:szCs w:val="18"/>
                    </w:rPr>
                    <w:t>切割机</w:t>
                  </w:r>
                </w:p>
              </w:tc>
              <w:tc>
                <w:tcPr>
                  <w:tcW w:w="175" w:type="pct"/>
                  <w:vMerge w:val="restart"/>
                  <w:vAlign w:val="center"/>
                </w:tcPr>
                <w:p w14:paraId="38727427">
                  <w:pPr>
                    <w:jc w:val="center"/>
                    <w:rPr>
                      <w:spacing w:val="6"/>
                      <w:sz w:val="18"/>
                      <w:szCs w:val="18"/>
                    </w:rPr>
                  </w:pPr>
                  <w:r>
                    <w:rPr>
                      <w:rFonts w:hint="eastAsia"/>
                      <w:sz w:val="18"/>
                      <w:szCs w:val="18"/>
                    </w:rPr>
                    <w:t>/</w:t>
                  </w:r>
                </w:p>
              </w:tc>
              <w:tc>
                <w:tcPr>
                  <w:tcW w:w="586" w:type="pct"/>
                  <w:vMerge w:val="restart"/>
                  <w:vAlign w:val="center"/>
                </w:tcPr>
                <w:p w14:paraId="6DCEF06D">
                  <w:pPr>
                    <w:jc w:val="center"/>
                    <w:rPr>
                      <w:spacing w:val="6"/>
                      <w:sz w:val="18"/>
                      <w:szCs w:val="18"/>
                    </w:rPr>
                  </w:pPr>
                  <w:r>
                    <w:rPr>
                      <w:rFonts w:hint="eastAsia"/>
                      <w:spacing w:val="6"/>
                      <w:sz w:val="18"/>
                      <w:szCs w:val="18"/>
                    </w:rPr>
                    <w:t>75/1</w:t>
                  </w:r>
                </w:p>
              </w:tc>
              <w:tc>
                <w:tcPr>
                  <w:tcW w:w="360" w:type="pct"/>
                  <w:vMerge w:val="restart"/>
                  <w:vAlign w:val="center"/>
                </w:tcPr>
                <w:p w14:paraId="26756FC2">
                  <w:pPr>
                    <w:jc w:val="center"/>
                    <w:rPr>
                      <w:spacing w:val="6"/>
                      <w:sz w:val="18"/>
                      <w:szCs w:val="18"/>
                    </w:rPr>
                  </w:pPr>
                  <w:r>
                    <w:rPr>
                      <w:sz w:val="18"/>
                      <w:szCs w:val="18"/>
                    </w:rPr>
                    <w:t>选用低噪声设备</w:t>
                  </w:r>
                  <w:r>
                    <w:rPr>
                      <w:rFonts w:hint="eastAsia"/>
                      <w:sz w:val="18"/>
                      <w:szCs w:val="18"/>
                    </w:rPr>
                    <w:t>，</w:t>
                  </w:r>
                  <w:r>
                    <w:rPr>
                      <w:sz w:val="18"/>
                      <w:szCs w:val="18"/>
                    </w:rPr>
                    <w:t>设减振垫、消声措施</w:t>
                  </w:r>
                </w:p>
              </w:tc>
              <w:tc>
                <w:tcPr>
                  <w:tcW w:w="226" w:type="pct"/>
                  <w:vMerge w:val="restart"/>
                  <w:vAlign w:val="center"/>
                </w:tcPr>
                <w:p w14:paraId="41691DA7">
                  <w:pPr>
                    <w:jc w:val="center"/>
                    <w:rPr>
                      <w:spacing w:val="6"/>
                      <w:sz w:val="18"/>
                      <w:szCs w:val="18"/>
                    </w:rPr>
                  </w:pPr>
                  <w:r>
                    <w:rPr>
                      <w:rFonts w:hint="eastAsia"/>
                      <w:spacing w:val="6"/>
                      <w:sz w:val="18"/>
                      <w:szCs w:val="18"/>
                    </w:rPr>
                    <w:t>17</w:t>
                  </w:r>
                </w:p>
              </w:tc>
              <w:tc>
                <w:tcPr>
                  <w:tcW w:w="293" w:type="pct"/>
                  <w:vMerge w:val="restart"/>
                  <w:vAlign w:val="center"/>
                </w:tcPr>
                <w:p w14:paraId="3A07B3B1">
                  <w:pPr>
                    <w:jc w:val="center"/>
                    <w:rPr>
                      <w:spacing w:val="6"/>
                      <w:sz w:val="18"/>
                      <w:szCs w:val="18"/>
                    </w:rPr>
                  </w:pPr>
                  <w:r>
                    <w:rPr>
                      <w:rFonts w:hint="eastAsia"/>
                      <w:spacing w:val="6"/>
                      <w:sz w:val="18"/>
                      <w:szCs w:val="18"/>
                    </w:rPr>
                    <w:t>38</w:t>
                  </w:r>
                </w:p>
              </w:tc>
              <w:tc>
                <w:tcPr>
                  <w:tcW w:w="235" w:type="pct"/>
                  <w:vMerge w:val="restart"/>
                  <w:vAlign w:val="center"/>
                </w:tcPr>
                <w:p w14:paraId="41C00E7C">
                  <w:pPr>
                    <w:jc w:val="center"/>
                    <w:rPr>
                      <w:spacing w:val="6"/>
                      <w:sz w:val="18"/>
                      <w:szCs w:val="18"/>
                    </w:rPr>
                  </w:pPr>
                  <w:r>
                    <w:rPr>
                      <w:rFonts w:hint="eastAsia"/>
                      <w:spacing w:val="6"/>
                      <w:sz w:val="18"/>
                      <w:szCs w:val="18"/>
                    </w:rPr>
                    <w:t>1.2</w:t>
                  </w:r>
                </w:p>
              </w:tc>
              <w:tc>
                <w:tcPr>
                  <w:tcW w:w="293" w:type="pct"/>
                  <w:vAlign w:val="center"/>
                </w:tcPr>
                <w:p w14:paraId="3E7375A9">
                  <w:pPr>
                    <w:jc w:val="center"/>
                    <w:rPr>
                      <w:spacing w:val="6"/>
                      <w:sz w:val="18"/>
                      <w:szCs w:val="18"/>
                    </w:rPr>
                  </w:pPr>
                  <w:r>
                    <w:rPr>
                      <w:sz w:val="18"/>
                      <w:szCs w:val="18"/>
                    </w:rPr>
                    <w:t>东</w:t>
                  </w:r>
                </w:p>
              </w:tc>
              <w:tc>
                <w:tcPr>
                  <w:tcW w:w="293" w:type="pct"/>
                  <w:vAlign w:val="center"/>
                </w:tcPr>
                <w:p w14:paraId="60748C05">
                  <w:pPr>
                    <w:jc w:val="center"/>
                    <w:rPr>
                      <w:spacing w:val="6"/>
                      <w:sz w:val="18"/>
                      <w:szCs w:val="18"/>
                    </w:rPr>
                  </w:pPr>
                  <w:r>
                    <w:rPr>
                      <w:rFonts w:hint="eastAsia"/>
                      <w:spacing w:val="6"/>
                      <w:sz w:val="18"/>
                      <w:szCs w:val="18"/>
                    </w:rPr>
                    <w:t>8</w:t>
                  </w:r>
                </w:p>
              </w:tc>
              <w:tc>
                <w:tcPr>
                  <w:tcW w:w="410" w:type="pct"/>
                  <w:vAlign w:val="center"/>
                </w:tcPr>
                <w:p w14:paraId="10C5F1F3">
                  <w:pPr>
                    <w:jc w:val="center"/>
                    <w:rPr>
                      <w:spacing w:val="6"/>
                      <w:sz w:val="18"/>
                      <w:szCs w:val="18"/>
                    </w:rPr>
                  </w:pPr>
                  <w:r>
                    <w:rPr>
                      <w:rFonts w:hint="eastAsia"/>
                      <w:spacing w:val="6"/>
                      <w:sz w:val="18"/>
                      <w:szCs w:val="18"/>
                    </w:rPr>
                    <w:t>56.9</w:t>
                  </w:r>
                </w:p>
              </w:tc>
              <w:tc>
                <w:tcPr>
                  <w:tcW w:w="293" w:type="pct"/>
                  <w:vMerge w:val="restart"/>
                  <w:vAlign w:val="center"/>
                </w:tcPr>
                <w:p w14:paraId="3611B3E4">
                  <w:pPr>
                    <w:jc w:val="center"/>
                    <w:rPr>
                      <w:spacing w:val="6"/>
                      <w:sz w:val="18"/>
                      <w:szCs w:val="18"/>
                    </w:rPr>
                  </w:pPr>
                  <w:r>
                    <w:rPr>
                      <w:rFonts w:hint="eastAsia"/>
                      <w:sz w:val="18"/>
                      <w:szCs w:val="18"/>
                    </w:rPr>
                    <w:t>8h</w:t>
                  </w:r>
                </w:p>
              </w:tc>
              <w:tc>
                <w:tcPr>
                  <w:tcW w:w="353" w:type="pct"/>
                  <w:vMerge w:val="restart"/>
                  <w:vAlign w:val="center"/>
                </w:tcPr>
                <w:p w14:paraId="2904770B">
                  <w:pPr>
                    <w:jc w:val="center"/>
                    <w:rPr>
                      <w:spacing w:val="6"/>
                      <w:sz w:val="18"/>
                      <w:szCs w:val="18"/>
                    </w:rPr>
                  </w:pPr>
                  <w:r>
                    <w:rPr>
                      <w:rFonts w:hint="eastAsia"/>
                      <w:spacing w:val="6"/>
                      <w:sz w:val="18"/>
                      <w:szCs w:val="18"/>
                    </w:rPr>
                    <w:t>15</w:t>
                  </w:r>
                </w:p>
              </w:tc>
              <w:tc>
                <w:tcPr>
                  <w:tcW w:w="365" w:type="pct"/>
                  <w:vAlign w:val="center"/>
                </w:tcPr>
                <w:p w14:paraId="7CC0619C">
                  <w:pPr>
                    <w:jc w:val="center"/>
                    <w:rPr>
                      <w:spacing w:val="6"/>
                      <w:sz w:val="18"/>
                      <w:szCs w:val="18"/>
                    </w:rPr>
                  </w:pPr>
                  <w:r>
                    <w:rPr>
                      <w:rFonts w:hint="eastAsia"/>
                      <w:spacing w:val="6"/>
                      <w:sz w:val="18"/>
                      <w:szCs w:val="18"/>
                    </w:rPr>
                    <w:t>41.9</w:t>
                  </w:r>
                </w:p>
              </w:tc>
              <w:tc>
                <w:tcPr>
                  <w:tcW w:w="297" w:type="pct"/>
                  <w:vAlign w:val="center"/>
                </w:tcPr>
                <w:p w14:paraId="71C099BD">
                  <w:pPr>
                    <w:jc w:val="center"/>
                    <w:rPr>
                      <w:spacing w:val="6"/>
                      <w:sz w:val="18"/>
                      <w:szCs w:val="18"/>
                    </w:rPr>
                  </w:pPr>
                  <w:r>
                    <w:rPr>
                      <w:sz w:val="18"/>
                      <w:szCs w:val="18"/>
                    </w:rPr>
                    <w:t>1</w:t>
                  </w:r>
                </w:p>
              </w:tc>
            </w:tr>
            <w:tr w14:paraId="3467B5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1" w:hRule="atLeast"/>
                <w:jc w:val="center"/>
              </w:trPr>
              <w:tc>
                <w:tcPr>
                  <w:tcW w:w="176" w:type="pct"/>
                  <w:vMerge w:val="continue"/>
                  <w:vAlign w:val="center"/>
                </w:tcPr>
                <w:p w14:paraId="4A414D14">
                  <w:pPr>
                    <w:jc w:val="center"/>
                    <w:rPr>
                      <w:spacing w:val="6"/>
                      <w:sz w:val="18"/>
                      <w:szCs w:val="18"/>
                    </w:rPr>
                  </w:pPr>
                </w:p>
              </w:tc>
              <w:tc>
                <w:tcPr>
                  <w:tcW w:w="284" w:type="pct"/>
                  <w:vMerge w:val="continue"/>
                  <w:vAlign w:val="center"/>
                </w:tcPr>
                <w:p w14:paraId="3EEAB644">
                  <w:pPr>
                    <w:jc w:val="center"/>
                    <w:rPr>
                      <w:spacing w:val="6"/>
                      <w:sz w:val="18"/>
                      <w:szCs w:val="18"/>
                    </w:rPr>
                  </w:pPr>
                </w:p>
              </w:tc>
              <w:tc>
                <w:tcPr>
                  <w:tcW w:w="361" w:type="pct"/>
                  <w:vMerge w:val="continue"/>
                  <w:vAlign w:val="center"/>
                </w:tcPr>
                <w:p w14:paraId="064B7699">
                  <w:pPr>
                    <w:jc w:val="center"/>
                    <w:rPr>
                      <w:spacing w:val="6"/>
                      <w:sz w:val="18"/>
                      <w:szCs w:val="18"/>
                    </w:rPr>
                  </w:pPr>
                </w:p>
              </w:tc>
              <w:tc>
                <w:tcPr>
                  <w:tcW w:w="175" w:type="pct"/>
                  <w:vMerge w:val="continue"/>
                  <w:vAlign w:val="center"/>
                </w:tcPr>
                <w:p w14:paraId="15EC5483">
                  <w:pPr>
                    <w:jc w:val="center"/>
                    <w:rPr>
                      <w:spacing w:val="6"/>
                      <w:sz w:val="18"/>
                      <w:szCs w:val="18"/>
                    </w:rPr>
                  </w:pPr>
                </w:p>
              </w:tc>
              <w:tc>
                <w:tcPr>
                  <w:tcW w:w="586" w:type="pct"/>
                  <w:vMerge w:val="continue"/>
                  <w:vAlign w:val="center"/>
                </w:tcPr>
                <w:p w14:paraId="5A8A0158">
                  <w:pPr>
                    <w:jc w:val="center"/>
                    <w:rPr>
                      <w:spacing w:val="6"/>
                      <w:sz w:val="18"/>
                      <w:szCs w:val="18"/>
                    </w:rPr>
                  </w:pPr>
                </w:p>
              </w:tc>
              <w:tc>
                <w:tcPr>
                  <w:tcW w:w="360" w:type="pct"/>
                  <w:vMerge w:val="continue"/>
                  <w:vAlign w:val="center"/>
                </w:tcPr>
                <w:p w14:paraId="4660F59D">
                  <w:pPr>
                    <w:jc w:val="center"/>
                    <w:rPr>
                      <w:spacing w:val="6"/>
                      <w:sz w:val="18"/>
                      <w:szCs w:val="18"/>
                    </w:rPr>
                  </w:pPr>
                </w:p>
              </w:tc>
              <w:tc>
                <w:tcPr>
                  <w:tcW w:w="226" w:type="pct"/>
                  <w:vMerge w:val="continue"/>
                  <w:vAlign w:val="center"/>
                </w:tcPr>
                <w:p w14:paraId="034F820F">
                  <w:pPr>
                    <w:jc w:val="center"/>
                    <w:rPr>
                      <w:spacing w:val="6"/>
                      <w:sz w:val="18"/>
                      <w:szCs w:val="18"/>
                    </w:rPr>
                  </w:pPr>
                </w:p>
              </w:tc>
              <w:tc>
                <w:tcPr>
                  <w:tcW w:w="293" w:type="pct"/>
                  <w:vMerge w:val="continue"/>
                  <w:vAlign w:val="center"/>
                </w:tcPr>
                <w:p w14:paraId="43117EF7">
                  <w:pPr>
                    <w:jc w:val="center"/>
                    <w:rPr>
                      <w:spacing w:val="6"/>
                      <w:sz w:val="18"/>
                      <w:szCs w:val="18"/>
                    </w:rPr>
                  </w:pPr>
                </w:p>
              </w:tc>
              <w:tc>
                <w:tcPr>
                  <w:tcW w:w="235" w:type="pct"/>
                  <w:vMerge w:val="continue"/>
                  <w:vAlign w:val="center"/>
                </w:tcPr>
                <w:p w14:paraId="4AEA65D2">
                  <w:pPr>
                    <w:jc w:val="center"/>
                    <w:rPr>
                      <w:spacing w:val="6"/>
                      <w:sz w:val="18"/>
                      <w:szCs w:val="18"/>
                    </w:rPr>
                  </w:pPr>
                </w:p>
              </w:tc>
              <w:tc>
                <w:tcPr>
                  <w:tcW w:w="293" w:type="pct"/>
                  <w:vAlign w:val="center"/>
                </w:tcPr>
                <w:p w14:paraId="48D52294">
                  <w:pPr>
                    <w:jc w:val="center"/>
                    <w:rPr>
                      <w:spacing w:val="6"/>
                      <w:sz w:val="18"/>
                      <w:szCs w:val="18"/>
                    </w:rPr>
                  </w:pPr>
                  <w:r>
                    <w:rPr>
                      <w:spacing w:val="6"/>
                      <w:sz w:val="18"/>
                      <w:szCs w:val="18"/>
                    </w:rPr>
                    <w:t>南</w:t>
                  </w:r>
                </w:p>
              </w:tc>
              <w:tc>
                <w:tcPr>
                  <w:tcW w:w="293" w:type="pct"/>
                  <w:vAlign w:val="center"/>
                </w:tcPr>
                <w:p w14:paraId="6869C87E">
                  <w:pPr>
                    <w:jc w:val="center"/>
                    <w:rPr>
                      <w:spacing w:val="6"/>
                      <w:sz w:val="18"/>
                      <w:szCs w:val="18"/>
                    </w:rPr>
                  </w:pPr>
                  <w:r>
                    <w:rPr>
                      <w:rFonts w:hint="eastAsia"/>
                      <w:spacing w:val="6"/>
                      <w:sz w:val="18"/>
                      <w:szCs w:val="18"/>
                    </w:rPr>
                    <w:t>100</w:t>
                  </w:r>
                </w:p>
              </w:tc>
              <w:tc>
                <w:tcPr>
                  <w:tcW w:w="410" w:type="pct"/>
                  <w:vAlign w:val="center"/>
                </w:tcPr>
                <w:p w14:paraId="13BE182F">
                  <w:pPr>
                    <w:jc w:val="center"/>
                    <w:rPr>
                      <w:spacing w:val="6"/>
                      <w:sz w:val="18"/>
                      <w:szCs w:val="18"/>
                    </w:rPr>
                  </w:pPr>
                  <w:r>
                    <w:rPr>
                      <w:rFonts w:hint="eastAsia"/>
                      <w:spacing w:val="6"/>
                      <w:sz w:val="18"/>
                      <w:szCs w:val="18"/>
                    </w:rPr>
                    <w:t>35.0</w:t>
                  </w:r>
                </w:p>
              </w:tc>
              <w:tc>
                <w:tcPr>
                  <w:tcW w:w="293" w:type="pct"/>
                  <w:vMerge w:val="continue"/>
                  <w:vAlign w:val="center"/>
                </w:tcPr>
                <w:p w14:paraId="24007331">
                  <w:pPr>
                    <w:jc w:val="center"/>
                    <w:rPr>
                      <w:spacing w:val="6"/>
                      <w:sz w:val="18"/>
                      <w:szCs w:val="18"/>
                    </w:rPr>
                  </w:pPr>
                </w:p>
              </w:tc>
              <w:tc>
                <w:tcPr>
                  <w:tcW w:w="353" w:type="pct"/>
                  <w:vMerge w:val="continue"/>
                  <w:vAlign w:val="center"/>
                </w:tcPr>
                <w:p w14:paraId="0CB206A5">
                  <w:pPr>
                    <w:jc w:val="center"/>
                    <w:rPr>
                      <w:spacing w:val="6"/>
                      <w:sz w:val="18"/>
                      <w:szCs w:val="18"/>
                    </w:rPr>
                  </w:pPr>
                </w:p>
              </w:tc>
              <w:tc>
                <w:tcPr>
                  <w:tcW w:w="365" w:type="pct"/>
                  <w:vAlign w:val="center"/>
                </w:tcPr>
                <w:p w14:paraId="58F50B5D">
                  <w:pPr>
                    <w:jc w:val="center"/>
                    <w:rPr>
                      <w:spacing w:val="6"/>
                      <w:sz w:val="18"/>
                      <w:szCs w:val="18"/>
                    </w:rPr>
                  </w:pPr>
                  <w:r>
                    <w:rPr>
                      <w:rFonts w:hint="eastAsia"/>
                      <w:spacing w:val="6"/>
                      <w:sz w:val="18"/>
                      <w:szCs w:val="18"/>
                    </w:rPr>
                    <w:t>20</w:t>
                  </w:r>
                </w:p>
              </w:tc>
              <w:tc>
                <w:tcPr>
                  <w:tcW w:w="297" w:type="pct"/>
                  <w:vAlign w:val="center"/>
                </w:tcPr>
                <w:p w14:paraId="4708A223">
                  <w:pPr>
                    <w:jc w:val="center"/>
                    <w:rPr>
                      <w:spacing w:val="6"/>
                      <w:sz w:val="18"/>
                      <w:szCs w:val="18"/>
                    </w:rPr>
                  </w:pPr>
                  <w:r>
                    <w:rPr>
                      <w:sz w:val="18"/>
                      <w:szCs w:val="18"/>
                    </w:rPr>
                    <w:t>1</w:t>
                  </w:r>
                </w:p>
              </w:tc>
            </w:tr>
            <w:tr w14:paraId="06949B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8" w:hRule="atLeast"/>
                <w:jc w:val="center"/>
              </w:trPr>
              <w:tc>
                <w:tcPr>
                  <w:tcW w:w="176" w:type="pct"/>
                  <w:vMerge w:val="continue"/>
                  <w:vAlign w:val="center"/>
                </w:tcPr>
                <w:p w14:paraId="6FA09898">
                  <w:pPr>
                    <w:jc w:val="center"/>
                    <w:rPr>
                      <w:spacing w:val="6"/>
                      <w:sz w:val="18"/>
                      <w:szCs w:val="18"/>
                    </w:rPr>
                  </w:pPr>
                </w:p>
              </w:tc>
              <w:tc>
                <w:tcPr>
                  <w:tcW w:w="284" w:type="pct"/>
                  <w:vMerge w:val="continue"/>
                  <w:vAlign w:val="center"/>
                </w:tcPr>
                <w:p w14:paraId="642ED2BA">
                  <w:pPr>
                    <w:jc w:val="center"/>
                    <w:rPr>
                      <w:spacing w:val="6"/>
                      <w:sz w:val="18"/>
                      <w:szCs w:val="18"/>
                    </w:rPr>
                  </w:pPr>
                </w:p>
              </w:tc>
              <w:tc>
                <w:tcPr>
                  <w:tcW w:w="361" w:type="pct"/>
                  <w:vMerge w:val="continue"/>
                  <w:vAlign w:val="center"/>
                </w:tcPr>
                <w:p w14:paraId="7D565114">
                  <w:pPr>
                    <w:jc w:val="center"/>
                    <w:rPr>
                      <w:spacing w:val="6"/>
                      <w:sz w:val="18"/>
                      <w:szCs w:val="18"/>
                    </w:rPr>
                  </w:pPr>
                </w:p>
              </w:tc>
              <w:tc>
                <w:tcPr>
                  <w:tcW w:w="175" w:type="pct"/>
                  <w:vMerge w:val="continue"/>
                  <w:vAlign w:val="center"/>
                </w:tcPr>
                <w:p w14:paraId="3B10D976">
                  <w:pPr>
                    <w:jc w:val="center"/>
                    <w:rPr>
                      <w:spacing w:val="6"/>
                      <w:sz w:val="18"/>
                      <w:szCs w:val="18"/>
                    </w:rPr>
                  </w:pPr>
                </w:p>
              </w:tc>
              <w:tc>
                <w:tcPr>
                  <w:tcW w:w="586" w:type="pct"/>
                  <w:vMerge w:val="continue"/>
                  <w:vAlign w:val="center"/>
                </w:tcPr>
                <w:p w14:paraId="06B0AF3A">
                  <w:pPr>
                    <w:jc w:val="center"/>
                    <w:rPr>
                      <w:spacing w:val="6"/>
                      <w:sz w:val="18"/>
                      <w:szCs w:val="18"/>
                    </w:rPr>
                  </w:pPr>
                </w:p>
              </w:tc>
              <w:tc>
                <w:tcPr>
                  <w:tcW w:w="360" w:type="pct"/>
                  <w:vMerge w:val="continue"/>
                  <w:vAlign w:val="center"/>
                </w:tcPr>
                <w:p w14:paraId="4AE6ACA2">
                  <w:pPr>
                    <w:jc w:val="center"/>
                    <w:rPr>
                      <w:spacing w:val="6"/>
                      <w:sz w:val="18"/>
                      <w:szCs w:val="18"/>
                    </w:rPr>
                  </w:pPr>
                </w:p>
              </w:tc>
              <w:tc>
                <w:tcPr>
                  <w:tcW w:w="226" w:type="pct"/>
                  <w:vMerge w:val="continue"/>
                  <w:vAlign w:val="center"/>
                </w:tcPr>
                <w:p w14:paraId="4BF6BB59">
                  <w:pPr>
                    <w:jc w:val="center"/>
                    <w:rPr>
                      <w:spacing w:val="6"/>
                      <w:sz w:val="18"/>
                      <w:szCs w:val="18"/>
                    </w:rPr>
                  </w:pPr>
                </w:p>
              </w:tc>
              <w:tc>
                <w:tcPr>
                  <w:tcW w:w="293" w:type="pct"/>
                  <w:vMerge w:val="continue"/>
                  <w:vAlign w:val="center"/>
                </w:tcPr>
                <w:p w14:paraId="3210348F">
                  <w:pPr>
                    <w:jc w:val="center"/>
                    <w:rPr>
                      <w:spacing w:val="6"/>
                      <w:sz w:val="18"/>
                      <w:szCs w:val="18"/>
                    </w:rPr>
                  </w:pPr>
                </w:p>
              </w:tc>
              <w:tc>
                <w:tcPr>
                  <w:tcW w:w="235" w:type="pct"/>
                  <w:vMerge w:val="continue"/>
                  <w:vAlign w:val="center"/>
                </w:tcPr>
                <w:p w14:paraId="36DFE08C">
                  <w:pPr>
                    <w:jc w:val="center"/>
                    <w:rPr>
                      <w:spacing w:val="6"/>
                      <w:sz w:val="18"/>
                      <w:szCs w:val="18"/>
                    </w:rPr>
                  </w:pPr>
                </w:p>
              </w:tc>
              <w:tc>
                <w:tcPr>
                  <w:tcW w:w="293" w:type="pct"/>
                  <w:vAlign w:val="center"/>
                </w:tcPr>
                <w:p w14:paraId="7BCA2F40">
                  <w:pPr>
                    <w:jc w:val="center"/>
                    <w:rPr>
                      <w:spacing w:val="6"/>
                      <w:sz w:val="18"/>
                      <w:szCs w:val="18"/>
                    </w:rPr>
                  </w:pPr>
                  <w:r>
                    <w:rPr>
                      <w:spacing w:val="6"/>
                      <w:sz w:val="18"/>
                      <w:szCs w:val="18"/>
                    </w:rPr>
                    <w:t>西</w:t>
                  </w:r>
                </w:p>
              </w:tc>
              <w:tc>
                <w:tcPr>
                  <w:tcW w:w="293" w:type="pct"/>
                  <w:vAlign w:val="center"/>
                </w:tcPr>
                <w:p w14:paraId="49B5583C">
                  <w:pPr>
                    <w:jc w:val="center"/>
                    <w:rPr>
                      <w:spacing w:val="6"/>
                      <w:sz w:val="18"/>
                      <w:szCs w:val="18"/>
                    </w:rPr>
                  </w:pPr>
                  <w:r>
                    <w:rPr>
                      <w:rFonts w:hint="eastAsia"/>
                      <w:spacing w:val="6"/>
                      <w:sz w:val="18"/>
                      <w:szCs w:val="18"/>
                    </w:rPr>
                    <w:t>39</w:t>
                  </w:r>
                </w:p>
              </w:tc>
              <w:tc>
                <w:tcPr>
                  <w:tcW w:w="410" w:type="pct"/>
                  <w:vAlign w:val="center"/>
                </w:tcPr>
                <w:p w14:paraId="10E71686">
                  <w:pPr>
                    <w:jc w:val="center"/>
                    <w:rPr>
                      <w:spacing w:val="6"/>
                      <w:sz w:val="18"/>
                      <w:szCs w:val="18"/>
                    </w:rPr>
                  </w:pPr>
                  <w:r>
                    <w:rPr>
                      <w:rFonts w:hint="eastAsia"/>
                      <w:spacing w:val="6"/>
                      <w:sz w:val="18"/>
                      <w:szCs w:val="18"/>
                    </w:rPr>
                    <w:t>43.2</w:t>
                  </w:r>
                </w:p>
              </w:tc>
              <w:tc>
                <w:tcPr>
                  <w:tcW w:w="293" w:type="pct"/>
                  <w:vMerge w:val="continue"/>
                  <w:vAlign w:val="center"/>
                </w:tcPr>
                <w:p w14:paraId="610AE6E3">
                  <w:pPr>
                    <w:jc w:val="center"/>
                    <w:rPr>
                      <w:spacing w:val="6"/>
                      <w:sz w:val="18"/>
                      <w:szCs w:val="18"/>
                    </w:rPr>
                  </w:pPr>
                </w:p>
              </w:tc>
              <w:tc>
                <w:tcPr>
                  <w:tcW w:w="353" w:type="pct"/>
                  <w:vMerge w:val="continue"/>
                  <w:vAlign w:val="center"/>
                </w:tcPr>
                <w:p w14:paraId="1FB61D1A">
                  <w:pPr>
                    <w:jc w:val="center"/>
                    <w:rPr>
                      <w:spacing w:val="6"/>
                      <w:sz w:val="18"/>
                      <w:szCs w:val="18"/>
                    </w:rPr>
                  </w:pPr>
                </w:p>
              </w:tc>
              <w:tc>
                <w:tcPr>
                  <w:tcW w:w="365" w:type="pct"/>
                  <w:vAlign w:val="center"/>
                </w:tcPr>
                <w:p w14:paraId="14BFA17D">
                  <w:pPr>
                    <w:jc w:val="center"/>
                    <w:rPr>
                      <w:spacing w:val="6"/>
                      <w:sz w:val="18"/>
                      <w:szCs w:val="18"/>
                    </w:rPr>
                  </w:pPr>
                  <w:r>
                    <w:rPr>
                      <w:rFonts w:hint="eastAsia"/>
                      <w:spacing w:val="6"/>
                      <w:sz w:val="18"/>
                      <w:szCs w:val="18"/>
                    </w:rPr>
                    <w:t>28.2</w:t>
                  </w:r>
                </w:p>
              </w:tc>
              <w:tc>
                <w:tcPr>
                  <w:tcW w:w="297" w:type="pct"/>
                  <w:vAlign w:val="center"/>
                </w:tcPr>
                <w:p w14:paraId="365B2281">
                  <w:pPr>
                    <w:jc w:val="center"/>
                    <w:rPr>
                      <w:spacing w:val="6"/>
                      <w:sz w:val="18"/>
                      <w:szCs w:val="18"/>
                    </w:rPr>
                  </w:pPr>
                  <w:r>
                    <w:rPr>
                      <w:sz w:val="18"/>
                      <w:szCs w:val="18"/>
                    </w:rPr>
                    <w:t>1</w:t>
                  </w:r>
                </w:p>
              </w:tc>
            </w:tr>
            <w:tr w14:paraId="1B20D5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78556782">
                  <w:pPr>
                    <w:jc w:val="center"/>
                    <w:rPr>
                      <w:spacing w:val="6"/>
                      <w:sz w:val="18"/>
                      <w:szCs w:val="18"/>
                    </w:rPr>
                  </w:pPr>
                </w:p>
              </w:tc>
              <w:tc>
                <w:tcPr>
                  <w:tcW w:w="284" w:type="pct"/>
                  <w:vMerge w:val="continue"/>
                  <w:vAlign w:val="center"/>
                </w:tcPr>
                <w:p w14:paraId="4DEDF5E2">
                  <w:pPr>
                    <w:jc w:val="center"/>
                    <w:rPr>
                      <w:spacing w:val="6"/>
                      <w:sz w:val="18"/>
                      <w:szCs w:val="18"/>
                    </w:rPr>
                  </w:pPr>
                </w:p>
              </w:tc>
              <w:tc>
                <w:tcPr>
                  <w:tcW w:w="361" w:type="pct"/>
                  <w:vMerge w:val="continue"/>
                  <w:vAlign w:val="center"/>
                </w:tcPr>
                <w:p w14:paraId="1288B336">
                  <w:pPr>
                    <w:jc w:val="center"/>
                    <w:rPr>
                      <w:spacing w:val="6"/>
                      <w:sz w:val="18"/>
                      <w:szCs w:val="18"/>
                    </w:rPr>
                  </w:pPr>
                </w:p>
              </w:tc>
              <w:tc>
                <w:tcPr>
                  <w:tcW w:w="175" w:type="pct"/>
                  <w:vMerge w:val="continue"/>
                  <w:vAlign w:val="center"/>
                </w:tcPr>
                <w:p w14:paraId="37A5B5B6">
                  <w:pPr>
                    <w:jc w:val="center"/>
                    <w:rPr>
                      <w:spacing w:val="6"/>
                      <w:sz w:val="18"/>
                      <w:szCs w:val="18"/>
                    </w:rPr>
                  </w:pPr>
                </w:p>
              </w:tc>
              <w:tc>
                <w:tcPr>
                  <w:tcW w:w="586" w:type="pct"/>
                  <w:vMerge w:val="continue"/>
                  <w:vAlign w:val="center"/>
                </w:tcPr>
                <w:p w14:paraId="49AE51D7">
                  <w:pPr>
                    <w:jc w:val="center"/>
                    <w:rPr>
                      <w:spacing w:val="6"/>
                      <w:sz w:val="18"/>
                      <w:szCs w:val="18"/>
                    </w:rPr>
                  </w:pPr>
                </w:p>
              </w:tc>
              <w:tc>
                <w:tcPr>
                  <w:tcW w:w="360" w:type="pct"/>
                  <w:vMerge w:val="continue"/>
                  <w:vAlign w:val="center"/>
                </w:tcPr>
                <w:p w14:paraId="0341D6C8">
                  <w:pPr>
                    <w:jc w:val="center"/>
                    <w:rPr>
                      <w:spacing w:val="6"/>
                      <w:sz w:val="18"/>
                      <w:szCs w:val="18"/>
                    </w:rPr>
                  </w:pPr>
                </w:p>
              </w:tc>
              <w:tc>
                <w:tcPr>
                  <w:tcW w:w="226" w:type="pct"/>
                  <w:vMerge w:val="continue"/>
                  <w:vAlign w:val="center"/>
                </w:tcPr>
                <w:p w14:paraId="551C10CC">
                  <w:pPr>
                    <w:jc w:val="center"/>
                    <w:rPr>
                      <w:spacing w:val="6"/>
                      <w:sz w:val="18"/>
                      <w:szCs w:val="18"/>
                    </w:rPr>
                  </w:pPr>
                </w:p>
              </w:tc>
              <w:tc>
                <w:tcPr>
                  <w:tcW w:w="293" w:type="pct"/>
                  <w:vMerge w:val="continue"/>
                  <w:vAlign w:val="center"/>
                </w:tcPr>
                <w:p w14:paraId="796E6E82">
                  <w:pPr>
                    <w:jc w:val="center"/>
                    <w:rPr>
                      <w:spacing w:val="6"/>
                      <w:sz w:val="18"/>
                      <w:szCs w:val="18"/>
                    </w:rPr>
                  </w:pPr>
                </w:p>
              </w:tc>
              <w:tc>
                <w:tcPr>
                  <w:tcW w:w="235" w:type="pct"/>
                  <w:vMerge w:val="continue"/>
                  <w:vAlign w:val="center"/>
                </w:tcPr>
                <w:p w14:paraId="10F07A8D">
                  <w:pPr>
                    <w:jc w:val="center"/>
                    <w:rPr>
                      <w:spacing w:val="6"/>
                      <w:sz w:val="18"/>
                      <w:szCs w:val="18"/>
                    </w:rPr>
                  </w:pPr>
                </w:p>
              </w:tc>
              <w:tc>
                <w:tcPr>
                  <w:tcW w:w="293" w:type="pct"/>
                  <w:vAlign w:val="center"/>
                </w:tcPr>
                <w:p w14:paraId="7D4EE312">
                  <w:pPr>
                    <w:jc w:val="center"/>
                    <w:rPr>
                      <w:spacing w:val="6"/>
                      <w:sz w:val="18"/>
                      <w:szCs w:val="18"/>
                    </w:rPr>
                  </w:pPr>
                  <w:r>
                    <w:rPr>
                      <w:spacing w:val="6"/>
                      <w:sz w:val="18"/>
                      <w:szCs w:val="18"/>
                    </w:rPr>
                    <w:t>北</w:t>
                  </w:r>
                </w:p>
              </w:tc>
              <w:tc>
                <w:tcPr>
                  <w:tcW w:w="293" w:type="pct"/>
                  <w:vAlign w:val="center"/>
                </w:tcPr>
                <w:p w14:paraId="27C92F92">
                  <w:pPr>
                    <w:jc w:val="center"/>
                    <w:rPr>
                      <w:spacing w:val="6"/>
                      <w:sz w:val="18"/>
                      <w:szCs w:val="18"/>
                    </w:rPr>
                  </w:pPr>
                  <w:r>
                    <w:rPr>
                      <w:rFonts w:hint="eastAsia"/>
                      <w:spacing w:val="6"/>
                      <w:sz w:val="18"/>
                      <w:szCs w:val="18"/>
                    </w:rPr>
                    <w:t>13</w:t>
                  </w:r>
                </w:p>
              </w:tc>
              <w:tc>
                <w:tcPr>
                  <w:tcW w:w="410" w:type="pct"/>
                  <w:vAlign w:val="center"/>
                </w:tcPr>
                <w:p w14:paraId="46689983">
                  <w:pPr>
                    <w:jc w:val="center"/>
                    <w:rPr>
                      <w:spacing w:val="6"/>
                      <w:sz w:val="18"/>
                      <w:szCs w:val="18"/>
                    </w:rPr>
                  </w:pPr>
                  <w:r>
                    <w:rPr>
                      <w:rFonts w:hint="eastAsia"/>
                      <w:spacing w:val="6"/>
                      <w:sz w:val="18"/>
                      <w:szCs w:val="18"/>
                    </w:rPr>
                    <w:t>52.7</w:t>
                  </w:r>
                </w:p>
              </w:tc>
              <w:tc>
                <w:tcPr>
                  <w:tcW w:w="293" w:type="pct"/>
                  <w:vMerge w:val="continue"/>
                  <w:vAlign w:val="center"/>
                </w:tcPr>
                <w:p w14:paraId="490DC9E5">
                  <w:pPr>
                    <w:jc w:val="center"/>
                    <w:rPr>
                      <w:spacing w:val="6"/>
                      <w:sz w:val="18"/>
                      <w:szCs w:val="18"/>
                    </w:rPr>
                  </w:pPr>
                </w:p>
              </w:tc>
              <w:tc>
                <w:tcPr>
                  <w:tcW w:w="353" w:type="pct"/>
                  <w:vMerge w:val="continue"/>
                  <w:vAlign w:val="center"/>
                </w:tcPr>
                <w:p w14:paraId="0B2D6CDF">
                  <w:pPr>
                    <w:jc w:val="center"/>
                    <w:rPr>
                      <w:spacing w:val="6"/>
                      <w:sz w:val="18"/>
                      <w:szCs w:val="18"/>
                    </w:rPr>
                  </w:pPr>
                </w:p>
              </w:tc>
              <w:tc>
                <w:tcPr>
                  <w:tcW w:w="365" w:type="pct"/>
                  <w:vAlign w:val="center"/>
                </w:tcPr>
                <w:p w14:paraId="0E366F7E">
                  <w:pPr>
                    <w:jc w:val="center"/>
                    <w:rPr>
                      <w:spacing w:val="6"/>
                      <w:sz w:val="18"/>
                      <w:szCs w:val="18"/>
                    </w:rPr>
                  </w:pPr>
                  <w:r>
                    <w:rPr>
                      <w:rFonts w:hint="eastAsia"/>
                      <w:spacing w:val="6"/>
                      <w:sz w:val="18"/>
                      <w:szCs w:val="18"/>
                    </w:rPr>
                    <w:t>37.7</w:t>
                  </w:r>
                </w:p>
              </w:tc>
              <w:tc>
                <w:tcPr>
                  <w:tcW w:w="297" w:type="pct"/>
                  <w:vAlign w:val="center"/>
                </w:tcPr>
                <w:p w14:paraId="1DE6B45E">
                  <w:pPr>
                    <w:jc w:val="center"/>
                    <w:rPr>
                      <w:spacing w:val="6"/>
                      <w:sz w:val="18"/>
                      <w:szCs w:val="18"/>
                    </w:rPr>
                  </w:pPr>
                  <w:r>
                    <w:rPr>
                      <w:sz w:val="18"/>
                      <w:szCs w:val="18"/>
                    </w:rPr>
                    <w:t>1</w:t>
                  </w:r>
                </w:p>
              </w:tc>
            </w:tr>
            <w:tr w14:paraId="237223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restart"/>
                  <w:vAlign w:val="center"/>
                </w:tcPr>
                <w:p w14:paraId="3381DCA0">
                  <w:pPr>
                    <w:jc w:val="center"/>
                    <w:rPr>
                      <w:spacing w:val="6"/>
                      <w:sz w:val="18"/>
                      <w:szCs w:val="18"/>
                    </w:rPr>
                  </w:pPr>
                  <w:r>
                    <w:rPr>
                      <w:rFonts w:hint="eastAsia"/>
                      <w:spacing w:val="6"/>
                      <w:sz w:val="18"/>
                      <w:szCs w:val="18"/>
                    </w:rPr>
                    <w:t>2</w:t>
                  </w:r>
                </w:p>
              </w:tc>
              <w:tc>
                <w:tcPr>
                  <w:tcW w:w="284" w:type="pct"/>
                  <w:vMerge w:val="continue"/>
                  <w:vAlign w:val="center"/>
                </w:tcPr>
                <w:p w14:paraId="3C110E31">
                  <w:pPr>
                    <w:jc w:val="center"/>
                    <w:rPr>
                      <w:spacing w:val="6"/>
                      <w:sz w:val="18"/>
                      <w:szCs w:val="18"/>
                    </w:rPr>
                  </w:pPr>
                </w:p>
              </w:tc>
              <w:tc>
                <w:tcPr>
                  <w:tcW w:w="361" w:type="pct"/>
                  <w:vMerge w:val="restart"/>
                  <w:vAlign w:val="center"/>
                </w:tcPr>
                <w:p w14:paraId="6503C074">
                  <w:pPr>
                    <w:jc w:val="center"/>
                    <w:rPr>
                      <w:spacing w:val="6"/>
                      <w:sz w:val="18"/>
                      <w:szCs w:val="18"/>
                    </w:rPr>
                  </w:pPr>
                  <w:r>
                    <w:rPr>
                      <w:spacing w:val="6"/>
                      <w:sz w:val="18"/>
                      <w:szCs w:val="18"/>
                    </w:rPr>
                    <w:t>磨边机</w:t>
                  </w:r>
                </w:p>
              </w:tc>
              <w:tc>
                <w:tcPr>
                  <w:tcW w:w="175" w:type="pct"/>
                  <w:vMerge w:val="restart"/>
                  <w:vAlign w:val="center"/>
                </w:tcPr>
                <w:p w14:paraId="6BCF1E7C">
                  <w:pPr>
                    <w:jc w:val="center"/>
                    <w:rPr>
                      <w:spacing w:val="6"/>
                      <w:sz w:val="18"/>
                      <w:szCs w:val="18"/>
                    </w:rPr>
                  </w:pPr>
                  <w:r>
                    <w:rPr>
                      <w:rFonts w:hint="eastAsia"/>
                      <w:spacing w:val="6"/>
                      <w:sz w:val="18"/>
                      <w:szCs w:val="18"/>
                    </w:rPr>
                    <w:t>/</w:t>
                  </w:r>
                </w:p>
              </w:tc>
              <w:tc>
                <w:tcPr>
                  <w:tcW w:w="586" w:type="pct"/>
                  <w:vMerge w:val="restart"/>
                  <w:vAlign w:val="center"/>
                </w:tcPr>
                <w:p w14:paraId="06AB86CE">
                  <w:pPr>
                    <w:jc w:val="center"/>
                    <w:rPr>
                      <w:spacing w:val="6"/>
                      <w:sz w:val="18"/>
                      <w:szCs w:val="18"/>
                    </w:rPr>
                  </w:pPr>
                  <w:r>
                    <w:rPr>
                      <w:rFonts w:hint="eastAsia"/>
                      <w:spacing w:val="6"/>
                      <w:sz w:val="18"/>
                      <w:szCs w:val="18"/>
                    </w:rPr>
                    <w:t>75/1</w:t>
                  </w:r>
                </w:p>
              </w:tc>
              <w:tc>
                <w:tcPr>
                  <w:tcW w:w="360" w:type="pct"/>
                  <w:vMerge w:val="continue"/>
                  <w:vAlign w:val="center"/>
                </w:tcPr>
                <w:p w14:paraId="48CC4750">
                  <w:pPr>
                    <w:jc w:val="center"/>
                    <w:rPr>
                      <w:spacing w:val="6"/>
                      <w:sz w:val="18"/>
                      <w:szCs w:val="18"/>
                    </w:rPr>
                  </w:pPr>
                </w:p>
              </w:tc>
              <w:tc>
                <w:tcPr>
                  <w:tcW w:w="226" w:type="pct"/>
                  <w:vMerge w:val="restart"/>
                  <w:vAlign w:val="center"/>
                </w:tcPr>
                <w:p w14:paraId="16A2832C">
                  <w:pPr>
                    <w:jc w:val="center"/>
                    <w:rPr>
                      <w:spacing w:val="6"/>
                      <w:sz w:val="18"/>
                      <w:szCs w:val="18"/>
                    </w:rPr>
                  </w:pPr>
                  <w:r>
                    <w:rPr>
                      <w:rFonts w:hint="eastAsia"/>
                      <w:spacing w:val="6"/>
                      <w:sz w:val="18"/>
                      <w:szCs w:val="18"/>
                    </w:rPr>
                    <w:t>13</w:t>
                  </w:r>
                </w:p>
              </w:tc>
              <w:tc>
                <w:tcPr>
                  <w:tcW w:w="293" w:type="pct"/>
                  <w:vMerge w:val="restart"/>
                  <w:vAlign w:val="center"/>
                </w:tcPr>
                <w:p w14:paraId="18AEC741">
                  <w:pPr>
                    <w:jc w:val="center"/>
                    <w:rPr>
                      <w:spacing w:val="6"/>
                      <w:sz w:val="18"/>
                      <w:szCs w:val="18"/>
                    </w:rPr>
                  </w:pPr>
                  <w:r>
                    <w:rPr>
                      <w:rFonts w:hint="eastAsia"/>
                      <w:spacing w:val="6"/>
                      <w:sz w:val="18"/>
                      <w:szCs w:val="18"/>
                    </w:rPr>
                    <w:t>38</w:t>
                  </w:r>
                </w:p>
              </w:tc>
              <w:tc>
                <w:tcPr>
                  <w:tcW w:w="235" w:type="pct"/>
                  <w:vMerge w:val="restart"/>
                  <w:vAlign w:val="center"/>
                </w:tcPr>
                <w:p w14:paraId="5D99D85C">
                  <w:pPr>
                    <w:jc w:val="center"/>
                    <w:rPr>
                      <w:spacing w:val="6"/>
                      <w:sz w:val="18"/>
                      <w:szCs w:val="18"/>
                    </w:rPr>
                  </w:pPr>
                  <w:r>
                    <w:rPr>
                      <w:rFonts w:hint="eastAsia"/>
                      <w:spacing w:val="6"/>
                      <w:sz w:val="18"/>
                      <w:szCs w:val="18"/>
                    </w:rPr>
                    <w:t>1.2</w:t>
                  </w:r>
                </w:p>
              </w:tc>
              <w:tc>
                <w:tcPr>
                  <w:tcW w:w="293" w:type="pct"/>
                  <w:vAlign w:val="center"/>
                </w:tcPr>
                <w:p w14:paraId="524BFAFF">
                  <w:pPr>
                    <w:jc w:val="center"/>
                    <w:rPr>
                      <w:spacing w:val="6"/>
                      <w:sz w:val="18"/>
                      <w:szCs w:val="18"/>
                    </w:rPr>
                  </w:pPr>
                  <w:r>
                    <w:rPr>
                      <w:sz w:val="18"/>
                      <w:szCs w:val="18"/>
                    </w:rPr>
                    <w:t>东</w:t>
                  </w:r>
                </w:p>
              </w:tc>
              <w:tc>
                <w:tcPr>
                  <w:tcW w:w="293" w:type="pct"/>
                  <w:vAlign w:val="center"/>
                </w:tcPr>
                <w:p w14:paraId="73E9D3AE">
                  <w:pPr>
                    <w:jc w:val="center"/>
                    <w:rPr>
                      <w:spacing w:val="6"/>
                      <w:sz w:val="18"/>
                      <w:szCs w:val="18"/>
                    </w:rPr>
                  </w:pPr>
                  <w:r>
                    <w:rPr>
                      <w:rFonts w:hint="eastAsia"/>
                      <w:spacing w:val="6"/>
                      <w:sz w:val="18"/>
                      <w:szCs w:val="18"/>
                    </w:rPr>
                    <w:t>12</w:t>
                  </w:r>
                </w:p>
              </w:tc>
              <w:tc>
                <w:tcPr>
                  <w:tcW w:w="410" w:type="pct"/>
                  <w:vAlign w:val="center"/>
                </w:tcPr>
                <w:p w14:paraId="0FC4FEFF">
                  <w:pPr>
                    <w:jc w:val="center"/>
                    <w:rPr>
                      <w:spacing w:val="6"/>
                      <w:sz w:val="18"/>
                      <w:szCs w:val="18"/>
                    </w:rPr>
                  </w:pPr>
                  <w:r>
                    <w:rPr>
                      <w:rFonts w:hint="eastAsia"/>
                      <w:spacing w:val="6"/>
                      <w:sz w:val="18"/>
                      <w:szCs w:val="18"/>
                    </w:rPr>
                    <w:t>53.4</w:t>
                  </w:r>
                </w:p>
              </w:tc>
              <w:tc>
                <w:tcPr>
                  <w:tcW w:w="293" w:type="pct"/>
                  <w:vMerge w:val="restart"/>
                  <w:vAlign w:val="center"/>
                </w:tcPr>
                <w:p w14:paraId="1CA90FBD">
                  <w:pPr>
                    <w:jc w:val="center"/>
                    <w:rPr>
                      <w:spacing w:val="6"/>
                      <w:sz w:val="18"/>
                      <w:szCs w:val="18"/>
                    </w:rPr>
                  </w:pPr>
                  <w:r>
                    <w:rPr>
                      <w:rFonts w:hint="eastAsia"/>
                      <w:spacing w:val="6"/>
                      <w:sz w:val="18"/>
                      <w:szCs w:val="18"/>
                    </w:rPr>
                    <w:t>8h</w:t>
                  </w:r>
                </w:p>
              </w:tc>
              <w:tc>
                <w:tcPr>
                  <w:tcW w:w="353" w:type="pct"/>
                  <w:vMerge w:val="restart"/>
                  <w:vAlign w:val="center"/>
                </w:tcPr>
                <w:p w14:paraId="7BDCDEFC">
                  <w:pPr>
                    <w:jc w:val="center"/>
                    <w:rPr>
                      <w:spacing w:val="6"/>
                      <w:sz w:val="18"/>
                      <w:szCs w:val="18"/>
                    </w:rPr>
                  </w:pPr>
                  <w:r>
                    <w:rPr>
                      <w:rFonts w:hint="eastAsia"/>
                      <w:spacing w:val="6"/>
                      <w:sz w:val="18"/>
                      <w:szCs w:val="18"/>
                    </w:rPr>
                    <w:t>15</w:t>
                  </w:r>
                </w:p>
              </w:tc>
              <w:tc>
                <w:tcPr>
                  <w:tcW w:w="365" w:type="pct"/>
                  <w:vAlign w:val="center"/>
                </w:tcPr>
                <w:p w14:paraId="1C69DE24">
                  <w:pPr>
                    <w:jc w:val="center"/>
                    <w:rPr>
                      <w:spacing w:val="6"/>
                      <w:sz w:val="18"/>
                      <w:szCs w:val="18"/>
                    </w:rPr>
                  </w:pPr>
                  <w:r>
                    <w:rPr>
                      <w:rFonts w:hint="eastAsia"/>
                      <w:spacing w:val="6"/>
                      <w:sz w:val="18"/>
                      <w:szCs w:val="18"/>
                    </w:rPr>
                    <w:t>38.4</w:t>
                  </w:r>
                </w:p>
              </w:tc>
              <w:tc>
                <w:tcPr>
                  <w:tcW w:w="297" w:type="pct"/>
                  <w:vAlign w:val="center"/>
                </w:tcPr>
                <w:p w14:paraId="286F4F19">
                  <w:pPr>
                    <w:jc w:val="center"/>
                    <w:rPr>
                      <w:sz w:val="18"/>
                      <w:szCs w:val="18"/>
                    </w:rPr>
                  </w:pPr>
                  <w:r>
                    <w:rPr>
                      <w:rFonts w:hint="eastAsia"/>
                      <w:sz w:val="18"/>
                      <w:szCs w:val="18"/>
                    </w:rPr>
                    <w:t>1</w:t>
                  </w:r>
                </w:p>
              </w:tc>
            </w:tr>
            <w:tr w14:paraId="7F7C6F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1800ABEF">
                  <w:pPr>
                    <w:jc w:val="center"/>
                    <w:rPr>
                      <w:spacing w:val="6"/>
                      <w:sz w:val="18"/>
                      <w:szCs w:val="18"/>
                    </w:rPr>
                  </w:pPr>
                </w:p>
              </w:tc>
              <w:tc>
                <w:tcPr>
                  <w:tcW w:w="284" w:type="pct"/>
                  <w:vMerge w:val="continue"/>
                  <w:vAlign w:val="center"/>
                </w:tcPr>
                <w:p w14:paraId="14F61F23">
                  <w:pPr>
                    <w:jc w:val="center"/>
                    <w:rPr>
                      <w:spacing w:val="6"/>
                      <w:sz w:val="18"/>
                      <w:szCs w:val="18"/>
                    </w:rPr>
                  </w:pPr>
                </w:p>
              </w:tc>
              <w:tc>
                <w:tcPr>
                  <w:tcW w:w="361" w:type="pct"/>
                  <w:vMerge w:val="continue"/>
                  <w:vAlign w:val="center"/>
                </w:tcPr>
                <w:p w14:paraId="5B3F503B">
                  <w:pPr>
                    <w:jc w:val="center"/>
                    <w:rPr>
                      <w:spacing w:val="6"/>
                      <w:sz w:val="18"/>
                      <w:szCs w:val="18"/>
                    </w:rPr>
                  </w:pPr>
                </w:p>
              </w:tc>
              <w:tc>
                <w:tcPr>
                  <w:tcW w:w="175" w:type="pct"/>
                  <w:vMerge w:val="continue"/>
                  <w:vAlign w:val="center"/>
                </w:tcPr>
                <w:p w14:paraId="3BF81C71">
                  <w:pPr>
                    <w:jc w:val="center"/>
                    <w:rPr>
                      <w:spacing w:val="6"/>
                      <w:sz w:val="18"/>
                      <w:szCs w:val="18"/>
                    </w:rPr>
                  </w:pPr>
                </w:p>
              </w:tc>
              <w:tc>
                <w:tcPr>
                  <w:tcW w:w="586" w:type="pct"/>
                  <w:vMerge w:val="continue"/>
                  <w:vAlign w:val="center"/>
                </w:tcPr>
                <w:p w14:paraId="5BE34FAF">
                  <w:pPr>
                    <w:jc w:val="center"/>
                    <w:rPr>
                      <w:spacing w:val="6"/>
                      <w:sz w:val="18"/>
                      <w:szCs w:val="18"/>
                    </w:rPr>
                  </w:pPr>
                </w:p>
              </w:tc>
              <w:tc>
                <w:tcPr>
                  <w:tcW w:w="360" w:type="pct"/>
                  <w:vMerge w:val="continue"/>
                  <w:vAlign w:val="center"/>
                </w:tcPr>
                <w:p w14:paraId="5DB253E5">
                  <w:pPr>
                    <w:jc w:val="center"/>
                    <w:rPr>
                      <w:spacing w:val="6"/>
                      <w:sz w:val="18"/>
                      <w:szCs w:val="18"/>
                    </w:rPr>
                  </w:pPr>
                </w:p>
              </w:tc>
              <w:tc>
                <w:tcPr>
                  <w:tcW w:w="226" w:type="pct"/>
                  <w:vMerge w:val="continue"/>
                  <w:vAlign w:val="center"/>
                </w:tcPr>
                <w:p w14:paraId="77D41ED0">
                  <w:pPr>
                    <w:jc w:val="center"/>
                    <w:rPr>
                      <w:spacing w:val="6"/>
                      <w:sz w:val="18"/>
                      <w:szCs w:val="18"/>
                    </w:rPr>
                  </w:pPr>
                </w:p>
              </w:tc>
              <w:tc>
                <w:tcPr>
                  <w:tcW w:w="293" w:type="pct"/>
                  <w:vMerge w:val="continue"/>
                  <w:vAlign w:val="center"/>
                </w:tcPr>
                <w:p w14:paraId="4B3A56FA">
                  <w:pPr>
                    <w:jc w:val="center"/>
                    <w:rPr>
                      <w:spacing w:val="6"/>
                      <w:sz w:val="18"/>
                      <w:szCs w:val="18"/>
                    </w:rPr>
                  </w:pPr>
                </w:p>
              </w:tc>
              <w:tc>
                <w:tcPr>
                  <w:tcW w:w="235" w:type="pct"/>
                  <w:vMerge w:val="continue"/>
                  <w:vAlign w:val="center"/>
                </w:tcPr>
                <w:p w14:paraId="560399CB">
                  <w:pPr>
                    <w:jc w:val="center"/>
                    <w:rPr>
                      <w:spacing w:val="6"/>
                      <w:sz w:val="18"/>
                      <w:szCs w:val="18"/>
                    </w:rPr>
                  </w:pPr>
                </w:p>
              </w:tc>
              <w:tc>
                <w:tcPr>
                  <w:tcW w:w="293" w:type="pct"/>
                  <w:vAlign w:val="center"/>
                </w:tcPr>
                <w:p w14:paraId="258830BC">
                  <w:pPr>
                    <w:jc w:val="center"/>
                    <w:rPr>
                      <w:spacing w:val="6"/>
                      <w:sz w:val="18"/>
                      <w:szCs w:val="18"/>
                    </w:rPr>
                  </w:pPr>
                  <w:r>
                    <w:rPr>
                      <w:spacing w:val="6"/>
                      <w:sz w:val="18"/>
                      <w:szCs w:val="18"/>
                    </w:rPr>
                    <w:t>南</w:t>
                  </w:r>
                </w:p>
              </w:tc>
              <w:tc>
                <w:tcPr>
                  <w:tcW w:w="293" w:type="pct"/>
                  <w:vAlign w:val="center"/>
                </w:tcPr>
                <w:p w14:paraId="61A36F5C">
                  <w:pPr>
                    <w:jc w:val="center"/>
                    <w:rPr>
                      <w:spacing w:val="6"/>
                      <w:sz w:val="18"/>
                      <w:szCs w:val="18"/>
                    </w:rPr>
                  </w:pPr>
                  <w:r>
                    <w:rPr>
                      <w:rFonts w:hint="eastAsia"/>
                      <w:spacing w:val="6"/>
                      <w:sz w:val="18"/>
                      <w:szCs w:val="18"/>
                    </w:rPr>
                    <w:t>100</w:t>
                  </w:r>
                </w:p>
              </w:tc>
              <w:tc>
                <w:tcPr>
                  <w:tcW w:w="410" w:type="pct"/>
                  <w:vAlign w:val="center"/>
                </w:tcPr>
                <w:p w14:paraId="75424A27">
                  <w:pPr>
                    <w:jc w:val="center"/>
                    <w:rPr>
                      <w:spacing w:val="6"/>
                      <w:sz w:val="18"/>
                      <w:szCs w:val="18"/>
                    </w:rPr>
                  </w:pPr>
                  <w:r>
                    <w:rPr>
                      <w:rFonts w:hint="eastAsia"/>
                      <w:spacing w:val="6"/>
                      <w:sz w:val="18"/>
                      <w:szCs w:val="18"/>
                    </w:rPr>
                    <w:t>35.0</w:t>
                  </w:r>
                </w:p>
              </w:tc>
              <w:tc>
                <w:tcPr>
                  <w:tcW w:w="293" w:type="pct"/>
                  <w:vMerge w:val="continue"/>
                  <w:vAlign w:val="center"/>
                </w:tcPr>
                <w:p w14:paraId="4C026664">
                  <w:pPr>
                    <w:jc w:val="center"/>
                    <w:rPr>
                      <w:spacing w:val="6"/>
                      <w:sz w:val="18"/>
                      <w:szCs w:val="18"/>
                    </w:rPr>
                  </w:pPr>
                </w:p>
              </w:tc>
              <w:tc>
                <w:tcPr>
                  <w:tcW w:w="353" w:type="pct"/>
                  <w:vMerge w:val="continue"/>
                  <w:vAlign w:val="center"/>
                </w:tcPr>
                <w:p w14:paraId="6340D12F">
                  <w:pPr>
                    <w:jc w:val="center"/>
                    <w:rPr>
                      <w:spacing w:val="6"/>
                      <w:sz w:val="18"/>
                      <w:szCs w:val="18"/>
                    </w:rPr>
                  </w:pPr>
                </w:p>
              </w:tc>
              <w:tc>
                <w:tcPr>
                  <w:tcW w:w="365" w:type="pct"/>
                  <w:vAlign w:val="center"/>
                </w:tcPr>
                <w:p w14:paraId="01E04CAD">
                  <w:pPr>
                    <w:jc w:val="center"/>
                    <w:rPr>
                      <w:spacing w:val="6"/>
                      <w:sz w:val="18"/>
                      <w:szCs w:val="18"/>
                    </w:rPr>
                  </w:pPr>
                  <w:r>
                    <w:rPr>
                      <w:rFonts w:hint="eastAsia"/>
                      <w:spacing w:val="6"/>
                      <w:sz w:val="18"/>
                      <w:szCs w:val="18"/>
                    </w:rPr>
                    <w:t>20</w:t>
                  </w:r>
                </w:p>
              </w:tc>
              <w:tc>
                <w:tcPr>
                  <w:tcW w:w="297" w:type="pct"/>
                  <w:vAlign w:val="center"/>
                </w:tcPr>
                <w:p w14:paraId="790375D9">
                  <w:pPr>
                    <w:jc w:val="center"/>
                    <w:rPr>
                      <w:sz w:val="18"/>
                      <w:szCs w:val="18"/>
                    </w:rPr>
                  </w:pPr>
                  <w:r>
                    <w:rPr>
                      <w:rFonts w:hint="eastAsia"/>
                      <w:sz w:val="18"/>
                      <w:szCs w:val="18"/>
                    </w:rPr>
                    <w:t>1</w:t>
                  </w:r>
                </w:p>
              </w:tc>
            </w:tr>
            <w:tr w14:paraId="58E79A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2B677CB9">
                  <w:pPr>
                    <w:jc w:val="center"/>
                    <w:rPr>
                      <w:spacing w:val="6"/>
                      <w:sz w:val="18"/>
                      <w:szCs w:val="18"/>
                    </w:rPr>
                  </w:pPr>
                </w:p>
              </w:tc>
              <w:tc>
                <w:tcPr>
                  <w:tcW w:w="284" w:type="pct"/>
                  <w:vMerge w:val="continue"/>
                  <w:vAlign w:val="center"/>
                </w:tcPr>
                <w:p w14:paraId="3BC00F93">
                  <w:pPr>
                    <w:jc w:val="center"/>
                    <w:rPr>
                      <w:spacing w:val="6"/>
                      <w:sz w:val="18"/>
                      <w:szCs w:val="18"/>
                    </w:rPr>
                  </w:pPr>
                </w:p>
              </w:tc>
              <w:tc>
                <w:tcPr>
                  <w:tcW w:w="361" w:type="pct"/>
                  <w:vMerge w:val="continue"/>
                  <w:vAlign w:val="center"/>
                </w:tcPr>
                <w:p w14:paraId="03D2B492">
                  <w:pPr>
                    <w:jc w:val="center"/>
                    <w:rPr>
                      <w:spacing w:val="6"/>
                      <w:sz w:val="18"/>
                      <w:szCs w:val="18"/>
                    </w:rPr>
                  </w:pPr>
                </w:p>
              </w:tc>
              <w:tc>
                <w:tcPr>
                  <w:tcW w:w="175" w:type="pct"/>
                  <w:vMerge w:val="continue"/>
                  <w:vAlign w:val="center"/>
                </w:tcPr>
                <w:p w14:paraId="65286877">
                  <w:pPr>
                    <w:jc w:val="center"/>
                    <w:rPr>
                      <w:spacing w:val="6"/>
                      <w:sz w:val="18"/>
                      <w:szCs w:val="18"/>
                    </w:rPr>
                  </w:pPr>
                </w:p>
              </w:tc>
              <w:tc>
                <w:tcPr>
                  <w:tcW w:w="586" w:type="pct"/>
                  <w:vMerge w:val="continue"/>
                  <w:vAlign w:val="center"/>
                </w:tcPr>
                <w:p w14:paraId="3EDAF5AF">
                  <w:pPr>
                    <w:jc w:val="center"/>
                    <w:rPr>
                      <w:spacing w:val="6"/>
                      <w:sz w:val="18"/>
                      <w:szCs w:val="18"/>
                    </w:rPr>
                  </w:pPr>
                </w:p>
              </w:tc>
              <w:tc>
                <w:tcPr>
                  <w:tcW w:w="360" w:type="pct"/>
                  <w:vMerge w:val="continue"/>
                  <w:vAlign w:val="center"/>
                </w:tcPr>
                <w:p w14:paraId="71A9D5A3">
                  <w:pPr>
                    <w:jc w:val="center"/>
                    <w:rPr>
                      <w:spacing w:val="6"/>
                      <w:sz w:val="18"/>
                      <w:szCs w:val="18"/>
                    </w:rPr>
                  </w:pPr>
                </w:p>
              </w:tc>
              <w:tc>
                <w:tcPr>
                  <w:tcW w:w="226" w:type="pct"/>
                  <w:vMerge w:val="continue"/>
                  <w:vAlign w:val="center"/>
                </w:tcPr>
                <w:p w14:paraId="5D9B9D83">
                  <w:pPr>
                    <w:jc w:val="center"/>
                    <w:rPr>
                      <w:spacing w:val="6"/>
                      <w:sz w:val="18"/>
                      <w:szCs w:val="18"/>
                    </w:rPr>
                  </w:pPr>
                </w:p>
              </w:tc>
              <w:tc>
                <w:tcPr>
                  <w:tcW w:w="293" w:type="pct"/>
                  <w:vMerge w:val="continue"/>
                  <w:vAlign w:val="center"/>
                </w:tcPr>
                <w:p w14:paraId="7AAB5605">
                  <w:pPr>
                    <w:jc w:val="center"/>
                    <w:rPr>
                      <w:spacing w:val="6"/>
                      <w:sz w:val="18"/>
                      <w:szCs w:val="18"/>
                    </w:rPr>
                  </w:pPr>
                </w:p>
              </w:tc>
              <w:tc>
                <w:tcPr>
                  <w:tcW w:w="235" w:type="pct"/>
                  <w:vMerge w:val="continue"/>
                  <w:vAlign w:val="center"/>
                </w:tcPr>
                <w:p w14:paraId="26E86433">
                  <w:pPr>
                    <w:jc w:val="center"/>
                    <w:rPr>
                      <w:spacing w:val="6"/>
                      <w:sz w:val="18"/>
                      <w:szCs w:val="18"/>
                    </w:rPr>
                  </w:pPr>
                </w:p>
              </w:tc>
              <w:tc>
                <w:tcPr>
                  <w:tcW w:w="293" w:type="pct"/>
                  <w:vAlign w:val="center"/>
                </w:tcPr>
                <w:p w14:paraId="068EC73C">
                  <w:pPr>
                    <w:jc w:val="center"/>
                    <w:rPr>
                      <w:spacing w:val="6"/>
                      <w:sz w:val="18"/>
                      <w:szCs w:val="18"/>
                    </w:rPr>
                  </w:pPr>
                  <w:r>
                    <w:rPr>
                      <w:spacing w:val="6"/>
                      <w:sz w:val="18"/>
                      <w:szCs w:val="18"/>
                    </w:rPr>
                    <w:t>西</w:t>
                  </w:r>
                </w:p>
              </w:tc>
              <w:tc>
                <w:tcPr>
                  <w:tcW w:w="293" w:type="pct"/>
                  <w:vAlign w:val="center"/>
                </w:tcPr>
                <w:p w14:paraId="061A159C">
                  <w:pPr>
                    <w:jc w:val="center"/>
                    <w:rPr>
                      <w:spacing w:val="6"/>
                      <w:sz w:val="18"/>
                      <w:szCs w:val="18"/>
                    </w:rPr>
                  </w:pPr>
                  <w:r>
                    <w:rPr>
                      <w:rFonts w:hint="eastAsia"/>
                      <w:spacing w:val="6"/>
                      <w:sz w:val="18"/>
                      <w:szCs w:val="18"/>
                    </w:rPr>
                    <w:t>35</w:t>
                  </w:r>
                </w:p>
              </w:tc>
              <w:tc>
                <w:tcPr>
                  <w:tcW w:w="410" w:type="pct"/>
                  <w:vAlign w:val="center"/>
                </w:tcPr>
                <w:p w14:paraId="496FED23">
                  <w:pPr>
                    <w:jc w:val="center"/>
                    <w:rPr>
                      <w:spacing w:val="6"/>
                      <w:sz w:val="18"/>
                      <w:szCs w:val="18"/>
                    </w:rPr>
                  </w:pPr>
                  <w:r>
                    <w:rPr>
                      <w:rFonts w:hint="eastAsia"/>
                      <w:spacing w:val="6"/>
                      <w:sz w:val="18"/>
                      <w:szCs w:val="18"/>
                    </w:rPr>
                    <w:t>44.1</w:t>
                  </w:r>
                </w:p>
              </w:tc>
              <w:tc>
                <w:tcPr>
                  <w:tcW w:w="293" w:type="pct"/>
                  <w:vMerge w:val="continue"/>
                  <w:vAlign w:val="center"/>
                </w:tcPr>
                <w:p w14:paraId="48258622">
                  <w:pPr>
                    <w:jc w:val="center"/>
                    <w:rPr>
                      <w:spacing w:val="6"/>
                      <w:sz w:val="18"/>
                      <w:szCs w:val="18"/>
                    </w:rPr>
                  </w:pPr>
                </w:p>
              </w:tc>
              <w:tc>
                <w:tcPr>
                  <w:tcW w:w="353" w:type="pct"/>
                  <w:vMerge w:val="continue"/>
                  <w:vAlign w:val="center"/>
                </w:tcPr>
                <w:p w14:paraId="545447F6">
                  <w:pPr>
                    <w:jc w:val="center"/>
                    <w:rPr>
                      <w:spacing w:val="6"/>
                      <w:sz w:val="18"/>
                      <w:szCs w:val="18"/>
                    </w:rPr>
                  </w:pPr>
                </w:p>
              </w:tc>
              <w:tc>
                <w:tcPr>
                  <w:tcW w:w="365" w:type="pct"/>
                  <w:vAlign w:val="center"/>
                </w:tcPr>
                <w:p w14:paraId="305CDABB">
                  <w:pPr>
                    <w:jc w:val="center"/>
                    <w:rPr>
                      <w:spacing w:val="6"/>
                      <w:sz w:val="18"/>
                      <w:szCs w:val="18"/>
                    </w:rPr>
                  </w:pPr>
                  <w:r>
                    <w:rPr>
                      <w:rFonts w:hint="eastAsia"/>
                      <w:spacing w:val="6"/>
                      <w:sz w:val="18"/>
                      <w:szCs w:val="18"/>
                    </w:rPr>
                    <w:t>29.1</w:t>
                  </w:r>
                </w:p>
              </w:tc>
              <w:tc>
                <w:tcPr>
                  <w:tcW w:w="297" w:type="pct"/>
                  <w:vAlign w:val="center"/>
                </w:tcPr>
                <w:p w14:paraId="30803777">
                  <w:pPr>
                    <w:jc w:val="center"/>
                    <w:rPr>
                      <w:sz w:val="18"/>
                      <w:szCs w:val="18"/>
                    </w:rPr>
                  </w:pPr>
                  <w:r>
                    <w:rPr>
                      <w:rFonts w:hint="eastAsia"/>
                      <w:sz w:val="18"/>
                      <w:szCs w:val="18"/>
                    </w:rPr>
                    <w:t>1</w:t>
                  </w:r>
                </w:p>
              </w:tc>
            </w:tr>
            <w:tr w14:paraId="5F2693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58968209">
                  <w:pPr>
                    <w:jc w:val="center"/>
                    <w:rPr>
                      <w:spacing w:val="6"/>
                      <w:sz w:val="18"/>
                      <w:szCs w:val="18"/>
                    </w:rPr>
                  </w:pPr>
                </w:p>
              </w:tc>
              <w:tc>
                <w:tcPr>
                  <w:tcW w:w="284" w:type="pct"/>
                  <w:vMerge w:val="continue"/>
                  <w:vAlign w:val="center"/>
                </w:tcPr>
                <w:p w14:paraId="12127981">
                  <w:pPr>
                    <w:jc w:val="center"/>
                    <w:rPr>
                      <w:spacing w:val="6"/>
                      <w:sz w:val="18"/>
                      <w:szCs w:val="18"/>
                    </w:rPr>
                  </w:pPr>
                </w:p>
              </w:tc>
              <w:tc>
                <w:tcPr>
                  <w:tcW w:w="361" w:type="pct"/>
                  <w:vMerge w:val="continue"/>
                  <w:vAlign w:val="center"/>
                </w:tcPr>
                <w:p w14:paraId="5C0DB4CD">
                  <w:pPr>
                    <w:jc w:val="center"/>
                    <w:rPr>
                      <w:spacing w:val="6"/>
                      <w:sz w:val="18"/>
                      <w:szCs w:val="18"/>
                    </w:rPr>
                  </w:pPr>
                </w:p>
              </w:tc>
              <w:tc>
                <w:tcPr>
                  <w:tcW w:w="175" w:type="pct"/>
                  <w:vMerge w:val="continue"/>
                  <w:vAlign w:val="center"/>
                </w:tcPr>
                <w:p w14:paraId="09B066DE">
                  <w:pPr>
                    <w:jc w:val="center"/>
                    <w:rPr>
                      <w:spacing w:val="6"/>
                      <w:sz w:val="18"/>
                      <w:szCs w:val="18"/>
                    </w:rPr>
                  </w:pPr>
                </w:p>
              </w:tc>
              <w:tc>
                <w:tcPr>
                  <w:tcW w:w="586" w:type="pct"/>
                  <w:vMerge w:val="continue"/>
                  <w:vAlign w:val="center"/>
                </w:tcPr>
                <w:p w14:paraId="6A6DBF4E">
                  <w:pPr>
                    <w:jc w:val="center"/>
                    <w:rPr>
                      <w:spacing w:val="6"/>
                      <w:sz w:val="18"/>
                      <w:szCs w:val="18"/>
                    </w:rPr>
                  </w:pPr>
                </w:p>
              </w:tc>
              <w:tc>
                <w:tcPr>
                  <w:tcW w:w="360" w:type="pct"/>
                  <w:vMerge w:val="continue"/>
                  <w:vAlign w:val="center"/>
                </w:tcPr>
                <w:p w14:paraId="78F5A1B6">
                  <w:pPr>
                    <w:jc w:val="center"/>
                    <w:rPr>
                      <w:spacing w:val="6"/>
                      <w:sz w:val="18"/>
                      <w:szCs w:val="18"/>
                    </w:rPr>
                  </w:pPr>
                </w:p>
              </w:tc>
              <w:tc>
                <w:tcPr>
                  <w:tcW w:w="226" w:type="pct"/>
                  <w:vMerge w:val="continue"/>
                  <w:vAlign w:val="center"/>
                </w:tcPr>
                <w:p w14:paraId="0C369A8C">
                  <w:pPr>
                    <w:jc w:val="center"/>
                    <w:rPr>
                      <w:spacing w:val="6"/>
                      <w:sz w:val="18"/>
                      <w:szCs w:val="18"/>
                    </w:rPr>
                  </w:pPr>
                </w:p>
              </w:tc>
              <w:tc>
                <w:tcPr>
                  <w:tcW w:w="293" w:type="pct"/>
                  <w:vMerge w:val="continue"/>
                  <w:vAlign w:val="center"/>
                </w:tcPr>
                <w:p w14:paraId="2672E4B6">
                  <w:pPr>
                    <w:jc w:val="center"/>
                    <w:rPr>
                      <w:spacing w:val="6"/>
                      <w:sz w:val="18"/>
                      <w:szCs w:val="18"/>
                    </w:rPr>
                  </w:pPr>
                </w:p>
              </w:tc>
              <w:tc>
                <w:tcPr>
                  <w:tcW w:w="235" w:type="pct"/>
                  <w:vMerge w:val="continue"/>
                  <w:vAlign w:val="center"/>
                </w:tcPr>
                <w:p w14:paraId="36E8E884">
                  <w:pPr>
                    <w:jc w:val="center"/>
                    <w:rPr>
                      <w:spacing w:val="6"/>
                      <w:sz w:val="18"/>
                      <w:szCs w:val="18"/>
                    </w:rPr>
                  </w:pPr>
                </w:p>
              </w:tc>
              <w:tc>
                <w:tcPr>
                  <w:tcW w:w="293" w:type="pct"/>
                  <w:vAlign w:val="center"/>
                </w:tcPr>
                <w:p w14:paraId="0AC098B9">
                  <w:pPr>
                    <w:jc w:val="center"/>
                    <w:rPr>
                      <w:spacing w:val="6"/>
                      <w:sz w:val="18"/>
                      <w:szCs w:val="18"/>
                    </w:rPr>
                  </w:pPr>
                  <w:r>
                    <w:rPr>
                      <w:spacing w:val="6"/>
                      <w:sz w:val="18"/>
                      <w:szCs w:val="18"/>
                    </w:rPr>
                    <w:t>北</w:t>
                  </w:r>
                </w:p>
              </w:tc>
              <w:tc>
                <w:tcPr>
                  <w:tcW w:w="293" w:type="pct"/>
                  <w:vAlign w:val="center"/>
                </w:tcPr>
                <w:p w14:paraId="389316C9">
                  <w:pPr>
                    <w:jc w:val="center"/>
                    <w:rPr>
                      <w:spacing w:val="6"/>
                      <w:sz w:val="18"/>
                      <w:szCs w:val="18"/>
                    </w:rPr>
                  </w:pPr>
                  <w:r>
                    <w:rPr>
                      <w:rFonts w:hint="eastAsia"/>
                      <w:spacing w:val="6"/>
                      <w:sz w:val="18"/>
                      <w:szCs w:val="18"/>
                    </w:rPr>
                    <w:t>13</w:t>
                  </w:r>
                </w:p>
              </w:tc>
              <w:tc>
                <w:tcPr>
                  <w:tcW w:w="410" w:type="pct"/>
                  <w:vAlign w:val="center"/>
                </w:tcPr>
                <w:p w14:paraId="7EF4B06A">
                  <w:pPr>
                    <w:jc w:val="center"/>
                    <w:rPr>
                      <w:spacing w:val="6"/>
                      <w:sz w:val="18"/>
                      <w:szCs w:val="18"/>
                    </w:rPr>
                  </w:pPr>
                  <w:r>
                    <w:rPr>
                      <w:rFonts w:hint="eastAsia"/>
                      <w:spacing w:val="6"/>
                      <w:sz w:val="18"/>
                      <w:szCs w:val="18"/>
                    </w:rPr>
                    <w:t>52.7</w:t>
                  </w:r>
                </w:p>
              </w:tc>
              <w:tc>
                <w:tcPr>
                  <w:tcW w:w="293" w:type="pct"/>
                  <w:vMerge w:val="continue"/>
                  <w:vAlign w:val="center"/>
                </w:tcPr>
                <w:p w14:paraId="294D48AE">
                  <w:pPr>
                    <w:jc w:val="center"/>
                    <w:rPr>
                      <w:spacing w:val="6"/>
                      <w:sz w:val="18"/>
                      <w:szCs w:val="18"/>
                    </w:rPr>
                  </w:pPr>
                </w:p>
              </w:tc>
              <w:tc>
                <w:tcPr>
                  <w:tcW w:w="353" w:type="pct"/>
                  <w:vMerge w:val="continue"/>
                  <w:vAlign w:val="center"/>
                </w:tcPr>
                <w:p w14:paraId="196BD49C">
                  <w:pPr>
                    <w:jc w:val="center"/>
                    <w:rPr>
                      <w:spacing w:val="6"/>
                      <w:sz w:val="18"/>
                      <w:szCs w:val="18"/>
                    </w:rPr>
                  </w:pPr>
                </w:p>
              </w:tc>
              <w:tc>
                <w:tcPr>
                  <w:tcW w:w="365" w:type="pct"/>
                  <w:vAlign w:val="center"/>
                </w:tcPr>
                <w:p w14:paraId="16C9560B">
                  <w:pPr>
                    <w:jc w:val="center"/>
                    <w:rPr>
                      <w:spacing w:val="6"/>
                      <w:sz w:val="18"/>
                      <w:szCs w:val="18"/>
                    </w:rPr>
                  </w:pPr>
                  <w:r>
                    <w:rPr>
                      <w:rFonts w:hint="eastAsia"/>
                      <w:spacing w:val="6"/>
                      <w:sz w:val="18"/>
                      <w:szCs w:val="18"/>
                    </w:rPr>
                    <w:t>37.7</w:t>
                  </w:r>
                </w:p>
              </w:tc>
              <w:tc>
                <w:tcPr>
                  <w:tcW w:w="297" w:type="pct"/>
                  <w:vAlign w:val="center"/>
                </w:tcPr>
                <w:p w14:paraId="4D76211C">
                  <w:pPr>
                    <w:jc w:val="center"/>
                    <w:rPr>
                      <w:sz w:val="18"/>
                      <w:szCs w:val="18"/>
                    </w:rPr>
                  </w:pPr>
                  <w:r>
                    <w:rPr>
                      <w:rFonts w:hint="eastAsia"/>
                      <w:sz w:val="18"/>
                      <w:szCs w:val="18"/>
                    </w:rPr>
                    <w:t>1</w:t>
                  </w:r>
                </w:p>
              </w:tc>
            </w:tr>
            <w:tr w14:paraId="35F39A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restart"/>
                  <w:vAlign w:val="center"/>
                </w:tcPr>
                <w:p w14:paraId="190C54CB">
                  <w:pPr>
                    <w:jc w:val="center"/>
                    <w:rPr>
                      <w:spacing w:val="6"/>
                      <w:sz w:val="18"/>
                      <w:szCs w:val="18"/>
                    </w:rPr>
                  </w:pPr>
                  <w:r>
                    <w:rPr>
                      <w:rFonts w:hint="eastAsia"/>
                      <w:spacing w:val="6"/>
                      <w:sz w:val="18"/>
                      <w:szCs w:val="18"/>
                    </w:rPr>
                    <w:t>3</w:t>
                  </w:r>
                </w:p>
              </w:tc>
              <w:tc>
                <w:tcPr>
                  <w:tcW w:w="284" w:type="pct"/>
                  <w:vMerge w:val="continue"/>
                  <w:vAlign w:val="center"/>
                </w:tcPr>
                <w:p w14:paraId="31623C27">
                  <w:pPr>
                    <w:jc w:val="center"/>
                    <w:rPr>
                      <w:spacing w:val="6"/>
                      <w:sz w:val="18"/>
                      <w:szCs w:val="18"/>
                    </w:rPr>
                  </w:pPr>
                </w:p>
              </w:tc>
              <w:tc>
                <w:tcPr>
                  <w:tcW w:w="361" w:type="pct"/>
                  <w:vMerge w:val="restart"/>
                  <w:vAlign w:val="center"/>
                </w:tcPr>
                <w:p w14:paraId="79F31609">
                  <w:pPr>
                    <w:jc w:val="center"/>
                    <w:rPr>
                      <w:spacing w:val="6"/>
                      <w:sz w:val="18"/>
                      <w:szCs w:val="18"/>
                    </w:rPr>
                  </w:pPr>
                  <w:r>
                    <w:rPr>
                      <w:spacing w:val="6"/>
                      <w:sz w:val="18"/>
                      <w:szCs w:val="18"/>
                    </w:rPr>
                    <w:t>清洗干燥机</w:t>
                  </w:r>
                </w:p>
              </w:tc>
              <w:tc>
                <w:tcPr>
                  <w:tcW w:w="175" w:type="pct"/>
                  <w:vMerge w:val="restart"/>
                  <w:vAlign w:val="center"/>
                </w:tcPr>
                <w:p w14:paraId="2F55DCA4">
                  <w:pPr>
                    <w:jc w:val="center"/>
                    <w:rPr>
                      <w:spacing w:val="6"/>
                      <w:sz w:val="18"/>
                      <w:szCs w:val="18"/>
                    </w:rPr>
                  </w:pPr>
                  <w:r>
                    <w:rPr>
                      <w:rFonts w:hint="eastAsia"/>
                      <w:spacing w:val="6"/>
                      <w:sz w:val="18"/>
                      <w:szCs w:val="18"/>
                    </w:rPr>
                    <w:t>/</w:t>
                  </w:r>
                </w:p>
              </w:tc>
              <w:tc>
                <w:tcPr>
                  <w:tcW w:w="586" w:type="pct"/>
                  <w:vMerge w:val="restart"/>
                  <w:vAlign w:val="center"/>
                </w:tcPr>
                <w:p w14:paraId="7643AFB5">
                  <w:pPr>
                    <w:jc w:val="center"/>
                    <w:rPr>
                      <w:spacing w:val="6"/>
                      <w:sz w:val="18"/>
                      <w:szCs w:val="18"/>
                    </w:rPr>
                  </w:pPr>
                  <w:r>
                    <w:rPr>
                      <w:rFonts w:hint="eastAsia"/>
                      <w:spacing w:val="6"/>
                      <w:sz w:val="18"/>
                      <w:szCs w:val="18"/>
                    </w:rPr>
                    <w:t>65/1</w:t>
                  </w:r>
                </w:p>
              </w:tc>
              <w:tc>
                <w:tcPr>
                  <w:tcW w:w="360" w:type="pct"/>
                  <w:vMerge w:val="continue"/>
                  <w:vAlign w:val="center"/>
                </w:tcPr>
                <w:p w14:paraId="447951EE">
                  <w:pPr>
                    <w:jc w:val="center"/>
                    <w:rPr>
                      <w:spacing w:val="6"/>
                      <w:sz w:val="18"/>
                      <w:szCs w:val="18"/>
                    </w:rPr>
                  </w:pPr>
                </w:p>
              </w:tc>
              <w:tc>
                <w:tcPr>
                  <w:tcW w:w="226" w:type="pct"/>
                  <w:vMerge w:val="restart"/>
                  <w:vAlign w:val="center"/>
                </w:tcPr>
                <w:p w14:paraId="76E08439">
                  <w:pPr>
                    <w:jc w:val="center"/>
                    <w:rPr>
                      <w:spacing w:val="6"/>
                      <w:sz w:val="18"/>
                      <w:szCs w:val="18"/>
                    </w:rPr>
                  </w:pPr>
                  <w:r>
                    <w:rPr>
                      <w:rFonts w:hint="eastAsia"/>
                      <w:spacing w:val="6"/>
                      <w:sz w:val="18"/>
                      <w:szCs w:val="18"/>
                    </w:rPr>
                    <w:t>13</w:t>
                  </w:r>
                </w:p>
              </w:tc>
              <w:tc>
                <w:tcPr>
                  <w:tcW w:w="293" w:type="pct"/>
                  <w:vMerge w:val="restart"/>
                  <w:vAlign w:val="center"/>
                </w:tcPr>
                <w:p w14:paraId="0CA9102E">
                  <w:pPr>
                    <w:jc w:val="center"/>
                    <w:rPr>
                      <w:spacing w:val="6"/>
                      <w:sz w:val="18"/>
                      <w:szCs w:val="18"/>
                    </w:rPr>
                  </w:pPr>
                  <w:r>
                    <w:rPr>
                      <w:rFonts w:hint="eastAsia"/>
                      <w:spacing w:val="6"/>
                      <w:sz w:val="18"/>
                      <w:szCs w:val="18"/>
                    </w:rPr>
                    <w:t>36</w:t>
                  </w:r>
                </w:p>
              </w:tc>
              <w:tc>
                <w:tcPr>
                  <w:tcW w:w="235" w:type="pct"/>
                  <w:vMerge w:val="restart"/>
                  <w:vAlign w:val="center"/>
                </w:tcPr>
                <w:p w14:paraId="53E5E1F3">
                  <w:pPr>
                    <w:jc w:val="center"/>
                    <w:rPr>
                      <w:spacing w:val="6"/>
                      <w:sz w:val="18"/>
                      <w:szCs w:val="18"/>
                    </w:rPr>
                  </w:pPr>
                  <w:r>
                    <w:rPr>
                      <w:rFonts w:hint="eastAsia"/>
                      <w:spacing w:val="6"/>
                      <w:sz w:val="18"/>
                      <w:szCs w:val="18"/>
                    </w:rPr>
                    <w:t>1.2</w:t>
                  </w:r>
                </w:p>
              </w:tc>
              <w:tc>
                <w:tcPr>
                  <w:tcW w:w="293" w:type="pct"/>
                  <w:vAlign w:val="center"/>
                </w:tcPr>
                <w:p w14:paraId="626DC5EF">
                  <w:pPr>
                    <w:jc w:val="center"/>
                    <w:rPr>
                      <w:spacing w:val="6"/>
                      <w:sz w:val="18"/>
                      <w:szCs w:val="18"/>
                    </w:rPr>
                  </w:pPr>
                  <w:r>
                    <w:rPr>
                      <w:sz w:val="18"/>
                      <w:szCs w:val="18"/>
                    </w:rPr>
                    <w:t>东</w:t>
                  </w:r>
                </w:p>
              </w:tc>
              <w:tc>
                <w:tcPr>
                  <w:tcW w:w="293" w:type="pct"/>
                  <w:vAlign w:val="center"/>
                </w:tcPr>
                <w:p w14:paraId="72FCE37F">
                  <w:pPr>
                    <w:jc w:val="center"/>
                    <w:rPr>
                      <w:spacing w:val="6"/>
                      <w:sz w:val="18"/>
                      <w:szCs w:val="18"/>
                    </w:rPr>
                  </w:pPr>
                  <w:r>
                    <w:rPr>
                      <w:rFonts w:hint="eastAsia"/>
                      <w:spacing w:val="6"/>
                      <w:sz w:val="18"/>
                      <w:szCs w:val="18"/>
                    </w:rPr>
                    <w:t>12</w:t>
                  </w:r>
                </w:p>
              </w:tc>
              <w:tc>
                <w:tcPr>
                  <w:tcW w:w="410" w:type="pct"/>
                  <w:vAlign w:val="center"/>
                </w:tcPr>
                <w:p w14:paraId="3784D7D2">
                  <w:pPr>
                    <w:jc w:val="center"/>
                    <w:rPr>
                      <w:spacing w:val="6"/>
                      <w:sz w:val="18"/>
                      <w:szCs w:val="18"/>
                    </w:rPr>
                  </w:pPr>
                  <w:r>
                    <w:rPr>
                      <w:rFonts w:hint="eastAsia"/>
                      <w:spacing w:val="6"/>
                      <w:sz w:val="18"/>
                      <w:szCs w:val="18"/>
                    </w:rPr>
                    <w:t>43.4</w:t>
                  </w:r>
                </w:p>
              </w:tc>
              <w:tc>
                <w:tcPr>
                  <w:tcW w:w="293" w:type="pct"/>
                  <w:vMerge w:val="restart"/>
                  <w:vAlign w:val="center"/>
                </w:tcPr>
                <w:p w14:paraId="5E4EBCAE">
                  <w:pPr>
                    <w:jc w:val="center"/>
                    <w:rPr>
                      <w:spacing w:val="6"/>
                      <w:sz w:val="18"/>
                      <w:szCs w:val="18"/>
                    </w:rPr>
                  </w:pPr>
                  <w:r>
                    <w:rPr>
                      <w:rFonts w:hint="eastAsia"/>
                      <w:spacing w:val="6"/>
                      <w:sz w:val="18"/>
                      <w:szCs w:val="18"/>
                    </w:rPr>
                    <w:t>8h</w:t>
                  </w:r>
                </w:p>
              </w:tc>
              <w:tc>
                <w:tcPr>
                  <w:tcW w:w="353" w:type="pct"/>
                  <w:vMerge w:val="restart"/>
                  <w:vAlign w:val="center"/>
                </w:tcPr>
                <w:p w14:paraId="0220C35A">
                  <w:pPr>
                    <w:jc w:val="center"/>
                    <w:rPr>
                      <w:spacing w:val="6"/>
                      <w:sz w:val="18"/>
                      <w:szCs w:val="18"/>
                    </w:rPr>
                  </w:pPr>
                  <w:r>
                    <w:rPr>
                      <w:rFonts w:hint="eastAsia"/>
                      <w:spacing w:val="6"/>
                      <w:sz w:val="18"/>
                      <w:szCs w:val="18"/>
                    </w:rPr>
                    <w:t>15</w:t>
                  </w:r>
                </w:p>
              </w:tc>
              <w:tc>
                <w:tcPr>
                  <w:tcW w:w="365" w:type="pct"/>
                  <w:vAlign w:val="center"/>
                </w:tcPr>
                <w:p w14:paraId="16E99647">
                  <w:pPr>
                    <w:jc w:val="center"/>
                    <w:rPr>
                      <w:spacing w:val="6"/>
                      <w:sz w:val="18"/>
                      <w:szCs w:val="18"/>
                    </w:rPr>
                  </w:pPr>
                  <w:r>
                    <w:rPr>
                      <w:rFonts w:hint="eastAsia"/>
                      <w:spacing w:val="6"/>
                      <w:sz w:val="18"/>
                      <w:szCs w:val="18"/>
                    </w:rPr>
                    <w:t>28.4</w:t>
                  </w:r>
                </w:p>
              </w:tc>
              <w:tc>
                <w:tcPr>
                  <w:tcW w:w="297" w:type="pct"/>
                  <w:vAlign w:val="center"/>
                </w:tcPr>
                <w:p w14:paraId="7E11164A">
                  <w:pPr>
                    <w:jc w:val="center"/>
                    <w:rPr>
                      <w:sz w:val="18"/>
                      <w:szCs w:val="18"/>
                    </w:rPr>
                  </w:pPr>
                  <w:r>
                    <w:rPr>
                      <w:rFonts w:hint="eastAsia"/>
                      <w:sz w:val="18"/>
                      <w:szCs w:val="18"/>
                    </w:rPr>
                    <w:t>1</w:t>
                  </w:r>
                </w:p>
              </w:tc>
            </w:tr>
            <w:tr w14:paraId="58FF1A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736DFC99">
                  <w:pPr>
                    <w:jc w:val="center"/>
                    <w:rPr>
                      <w:spacing w:val="6"/>
                      <w:sz w:val="18"/>
                      <w:szCs w:val="18"/>
                    </w:rPr>
                  </w:pPr>
                </w:p>
              </w:tc>
              <w:tc>
                <w:tcPr>
                  <w:tcW w:w="284" w:type="pct"/>
                  <w:vMerge w:val="continue"/>
                  <w:vAlign w:val="center"/>
                </w:tcPr>
                <w:p w14:paraId="09EC529F">
                  <w:pPr>
                    <w:jc w:val="center"/>
                    <w:rPr>
                      <w:spacing w:val="6"/>
                      <w:sz w:val="18"/>
                      <w:szCs w:val="18"/>
                    </w:rPr>
                  </w:pPr>
                </w:p>
              </w:tc>
              <w:tc>
                <w:tcPr>
                  <w:tcW w:w="361" w:type="pct"/>
                  <w:vMerge w:val="continue"/>
                  <w:vAlign w:val="center"/>
                </w:tcPr>
                <w:p w14:paraId="2273C23B">
                  <w:pPr>
                    <w:jc w:val="center"/>
                    <w:rPr>
                      <w:spacing w:val="6"/>
                      <w:sz w:val="18"/>
                      <w:szCs w:val="18"/>
                    </w:rPr>
                  </w:pPr>
                </w:p>
              </w:tc>
              <w:tc>
                <w:tcPr>
                  <w:tcW w:w="175" w:type="pct"/>
                  <w:vMerge w:val="continue"/>
                  <w:vAlign w:val="center"/>
                </w:tcPr>
                <w:p w14:paraId="1ADC4707">
                  <w:pPr>
                    <w:jc w:val="center"/>
                    <w:rPr>
                      <w:spacing w:val="6"/>
                      <w:sz w:val="18"/>
                      <w:szCs w:val="18"/>
                    </w:rPr>
                  </w:pPr>
                </w:p>
              </w:tc>
              <w:tc>
                <w:tcPr>
                  <w:tcW w:w="586" w:type="pct"/>
                  <w:vMerge w:val="continue"/>
                  <w:vAlign w:val="center"/>
                </w:tcPr>
                <w:p w14:paraId="5DB358FE">
                  <w:pPr>
                    <w:jc w:val="center"/>
                    <w:rPr>
                      <w:spacing w:val="6"/>
                      <w:sz w:val="18"/>
                      <w:szCs w:val="18"/>
                    </w:rPr>
                  </w:pPr>
                </w:p>
              </w:tc>
              <w:tc>
                <w:tcPr>
                  <w:tcW w:w="360" w:type="pct"/>
                  <w:vMerge w:val="continue"/>
                  <w:vAlign w:val="center"/>
                </w:tcPr>
                <w:p w14:paraId="31692E92">
                  <w:pPr>
                    <w:jc w:val="center"/>
                    <w:rPr>
                      <w:spacing w:val="6"/>
                      <w:sz w:val="18"/>
                      <w:szCs w:val="18"/>
                    </w:rPr>
                  </w:pPr>
                </w:p>
              </w:tc>
              <w:tc>
                <w:tcPr>
                  <w:tcW w:w="226" w:type="pct"/>
                  <w:vMerge w:val="continue"/>
                  <w:vAlign w:val="center"/>
                </w:tcPr>
                <w:p w14:paraId="38568BC5">
                  <w:pPr>
                    <w:jc w:val="center"/>
                    <w:rPr>
                      <w:spacing w:val="6"/>
                      <w:sz w:val="18"/>
                      <w:szCs w:val="18"/>
                    </w:rPr>
                  </w:pPr>
                </w:p>
              </w:tc>
              <w:tc>
                <w:tcPr>
                  <w:tcW w:w="293" w:type="pct"/>
                  <w:vMerge w:val="continue"/>
                  <w:vAlign w:val="center"/>
                </w:tcPr>
                <w:p w14:paraId="613FAF05">
                  <w:pPr>
                    <w:jc w:val="center"/>
                    <w:rPr>
                      <w:spacing w:val="6"/>
                      <w:sz w:val="18"/>
                      <w:szCs w:val="18"/>
                    </w:rPr>
                  </w:pPr>
                </w:p>
              </w:tc>
              <w:tc>
                <w:tcPr>
                  <w:tcW w:w="235" w:type="pct"/>
                  <w:vMerge w:val="continue"/>
                  <w:vAlign w:val="center"/>
                </w:tcPr>
                <w:p w14:paraId="1373B639">
                  <w:pPr>
                    <w:jc w:val="center"/>
                    <w:rPr>
                      <w:spacing w:val="6"/>
                      <w:sz w:val="18"/>
                      <w:szCs w:val="18"/>
                    </w:rPr>
                  </w:pPr>
                </w:p>
              </w:tc>
              <w:tc>
                <w:tcPr>
                  <w:tcW w:w="293" w:type="pct"/>
                  <w:vAlign w:val="center"/>
                </w:tcPr>
                <w:p w14:paraId="0B35C61B">
                  <w:pPr>
                    <w:jc w:val="center"/>
                    <w:rPr>
                      <w:spacing w:val="6"/>
                      <w:sz w:val="18"/>
                      <w:szCs w:val="18"/>
                    </w:rPr>
                  </w:pPr>
                  <w:r>
                    <w:rPr>
                      <w:spacing w:val="6"/>
                      <w:sz w:val="18"/>
                      <w:szCs w:val="18"/>
                    </w:rPr>
                    <w:t>南</w:t>
                  </w:r>
                </w:p>
              </w:tc>
              <w:tc>
                <w:tcPr>
                  <w:tcW w:w="293" w:type="pct"/>
                  <w:vAlign w:val="center"/>
                </w:tcPr>
                <w:p w14:paraId="63ECE2E9">
                  <w:pPr>
                    <w:jc w:val="center"/>
                    <w:rPr>
                      <w:spacing w:val="6"/>
                      <w:sz w:val="18"/>
                      <w:szCs w:val="18"/>
                    </w:rPr>
                  </w:pPr>
                  <w:r>
                    <w:rPr>
                      <w:rFonts w:hint="eastAsia"/>
                      <w:spacing w:val="6"/>
                      <w:sz w:val="18"/>
                      <w:szCs w:val="18"/>
                    </w:rPr>
                    <w:t>97</w:t>
                  </w:r>
                </w:p>
              </w:tc>
              <w:tc>
                <w:tcPr>
                  <w:tcW w:w="410" w:type="pct"/>
                  <w:vAlign w:val="center"/>
                </w:tcPr>
                <w:p w14:paraId="759C7BDE">
                  <w:pPr>
                    <w:jc w:val="center"/>
                    <w:rPr>
                      <w:spacing w:val="6"/>
                      <w:sz w:val="18"/>
                      <w:szCs w:val="18"/>
                    </w:rPr>
                  </w:pPr>
                  <w:r>
                    <w:rPr>
                      <w:rFonts w:hint="eastAsia"/>
                      <w:spacing w:val="6"/>
                      <w:sz w:val="18"/>
                      <w:szCs w:val="18"/>
                    </w:rPr>
                    <w:t>25.0</w:t>
                  </w:r>
                </w:p>
              </w:tc>
              <w:tc>
                <w:tcPr>
                  <w:tcW w:w="293" w:type="pct"/>
                  <w:vMerge w:val="continue"/>
                  <w:vAlign w:val="center"/>
                </w:tcPr>
                <w:p w14:paraId="7BCA5D40">
                  <w:pPr>
                    <w:jc w:val="center"/>
                    <w:rPr>
                      <w:spacing w:val="6"/>
                      <w:sz w:val="18"/>
                      <w:szCs w:val="18"/>
                    </w:rPr>
                  </w:pPr>
                </w:p>
              </w:tc>
              <w:tc>
                <w:tcPr>
                  <w:tcW w:w="353" w:type="pct"/>
                  <w:vMerge w:val="continue"/>
                  <w:vAlign w:val="center"/>
                </w:tcPr>
                <w:p w14:paraId="0CC7B490">
                  <w:pPr>
                    <w:jc w:val="center"/>
                    <w:rPr>
                      <w:spacing w:val="6"/>
                      <w:sz w:val="18"/>
                      <w:szCs w:val="18"/>
                    </w:rPr>
                  </w:pPr>
                </w:p>
              </w:tc>
              <w:tc>
                <w:tcPr>
                  <w:tcW w:w="365" w:type="pct"/>
                  <w:vAlign w:val="center"/>
                </w:tcPr>
                <w:p w14:paraId="7C21F903">
                  <w:pPr>
                    <w:jc w:val="center"/>
                    <w:rPr>
                      <w:spacing w:val="6"/>
                      <w:sz w:val="18"/>
                      <w:szCs w:val="18"/>
                    </w:rPr>
                  </w:pPr>
                  <w:r>
                    <w:rPr>
                      <w:rFonts w:hint="eastAsia"/>
                      <w:spacing w:val="6"/>
                      <w:sz w:val="18"/>
                      <w:szCs w:val="18"/>
                    </w:rPr>
                    <w:t>10</w:t>
                  </w:r>
                </w:p>
              </w:tc>
              <w:tc>
                <w:tcPr>
                  <w:tcW w:w="297" w:type="pct"/>
                  <w:vAlign w:val="center"/>
                </w:tcPr>
                <w:p w14:paraId="68125FD7">
                  <w:pPr>
                    <w:jc w:val="center"/>
                    <w:rPr>
                      <w:sz w:val="18"/>
                      <w:szCs w:val="18"/>
                    </w:rPr>
                  </w:pPr>
                  <w:r>
                    <w:rPr>
                      <w:rFonts w:hint="eastAsia"/>
                      <w:sz w:val="18"/>
                      <w:szCs w:val="18"/>
                    </w:rPr>
                    <w:t>1</w:t>
                  </w:r>
                </w:p>
              </w:tc>
            </w:tr>
            <w:tr w14:paraId="3F6F5675">
              <w:tblPrEx>
                <w:tblCellMar>
                  <w:top w:w="0" w:type="dxa"/>
                  <w:left w:w="108" w:type="dxa"/>
                  <w:bottom w:w="0" w:type="dxa"/>
                  <w:right w:w="108" w:type="dxa"/>
                </w:tblCellMar>
              </w:tblPrEx>
              <w:trPr>
                <w:trHeight w:val="195" w:hRule="atLeast"/>
                <w:jc w:val="center"/>
              </w:trPr>
              <w:tc>
                <w:tcPr>
                  <w:tcW w:w="176" w:type="pct"/>
                  <w:vMerge w:val="continue"/>
                  <w:vAlign w:val="center"/>
                </w:tcPr>
                <w:p w14:paraId="6D872815">
                  <w:pPr>
                    <w:jc w:val="center"/>
                    <w:rPr>
                      <w:spacing w:val="6"/>
                      <w:sz w:val="18"/>
                      <w:szCs w:val="18"/>
                    </w:rPr>
                  </w:pPr>
                </w:p>
              </w:tc>
              <w:tc>
                <w:tcPr>
                  <w:tcW w:w="284" w:type="pct"/>
                  <w:vMerge w:val="continue"/>
                  <w:vAlign w:val="center"/>
                </w:tcPr>
                <w:p w14:paraId="7D282D0D">
                  <w:pPr>
                    <w:jc w:val="center"/>
                    <w:rPr>
                      <w:spacing w:val="6"/>
                      <w:sz w:val="18"/>
                      <w:szCs w:val="18"/>
                    </w:rPr>
                  </w:pPr>
                </w:p>
              </w:tc>
              <w:tc>
                <w:tcPr>
                  <w:tcW w:w="361" w:type="pct"/>
                  <w:vMerge w:val="continue"/>
                  <w:vAlign w:val="center"/>
                </w:tcPr>
                <w:p w14:paraId="0B3D4B44">
                  <w:pPr>
                    <w:jc w:val="center"/>
                    <w:rPr>
                      <w:spacing w:val="6"/>
                      <w:sz w:val="18"/>
                      <w:szCs w:val="18"/>
                    </w:rPr>
                  </w:pPr>
                </w:p>
              </w:tc>
              <w:tc>
                <w:tcPr>
                  <w:tcW w:w="175" w:type="pct"/>
                  <w:vMerge w:val="continue"/>
                  <w:vAlign w:val="center"/>
                </w:tcPr>
                <w:p w14:paraId="6D05F526">
                  <w:pPr>
                    <w:jc w:val="center"/>
                    <w:rPr>
                      <w:spacing w:val="6"/>
                      <w:sz w:val="18"/>
                      <w:szCs w:val="18"/>
                    </w:rPr>
                  </w:pPr>
                </w:p>
              </w:tc>
              <w:tc>
                <w:tcPr>
                  <w:tcW w:w="586" w:type="pct"/>
                  <w:vMerge w:val="continue"/>
                  <w:vAlign w:val="center"/>
                </w:tcPr>
                <w:p w14:paraId="3BB68567">
                  <w:pPr>
                    <w:jc w:val="center"/>
                    <w:rPr>
                      <w:spacing w:val="6"/>
                      <w:sz w:val="18"/>
                      <w:szCs w:val="18"/>
                    </w:rPr>
                  </w:pPr>
                </w:p>
              </w:tc>
              <w:tc>
                <w:tcPr>
                  <w:tcW w:w="360" w:type="pct"/>
                  <w:vMerge w:val="continue"/>
                  <w:vAlign w:val="center"/>
                </w:tcPr>
                <w:p w14:paraId="581911E3">
                  <w:pPr>
                    <w:jc w:val="center"/>
                    <w:rPr>
                      <w:spacing w:val="6"/>
                      <w:sz w:val="18"/>
                      <w:szCs w:val="18"/>
                    </w:rPr>
                  </w:pPr>
                </w:p>
              </w:tc>
              <w:tc>
                <w:tcPr>
                  <w:tcW w:w="226" w:type="pct"/>
                  <w:vMerge w:val="continue"/>
                  <w:vAlign w:val="center"/>
                </w:tcPr>
                <w:p w14:paraId="25E3A55D">
                  <w:pPr>
                    <w:jc w:val="center"/>
                    <w:rPr>
                      <w:spacing w:val="6"/>
                      <w:sz w:val="18"/>
                      <w:szCs w:val="18"/>
                    </w:rPr>
                  </w:pPr>
                </w:p>
              </w:tc>
              <w:tc>
                <w:tcPr>
                  <w:tcW w:w="293" w:type="pct"/>
                  <w:vMerge w:val="continue"/>
                  <w:vAlign w:val="center"/>
                </w:tcPr>
                <w:p w14:paraId="27B0B98B">
                  <w:pPr>
                    <w:jc w:val="center"/>
                    <w:rPr>
                      <w:spacing w:val="6"/>
                      <w:sz w:val="18"/>
                      <w:szCs w:val="18"/>
                    </w:rPr>
                  </w:pPr>
                </w:p>
              </w:tc>
              <w:tc>
                <w:tcPr>
                  <w:tcW w:w="235" w:type="pct"/>
                  <w:vMerge w:val="continue"/>
                  <w:vAlign w:val="center"/>
                </w:tcPr>
                <w:p w14:paraId="29549E14">
                  <w:pPr>
                    <w:jc w:val="center"/>
                    <w:rPr>
                      <w:spacing w:val="6"/>
                      <w:sz w:val="18"/>
                      <w:szCs w:val="18"/>
                    </w:rPr>
                  </w:pPr>
                </w:p>
              </w:tc>
              <w:tc>
                <w:tcPr>
                  <w:tcW w:w="293" w:type="pct"/>
                  <w:vAlign w:val="center"/>
                </w:tcPr>
                <w:p w14:paraId="7121B9AD">
                  <w:pPr>
                    <w:jc w:val="center"/>
                    <w:rPr>
                      <w:spacing w:val="6"/>
                      <w:sz w:val="18"/>
                      <w:szCs w:val="18"/>
                    </w:rPr>
                  </w:pPr>
                  <w:r>
                    <w:rPr>
                      <w:spacing w:val="6"/>
                      <w:sz w:val="18"/>
                      <w:szCs w:val="18"/>
                    </w:rPr>
                    <w:t>西</w:t>
                  </w:r>
                </w:p>
              </w:tc>
              <w:tc>
                <w:tcPr>
                  <w:tcW w:w="293" w:type="pct"/>
                  <w:vAlign w:val="center"/>
                </w:tcPr>
                <w:p w14:paraId="2944D714">
                  <w:pPr>
                    <w:jc w:val="center"/>
                    <w:rPr>
                      <w:spacing w:val="6"/>
                      <w:sz w:val="18"/>
                      <w:szCs w:val="18"/>
                    </w:rPr>
                  </w:pPr>
                  <w:r>
                    <w:rPr>
                      <w:rFonts w:hint="eastAsia"/>
                      <w:spacing w:val="6"/>
                      <w:sz w:val="18"/>
                      <w:szCs w:val="18"/>
                    </w:rPr>
                    <w:t>35</w:t>
                  </w:r>
                </w:p>
              </w:tc>
              <w:tc>
                <w:tcPr>
                  <w:tcW w:w="410" w:type="pct"/>
                  <w:vAlign w:val="center"/>
                </w:tcPr>
                <w:p w14:paraId="65401204">
                  <w:pPr>
                    <w:jc w:val="center"/>
                    <w:rPr>
                      <w:spacing w:val="6"/>
                      <w:sz w:val="18"/>
                      <w:szCs w:val="18"/>
                    </w:rPr>
                  </w:pPr>
                  <w:r>
                    <w:rPr>
                      <w:rFonts w:hint="eastAsia"/>
                      <w:spacing w:val="6"/>
                      <w:sz w:val="18"/>
                      <w:szCs w:val="18"/>
                    </w:rPr>
                    <w:t>34.1</w:t>
                  </w:r>
                </w:p>
              </w:tc>
              <w:tc>
                <w:tcPr>
                  <w:tcW w:w="293" w:type="pct"/>
                  <w:vMerge w:val="continue"/>
                  <w:vAlign w:val="center"/>
                </w:tcPr>
                <w:p w14:paraId="6348B973">
                  <w:pPr>
                    <w:jc w:val="center"/>
                    <w:rPr>
                      <w:spacing w:val="6"/>
                      <w:sz w:val="18"/>
                      <w:szCs w:val="18"/>
                    </w:rPr>
                  </w:pPr>
                </w:p>
              </w:tc>
              <w:tc>
                <w:tcPr>
                  <w:tcW w:w="353" w:type="pct"/>
                  <w:vMerge w:val="continue"/>
                  <w:vAlign w:val="center"/>
                </w:tcPr>
                <w:p w14:paraId="2C3F24FA">
                  <w:pPr>
                    <w:jc w:val="center"/>
                    <w:rPr>
                      <w:spacing w:val="6"/>
                      <w:sz w:val="18"/>
                      <w:szCs w:val="18"/>
                    </w:rPr>
                  </w:pPr>
                </w:p>
              </w:tc>
              <w:tc>
                <w:tcPr>
                  <w:tcW w:w="365" w:type="pct"/>
                  <w:vAlign w:val="center"/>
                </w:tcPr>
                <w:p w14:paraId="2FBA2BE8">
                  <w:pPr>
                    <w:jc w:val="center"/>
                    <w:rPr>
                      <w:spacing w:val="6"/>
                      <w:sz w:val="18"/>
                      <w:szCs w:val="18"/>
                    </w:rPr>
                  </w:pPr>
                  <w:r>
                    <w:rPr>
                      <w:rFonts w:hint="eastAsia"/>
                      <w:spacing w:val="6"/>
                      <w:sz w:val="18"/>
                      <w:szCs w:val="18"/>
                    </w:rPr>
                    <w:t>19.1</w:t>
                  </w:r>
                </w:p>
              </w:tc>
              <w:tc>
                <w:tcPr>
                  <w:tcW w:w="297" w:type="pct"/>
                  <w:vAlign w:val="center"/>
                </w:tcPr>
                <w:p w14:paraId="40728485">
                  <w:pPr>
                    <w:jc w:val="center"/>
                    <w:rPr>
                      <w:sz w:val="18"/>
                      <w:szCs w:val="18"/>
                    </w:rPr>
                  </w:pPr>
                  <w:r>
                    <w:rPr>
                      <w:rFonts w:hint="eastAsia"/>
                      <w:sz w:val="18"/>
                      <w:szCs w:val="18"/>
                    </w:rPr>
                    <w:t>1</w:t>
                  </w:r>
                </w:p>
              </w:tc>
            </w:tr>
            <w:tr w14:paraId="783ACF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95" w:hRule="atLeast"/>
                <w:jc w:val="center"/>
              </w:trPr>
              <w:tc>
                <w:tcPr>
                  <w:tcW w:w="176" w:type="pct"/>
                  <w:vMerge w:val="continue"/>
                  <w:vAlign w:val="center"/>
                </w:tcPr>
                <w:p w14:paraId="4FD6354C">
                  <w:pPr>
                    <w:jc w:val="center"/>
                    <w:rPr>
                      <w:spacing w:val="6"/>
                      <w:sz w:val="18"/>
                      <w:szCs w:val="18"/>
                    </w:rPr>
                  </w:pPr>
                </w:p>
              </w:tc>
              <w:tc>
                <w:tcPr>
                  <w:tcW w:w="284" w:type="pct"/>
                  <w:vMerge w:val="continue"/>
                  <w:vAlign w:val="center"/>
                </w:tcPr>
                <w:p w14:paraId="2B5772F1">
                  <w:pPr>
                    <w:jc w:val="center"/>
                    <w:rPr>
                      <w:spacing w:val="6"/>
                      <w:sz w:val="18"/>
                      <w:szCs w:val="18"/>
                    </w:rPr>
                  </w:pPr>
                </w:p>
              </w:tc>
              <w:tc>
                <w:tcPr>
                  <w:tcW w:w="361" w:type="pct"/>
                  <w:vMerge w:val="continue"/>
                  <w:vAlign w:val="center"/>
                </w:tcPr>
                <w:p w14:paraId="547EC690">
                  <w:pPr>
                    <w:jc w:val="center"/>
                    <w:rPr>
                      <w:spacing w:val="6"/>
                      <w:sz w:val="18"/>
                      <w:szCs w:val="18"/>
                    </w:rPr>
                  </w:pPr>
                </w:p>
              </w:tc>
              <w:tc>
                <w:tcPr>
                  <w:tcW w:w="175" w:type="pct"/>
                  <w:vMerge w:val="continue"/>
                  <w:vAlign w:val="center"/>
                </w:tcPr>
                <w:p w14:paraId="728F69FD">
                  <w:pPr>
                    <w:jc w:val="center"/>
                    <w:rPr>
                      <w:spacing w:val="6"/>
                      <w:sz w:val="18"/>
                      <w:szCs w:val="18"/>
                    </w:rPr>
                  </w:pPr>
                </w:p>
              </w:tc>
              <w:tc>
                <w:tcPr>
                  <w:tcW w:w="586" w:type="pct"/>
                  <w:vMerge w:val="continue"/>
                  <w:vAlign w:val="center"/>
                </w:tcPr>
                <w:p w14:paraId="16F185EF">
                  <w:pPr>
                    <w:jc w:val="center"/>
                    <w:rPr>
                      <w:spacing w:val="6"/>
                      <w:sz w:val="18"/>
                      <w:szCs w:val="18"/>
                    </w:rPr>
                  </w:pPr>
                </w:p>
              </w:tc>
              <w:tc>
                <w:tcPr>
                  <w:tcW w:w="360" w:type="pct"/>
                  <w:vMerge w:val="continue"/>
                  <w:vAlign w:val="center"/>
                </w:tcPr>
                <w:p w14:paraId="247A7133">
                  <w:pPr>
                    <w:jc w:val="center"/>
                    <w:rPr>
                      <w:spacing w:val="6"/>
                      <w:sz w:val="18"/>
                      <w:szCs w:val="18"/>
                    </w:rPr>
                  </w:pPr>
                </w:p>
              </w:tc>
              <w:tc>
                <w:tcPr>
                  <w:tcW w:w="226" w:type="pct"/>
                  <w:vMerge w:val="continue"/>
                  <w:vAlign w:val="center"/>
                </w:tcPr>
                <w:p w14:paraId="21DCAB65">
                  <w:pPr>
                    <w:jc w:val="center"/>
                    <w:rPr>
                      <w:spacing w:val="6"/>
                      <w:sz w:val="18"/>
                      <w:szCs w:val="18"/>
                    </w:rPr>
                  </w:pPr>
                </w:p>
              </w:tc>
              <w:tc>
                <w:tcPr>
                  <w:tcW w:w="293" w:type="pct"/>
                  <w:vMerge w:val="continue"/>
                  <w:vAlign w:val="center"/>
                </w:tcPr>
                <w:p w14:paraId="09951C9E">
                  <w:pPr>
                    <w:jc w:val="center"/>
                    <w:rPr>
                      <w:spacing w:val="6"/>
                      <w:sz w:val="18"/>
                      <w:szCs w:val="18"/>
                    </w:rPr>
                  </w:pPr>
                </w:p>
              </w:tc>
              <w:tc>
                <w:tcPr>
                  <w:tcW w:w="235" w:type="pct"/>
                  <w:vMerge w:val="continue"/>
                  <w:vAlign w:val="center"/>
                </w:tcPr>
                <w:p w14:paraId="24AE1B4C">
                  <w:pPr>
                    <w:jc w:val="center"/>
                    <w:rPr>
                      <w:spacing w:val="6"/>
                      <w:sz w:val="18"/>
                      <w:szCs w:val="18"/>
                    </w:rPr>
                  </w:pPr>
                </w:p>
              </w:tc>
              <w:tc>
                <w:tcPr>
                  <w:tcW w:w="293" w:type="pct"/>
                  <w:vAlign w:val="center"/>
                </w:tcPr>
                <w:p w14:paraId="7E547459">
                  <w:pPr>
                    <w:jc w:val="center"/>
                    <w:rPr>
                      <w:spacing w:val="6"/>
                      <w:sz w:val="18"/>
                      <w:szCs w:val="18"/>
                    </w:rPr>
                  </w:pPr>
                  <w:r>
                    <w:rPr>
                      <w:spacing w:val="6"/>
                      <w:sz w:val="18"/>
                      <w:szCs w:val="18"/>
                    </w:rPr>
                    <w:t>北</w:t>
                  </w:r>
                </w:p>
              </w:tc>
              <w:tc>
                <w:tcPr>
                  <w:tcW w:w="293" w:type="pct"/>
                  <w:vAlign w:val="center"/>
                </w:tcPr>
                <w:p w14:paraId="6815C017">
                  <w:pPr>
                    <w:jc w:val="center"/>
                    <w:rPr>
                      <w:spacing w:val="6"/>
                      <w:sz w:val="18"/>
                      <w:szCs w:val="18"/>
                    </w:rPr>
                  </w:pPr>
                  <w:r>
                    <w:rPr>
                      <w:rFonts w:hint="eastAsia"/>
                      <w:spacing w:val="6"/>
                      <w:sz w:val="18"/>
                      <w:szCs w:val="18"/>
                    </w:rPr>
                    <w:t>16</w:t>
                  </w:r>
                </w:p>
              </w:tc>
              <w:tc>
                <w:tcPr>
                  <w:tcW w:w="410" w:type="pct"/>
                  <w:vAlign w:val="center"/>
                </w:tcPr>
                <w:p w14:paraId="3131C09F">
                  <w:pPr>
                    <w:jc w:val="center"/>
                    <w:rPr>
                      <w:spacing w:val="6"/>
                      <w:sz w:val="18"/>
                      <w:szCs w:val="18"/>
                    </w:rPr>
                  </w:pPr>
                  <w:r>
                    <w:rPr>
                      <w:rFonts w:hint="eastAsia"/>
                      <w:spacing w:val="6"/>
                      <w:sz w:val="18"/>
                      <w:szCs w:val="18"/>
                    </w:rPr>
                    <w:t>42.7</w:t>
                  </w:r>
                </w:p>
              </w:tc>
              <w:tc>
                <w:tcPr>
                  <w:tcW w:w="293" w:type="pct"/>
                  <w:vMerge w:val="continue"/>
                  <w:vAlign w:val="center"/>
                </w:tcPr>
                <w:p w14:paraId="59731CAE">
                  <w:pPr>
                    <w:jc w:val="center"/>
                    <w:rPr>
                      <w:spacing w:val="6"/>
                      <w:sz w:val="18"/>
                      <w:szCs w:val="18"/>
                    </w:rPr>
                  </w:pPr>
                </w:p>
              </w:tc>
              <w:tc>
                <w:tcPr>
                  <w:tcW w:w="353" w:type="pct"/>
                  <w:vMerge w:val="continue"/>
                  <w:vAlign w:val="center"/>
                </w:tcPr>
                <w:p w14:paraId="4C71F36C">
                  <w:pPr>
                    <w:jc w:val="center"/>
                    <w:rPr>
                      <w:spacing w:val="6"/>
                      <w:sz w:val="18"/>
                      <w:szCs w:val="18"/>
                    </w:rPr>
                  </w:pPr>
                </w:p>
              </w:tc>
              <w:tc>
                <w:tcPr>
                  <w:tcW w:w="365" w:type="pct"/>
                  <w:vAlign w:val="center"/>
                </w:tcPr>
                <w:p w14:paraId="29140D01">
                  <w:pPr>
                    <w:jc w:val="center"/>
                    <w:rPr>
                      <w:spacing w:val="6"/>
                      <w:sz w:val="18"/>
                      <w:szCs w:val="18"/>
                    </w:rPr>
                  </w:pPr>
                  <w:r>
                    <w:rPr>
                      <w:rFonts w:hint="eastAsia"/>
                      <w:spacing w:val="6"/>
                      <w:sz w:val="18"/>
                      <w:szCs w:val="18"/>
                    </w:rPr>
                    <w:t>27.7</w:t>
                  </w:r>
                </w:p>
              </w:tc>
              <w:tc>
                <w:tcPr>
                  <w:tcW w:w="297" w:type="pct"/>
                  <w:vAlign w:val="center"/>
                </w:tcPr>
                <w:p w14:paraId="47F1A00D">
                  <w:pPr>
                    <w:jc w:val="center"/>
                    <w:rPr>
                      <w:sz w:val="18"/>
                      <w:szCs w:val="18"/>
                    </w:rPr>
                  </w:pPr>
                  <w:r>
                    <w:rPr>
                      <w:rFonts w:hint="eastAsia"/>
                      <w:sz w:val="18"/>
                      <w:szCs w:val="18"/>
                    </w:rPr>
                    <w:t>1</w:t>
                  </w:r>
                </w:p>
              </w:tc>
            </w:tr>
            <w:tr w14:paraId="0BDA85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restart"/>
                  <w:vAlign w:val="center"/>
                </w:tcPr>
                <w:p w14:paraId="78EA4C44">
                  <w:pPr>
                    <w:jc w:val="center"/>
                    <w:rPr>
                      <w:spacing w:val="6"/>
                      <w:sz w:val="18"/>
                      <w:szCs w:val="18"/>
                    </w:rPr>
                  </w:pPr>
                  <w:r>
                    <w:rPr>
                      <w:rFonts w:hint="eastAsia"/>
                      <w:spacing w:val="6"/>
                      <w:sz w:val="18"/>
                      <w:szCs w:val="18"/>
                    </w:rPr>
                    <w:t>4</w:t>
                  </w:r>
                </w:p>
              </w:tc>
              <w:tc>
                <w:tcPr>
                  <w:tcW w:w="284" w:type="pct"/>
                  <w:vMerge w:val="continue"/>
                  <w:vAlign w:val="center"/>
                </w:tcPr>
                <w:p w14:paraId="2FD43FC1">
                  <w:pPr>
                    <w:jc w:val="center"/>
                    <w:rPr>
                      <w:spacing w:val="6"/>
                      <w:sz w:val="18"/>
                      <w:szCs w:val="18"/>
                    </w:rPr>
                  </w:pPr>
                </w:p>
              </w:tc>
              <w:tc>
                <w:tcPr>
                  <w:tcW w:w="361" w:type="pct"/>
                  <w:vMerge w:val="restart"/>
                  <w:vAlign w:val="center"/>
                </w:tcPr>
                <w:p w14:paraId="599DE7C2">
                  <w:pPr>
                    <w:jc w:val="center"/>
                    <w:rPr>
                      <w:spacing w:val="6"/>
                      <w:sz w:val="18"/>
                      <w:szCs w:val="18"/>
                    </w:rPr>
                  </w:pPr>
                  <w:r>
                    <w:rPr>
                      <w:spacing w:val="6"/>
                      <w:sz w:val="18"/>
                      <w:szCs w:val="18"/>
                    </w:rPr>
                    <w:t>钢化炉</w:t>
                  </w:r>
                </w:p>
              </w:tc>
              <w:tc>
                <w:tcPr>
                  <w:tcW w:w="175" w:type="pct"/>
                  <w:vMerge w:val="restart"/>
                  <w:vAlign w:val="center"/>
                </w:tcPr>
                <w:p w14:paraId="4CFF8C63">
                  <w:pPr>
                    <w:jc w:val="center"/>
                    <w:rPr>
                      <w:spacing w:val="6"/>
                      <w:sz w:val="18"/>
                      <w:szCs w:val="18"/>
                    </w:rPr>
                  </w:pPr>
                  <w:r>
                    <w:rPr>
                      <w:rFonts w:hint="eastAsia"/>
                      <w:spacing w:val="6"/>
                      <w:sz w:val="18"/>
                      <w:szCs w:val="18"/>
                    </w:rPr>
                    <w:t>/</w:t>
                  </w:r>
                </w:p>
              </w:tc>
              <w:tc>
                <w:tcPr>
                  <w:tcW w:w="586" w:type="pct"/>
                  <w:vMerge w:val="restart"/>
                  <w:vAlign w:val="center"/>
                </w:tcPr>
                <w:p w14:paraId="116B4715">
                  <w:pPr>
                    <w:jc w:val="center"/>
                    <w:rPr>
                      <w:spacing w:val="6"/>
                      <w:sz w:val="18"/>
                      <w:szCs w:val="18"/>
                    </w:rPr>
                  </w:pPr>
                  <w:r>
                    <w:rPr>
                      <w:rFonts w:hint="eastAsia"/>
                      <w:spacing w:val="6"/>
                      <w:sz w:val="18"/>
                      <w:szCs w:val="18"/>
                    </w:rPr>
                    <w:t>65/1</w:t>
                  </w:r>
                </w:p>
              </w:tc>
              <w:tc>
                <w:tcPr>
                  <w:tcW w:w="360" w:type="pct"/>
                  <w:vMerge w:val="continue"/>
                  <w:vAlign w:val="center"/>
                </w:tcPr>
                <w:p w14:paraId="507FA4E2">
                  <w:pPr>
                    <w:jc w:val="center"/>
                    <w:rPr>
                      <w:spacing w:val="6"/>
                      <w:sz w:val="18"/>
                      <w:szCs w:val="18"/>
                    </w:rPr>
                  </w:pPr>
                </w:p>
              </w:tc>
              <w:tc>
                <w:tcPr>
                  <w:tcW w:w="226" w:type="pct"/>
                  <w:vMerge w:val="restart"/>
                  <w:vAlign w:val="center"/>
                </w:tcPr>
                <w:p w14:paraId="151DDBC9">
                  <w:pPr>
                    <w:jc w:val="center"/>
                    <w:rPr>
                      <w:spacing w:val="6"/>
                      <w:sz w:val="18"/>
                      <w:szCs w:val="18"/>
                    </w:rPr>
                  </w:pPr>
                  <w:r>
                    <w:rPr>
                      <w:rFonts w:hint="eastAsia"/>
                      <w:spacing w:val="6"/>
                      <w:sz w:val="18"/>
                      <w:szCs w:val="18"/>
                    </w:rPr>
                    <w:t>-10</w:t>
                  </w:r>
                </w:p>
              </w:tc>
              <w:tc>
                <w:tcPr>
                  <w:tcW w:w="293" w:type="pct"/>
                  <w:vMerge w:val="restart"/>
                  <w:vAlign w:val="center"/>
                </w:tcPr>
                <w:p w14:paraId="145E48F7">
                  <w:pPr>
                    <w:jc w:val="center"/>
                    <w:rPr>
                      <w:spacing w:val="6"/>
                      <w:sz w:val="18"/>
                      <w:szCs w:val="18"/>
                    </w:rPr>
                  </w:pPr>
                  <w:r>
                    <w:rPr>
                      <w:rFonts w:hint="eastAsia"/>
                      <w:spacing w:val="6"/>
                      <w:sz w:val="18"/>
                      <w:szCs w:val="18"/>
                    </w:rPr>
                    <w:t>0</w:t>
                  </w:r>
                </w:p>
              </w:tc>
              <w:tc>
                <w:tcPr>
                  <w:tcW w:w="235" w:type="pct"/>
                  <w:vMerge w:val="restart"/>
                  <w:vAlign w:val="center"/>
                </w:tcPr>
                <w:p w14:paraId="62764A46">
                  <w:pPr>
                    <w:jc w:val="center"/>
                    <w:rPr>
                      <w:spacing w:val="6"/>
                      <w:sz w:val="18"/>
                      <w:szCs w:val="18"/>
                    </w:rPr>
                  </w:pPr>
                  <w:r>
                    <w:rPr>
                      <w:rFonts w:hint="eastAsia"/>
                      <w:spacing w:val="6"/>
                      <w:sz w:val="18"/>
                      <w:szCs w:val="18"/>
                    </w:rPr>
                    <w:t>1.2</w:t>
                  </w:r>
                </w:p>
              </w:tc>
              <w:tc>
                <w:tcPr>
                  <w:tcW w:w="293" w:type="pct"/>
                  <w:vAlign w:val="center"/>
                </w:tcPr>
                <w:p w14:paraId="4066ECA3">
                  <w:pPr>
                    <w:jc w:val="center"/>
                    <w:rPr>
                      <w:spacing w:val="6"/>
                      <w:sz w:val="18"/>
                      <w:szCs w:val="18"/>
                    </w:rPr>
                  </w:pPr>
                  <w:r>
                    <w:rPr>
                      <w:sz w:val="18"/>
                      <w:szCs w:val="18"/>
                    </w:rPr>
                    <w:t>东</w:t>
                  </w:r>
                </w:p>
              </w:tc>
              <w:tc>
                <w:tcPr>
                  <w:tcW w:w="293" w:type="pct"/>
                  <w:vAlign w:val="center"/>
                </w:tcPr>
                <w:p w14:paraId="6E8CFEE8">
                  <w:pPr>
                    <w:jc w:val="center"/>
                    <w:rPr>
                      <w:spacing w:val="6"/>
                      <w:sz w:val="18"/>
                      <w:szCs w:val="18"/>
                    </w:rPr>
                  </w:pPr>
                  <w:r>
                    <w:rPr>
                      <w:rFonts w:hint="eastAsia"/>
                      <w:spacing w:val="6"/>
                      <w:sz w:val="18"/>
                      <w:szCs w:val="18"/>
                    </w:rPr>
                    <w:t>34</w:t>
                  </w:r>
                </w:p>
              </w:tc>
              <w:tc>
                <w:tcPr>
                  <w:tcW w:w="410" w:type="pct"/>
                  <w:vAlign w:val="center"/>
                </w:tcPr>
                <w:p w14:paraId="185DDF33">
                  <w:pPr>
                    <w:jc w:val="center"/>
                    <w:rPr>
                      <w:spacing w:val="6"/>
                      <w:sz w:val="18"/>
                      <w:szCs w:val="18"/>
                    </w:rPr>
                  </w:pPr>
                  <w:r>
                    <w:rPr>
                      <w:rFonts w:hint="eastAsia"/>
                      <w:spacing w:val="6"/>
                      <w:sz w:val="18"/>
                      <w:szCs w:val="18"/>
                    </w:rPr>
                    <w:t>34.4</w:t>
                  </w:r>
                </w:p>
              </w:tc>
              <w:tc>
                <w:tcPr>
                  <w:tcW w:w="293" w:type="pct"/>
                  <w:vMerge w:val="restart"/>
                  <w:vAlign w:val="center"/>
                </w:tcPr>
                <w:p w14:paraId="35977885">
                  <w:pPr>
                    <w:jc w:val="center"/>
                    <w:rPr>
                      <w:spacing w:val="6"/>
                      <w:sz w:val="18"/>
                      <w:szCs w:val="18"/>
                    </w:rPr>
                  </w:pPr>
                  <w:r>
                    <w:rPr>
                      <w:rFonts w:hint="eastAsia"/>
                      <w:spacing w:val="6"/>
                      <w:sz w:val="18"/>
                      <w:szCs w:val="18"/>
                    </w:rPr>
                    <w:t>8h</w:t>
                  </w:r>
                </w:p>
              </w:tc>
              <w:tc>
                <w:tcPr>
                  <w:tcW w:w="353" w:type="pct"/>
                  <w:vMerge w:val="restart"/>
                  <w:vAlign w:val="center"/>
                </w:tcPr>
                <w:p w14:paraId="0CA8F633">
                  <w:pPr>
                    <w:jc w:val="center"/>
                    <w:rPr>
                      <w:spacing w:val="6"/>
                      <w:sz w:val="18"/>
                      <w:szCs w:val="18"/>
                    </w:rPr>
                  </w:pPr>
                  <w:r>
                    <w:rPr>
                      <w:rFonts w:hint="eastAsia"/>
                      <w:spacing w:val="6"/>
                      <w:sz w:val="18"/>
                      <w:szCs w:val="18"/>
                    </w:rPr>
                    <w:t>15</w:t>
                  </w:r>
                </w:p>
              </w:tc>
              <w:tc>
                <w:tcPr>
                  <w:tcW w:w="365" w:type="pct"/>
                  <w:vAlign w:val="center"/>
                </w:tcPr>
                <w:p w14:paraId="2F41E2F5">
                  <w:pPr>
                    <w:jc w:val="center"/>
                    <w:rPr>
                      <w:spacing w:val="6"/>
                      <w:sz w:val="18"/>
                      <w:szCs w:val="18"/>
                    </w:rPr>
                  </w:pPr>
                  <w:r>
                    <w:rPr>
                      <w:rFonts w:hint="eastAsia"/>
                      <w:spacing w:val="6"/>
                      <w:sz w:val="18"/>
                      <w:szCs w:val="18"/>
                    </w:rPr>
                    <w:t>19.4</w:t>
                  </w:r>
                </w:p>
              </w:tc>
              <w:tc>
                <w:tcPr>
                  <w:tcW w:w="297" w:type="pct"/>
                  <w:vAlign w:val="center"/>
                </w:tcPr>
                <w:p w14:paraId="150694E7">
                  <w:pPr>
                    <w:jc w:val="center"/>
                    <w:rPr>
                      <w:sz w:val="18"/>
                      <w:szCs w:val="18"/>
                    </w:rPr>
                  </w:pPr>
                  <w:r>
                    <w:rPr>
                      <w:rFonts w:hint="eastAsia"/>
                      <w:sz w:val="18"/>
                      <w:szCs w:val="18"/>
                    </w:rPr>
                    <w:t>1</w:t>
                  </w:r>
                </w:p>
              </w:tc>
            </w:tr>
            <w:tr w14:paraId="0E945E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4E17285D">
                  <w:pPr>
                    <w:jc w:val="center"/>
                    <w:rPr>
                      <w:spacing w:val="6"/>
                      <w:sz w:val="18"/>
                      <w:szCs w:val="18"/>
                    </w:rPr>
                  </w:pPr>
                </w:p>
              </w:tc>
              <w:tc>
                <w:tcPr>
                  <w:tcW w:w="284" w:type="pct"/>
                  <w:vMerge w:val="continue"/>
                  <w:vAlign w:val="center"/>
                </w:tcPr>
                <w:p w14:paraId="4ABBA92C">
                  <w:pPr>
                    <w:jc w:val="center"/>
                    <w:rPr>
                      <w:spacing w:val="6"/>
                      <w:sz w:val="18"/>
                      <w:szCs w:val="18"/>
                    </w:rPr>
                  </w:pPr>
                </w:p>
              </w:tc>
              <w:tc>
                <w:tcPr>
                  <w:tcW w:w="361" w:type="pct"/>
                  <w:vMerge w:val="continue"/>
                  <w:vAlign w:val="center"/>
                </w:tcPr>
                <w:p w14:paraId="0E9ABA6A">
                  <w:pPr>
                    <w:jc w:val="center"/>
                    <w:rPr>
                      <w:spacing w:val="6"/>
                      <w:sz w:val="18"/>
                      <w:szCs w:val="18"/>
                    </w:rPr>
                  </w:pPr>
                </w:p>
              </w:tc>
              <w:tc>
                <w:tcPr>
                  <w:tcW w:w="175" w:type="pct"/>
                  <w:vMerge w:val="continue"/>
                  <w:vAlign w:val="center"/>
                </w:tcPr>
                <w:p w14:paraId="009C2913">
                  <w:pPr>
                    <w:jc w:val="center"/>
                    <w:rPr>
                      <w:spacing w:val="6"/>
                      <w:sz w:val="18"/>
                      <w:szCs w:val="18"/>
                    </w:rPr>
                  </w:pPr>
                </w:p>
              </w:tc>
              <w:tc>
                <w:tcPr>
                  <w:tcW w:w="586" w:type="pct"/>
                  <w:vMerge w:val="continue"/>
                  <w:vAlign w:val="center"/>
                </w:tcPr>
                <w:p w14:paraId="4AF3EF61">
                  <w:pPr>
                    <w:jc w:val="center"/>
                    <w:rPr>
                      <w:spacing w:val="6"/>
                      <w:sz w:val="18"/>
                      <w:szCs w:val="18"/>
                    </w:rPr>
                  </w:pPr>
                </w:p>
              </w:tc>
              <w:tc>
                <w:tcPr>
                  <w:tcW w:w="360" w:type="pct"/>
                  <w:vMerge w:val="continue"/>
                  <w:vAlign w:val="center"/>
                </w:tcPr>
                <w:p w14:paraId="68692D24">
                  <w:pPr>
                    <w:jc w:val="center"/>
                    <w:rPr>
                      <w:spacing w:val="6"/>
                      <w:sz w:val="18"/>
                      <w:szCs w:val="18"/>
                    </w:rPr>
                  </w:pPr>
                </w:p>
              </w:tc>
              <w:tc>
                <w:tcPr>
                  <w:tcW w:w="226" w:type="pct"/>
                  <w:vMerge w:val="continue"/>
                  <w:vAlign w:val="center"/>
                </w:tcPr>
                <w:p w14:paraId="4AE9F8B6">
                  <w:pPr>
                    <w:jc w:val="center"/>
                    <w:rPr>
                      <w:spacing w:val="6"/>
                      <w:sz w:val="18"/>
                      <w:szCs w:val="18"/>
                    </w:rPr>
                  </w:pPr>
                </w:p>
              </w:tc>
              <w:tc>
                <w:tcPr>
                  <w:tcW w:w="293" w:type="pct"/>
                  <w:vMerge w:val="continue"/>
                  <w:vAlign w:val="center"/>
                </w:tcPr>
                <w:p w14:paraId="5F7625EC">
                  <w:pPr>
                    <w:jc w:val="center"/>
                    <w:rPr>
                      <w:spacing w:val="6"/>
                      <w:sz w:val="18"/>
                      <w:szCs w:val="18"/>
                    </w:rPr>
                  </w:pPr>
                </w:p>
              </w:tc>
              <w:tc>
                <w:tcPr>
                  <w:tcW w:w="235" w:type="pct"/>
                  <w:vMerge w:val="continue"/>
                  <w:vAlign w:val="center"/>
                </w:tcPr>
                <w:p w14:paraId="05A0693B">
                  <w:pPr>
                    <w:jc w:val="center"/>
                    <w:rPr>
                      <w:spacing w:val="6"/>
                      <w:sz w:val="18"/>
                      <w:szCs w:val="18"/>
                    </w:rPr>
                  </w:pPr>
                </w:p>
              </w:tc>
              <w:tc>
                <w:tcPr>
                  <w:tcW w:w="293" w:type="pct"/>
                  <w:vAlign w:val="center"/>
                </w:tcPr>
                <w:p w14:paraId="414A5157">
                  <w:pPr>
                    <w:jc w:val="center"/>
                    <w:rPr>
                      <w:spacing w:val="6"/>
                      <w:sz w:val="18"/>
                      <w:szCs w:val="18"/>
                    </w:rPr>
                  </w:pPr>
                  <w:r>
                    <w:rPr>
                      <w:spacing w:val="6"/>
                      <w:sz w:val="18"/>
                      <w:szCs w:val="18"/>
                    </w:rPr>
                    <w:t>南</w:t>
                  </w:r>
                </w:p>
              </w:tc>
              <w:tc>
                <w:tcPr>
                  <w:tcW w:w="293" w:type="pct"/>
                  <w:vAlign w:val="center"/>
                </w:tcPr>
                <w:p w14:paraId="296CBC34">
                  <w:pPr>
                    <w:jc w:val="center"/>
                    <w:rPr>
                      <w:spacing w:val="6"/>
                      <w:sz w:val="18"/>
                      <w:szCs w:val="18"/>
                    </w:rPr>
                  </w:pPr>
                  <w:r>
                    <w:rPr>
                      <w:rFonts w:hint="eastAsia"/>
                      <w:spacing w:val="6"/>
                      <w:sz w:val="18"/>
                      <w:szCs w:val="18"/>
                    </w:rPr>
                    <w:t>57</w:t>
                  </w:r>
                </w:p>
              </w:tc>
              <w:tc>
                <w:tcPr>
                  <w:tcW w:w="410" w:type="pct"/>
                  <w:vAlign w:val="center"/>
                </w:tcPr>
                <w:p w14:paraId="3CAEF41C">
                  <w:pPr>
                    <w:jc w:val="center"/>
                    <w:rPr>
                      <w:spacing w:val="6"/>
                      <w:sz w:val="18"/>
                      <w:szCs w:val="18"/>
                    </w:rPr>
                  </w:pPr>
                  <w:r>
                    <w:rPr>
                      <w:rFonts w:hint="eastAsia"/>
                      <w:spacing w:val="6"/>
                      <w:sz w:val="18"/>
                      <w:szCs w:val="18"/>
                    </w:rPr>
                    <w:t>29.9</w:t>
                  </w:r>
                </w:p>
              </w:tc>
              <w:tc>
                <w:tcPr>
                  <w:tcW w:w="293" w:type="pct"/>
                  <w:vMerge w:val="continue"/>
                  <w:vAlign w:val="center"/>
                </w:tcPr>
                <w:p w14:paraId="1AF2A4BF">
                  <w:pPr>
                    <w:jc w:val="center"/>
                    <w:rPr>
                      <w:spacing w:val="6"/>
                      <w:sz w:val="18"/>
                      <w:szCs w:val="18"/>
                    </w:rPr>
                  </w:pPr>
                </w:p>
              </w:tc>
              <w:tc>
                <w:tcPr>
                  <w:tcW w:w="353" w:type="pct"/>
                  <w:vMerge w:val="continue"/>
                  <w:vAlign w:val="center"/>
                </w:tcPr>
                <w:p w14:paraId="7010BBB1">
                  <w:pPr>
                    <w:jc w:val="center"/>
                    <w:rPr>
                      <w:spacing w:val="6"/>
                      <w:sz w:val="18"/>
                      <w:szCs w:val="18"/>
                    </w:rPr>
                  </w:pPr>
                </w:p>
              </w:tc>
              <w:tc>
                <w:tcPr>
                  <w:tcW w:w="365" w:type="pct"/>
                  <w:vAlign w:val="center"/>
                </w:tcPr>
                <w:p w14:paraId="5889A077">
                  <w:pPr>
                    <w:jc w:val="center"/>
                    <w:rPr>
                      <w:spacing w:val="6"/>
                      <w:sz w:val="18"/>
                      <w:szCs w:val="18"/>
                    </w:rPr>
                  </w:pPr>
                  <w:r>
                    <w:rPr>
                      <w:rFonts w:hint="eastAsia"/>
                      <w:spacing w:val="6"/>
                      <w:sz w:val="18"/>
                      <w:szCs w:val="18"/>
                    </w:rPr>
                    <w:t>14.9</w:t>
                  </w:r>
                </w:p>
              </w:tc>
              <w:tc>
                <w:tcPr>
                  <w:tcW w:w="297" w:type="pct"/>
                  <w:vAlign w:val="center"/>
                </w:tcPr>
                <w:p w14:paraId="722B7595">
                  <w:pPr>
                    <w:jc w:val="center"/>
                    <w:rPr>
                      <w:sz w:val="18"/>
                      <w:szCs w:val="18"/>
                    </w:rPr>
                  </w:pPr>
                  <w:r>
                    <w:rPr>
                      <w:rFonts w:hint="eastAsia"/>
                      <w:sz w:val="18"/>
                      <w:szCs w:val="18"/>
                    </w:rPr>
                    <w:t>1</w:t>
                  </w:r>
                </w:p>
              </w:tc>
            </w:tr>
            <w:tr w14:paraId="0D7CB0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528BBE48">
                  <w:pPr>
                    <w:jc w:val="center"/>
                    <w:rPr>
                      <w:spacing w:val="6"/>
                      <w:sz w:val="18"/>
                      <w:szCs w:val="18"/>
                    </w:rPr>
                  </w:pPr>
                </w:p>
              </w:tc>
              <w:tc>
                <w:tcPr>
                  <w:tcW w:w="284" w:type="pct"/>
                  <w:vMerge w:val="continue"/>
                  <w:vAlign w:val="center"/>
                </w:tcPr>
                <w:p w14:paraId="25D47DDF">
                  <w:pPr>
                    <w:jc w:val="center"/>
                    <w:rPr>
                      <w:spacing w:val="6"/>
                      <w:sz w:val="18"/>
                      <w:szCs w:val="18"/>
                    </w:rPr>
                  </w:pPr>
                </w:p>
              </w:tc>
              <w:tc>
                <w:tcPr>
                  <w:tcW w:w="361" w:type="pct"/>
                  <w:vMerge w:val="continue"/>
                  <w:vAlign w:val="center"/>
                </w:tcPr>
                <w:p w14:paraId="331681FE">
                  <w:pPr>
                    <w:jc w:val="center"/>
                    <w:rPr>
                      <w:spacing w:val="6"/>
                      <w:sz w:val="18"/>
                      <w:szCs w:val="18"/>
                    </w:rPr>
                  </w:pPr>
                </w:p>
              </w:tc>
              <w:tc>
                <w:tcPr>
                  <w:tcW w:w="175" w:type="pct"/>
                  <w:vMerge w:val="continue"/>
                  <w:vAlign w:val="center"/>
                </w:tcPr>
                <w:p w14:paraId="1AD45270">
                  <w:pPr>
                    <w:jc w:val="center"/>
                    <w:rPr>
                      <w:spacing w:val="6"/>
                      <w:sz w:val="18"/>
                      <w:szCs w:val="18"/>
                    </w:rPr>
                  </w:pPr>
                </w:p>
              </w:tc>
              <w:tc>
                <w:tcPr>
                  <w:tcW w:w="586" w:type="pct"/>
                  <w:vMerge w:val="continue"/>
                  <w:vAlign w:val="center"/>
                </w:tcPr>
                <w:p w14:paraId="070CCDE4">
                  <w:pPr>
                    <w:jc w:val="center"/>
                    <w:rPr>
                      <w:spacing w:val="6"/>
                      <w:sz w:val="18"/>
                      <w:szCs w:val="18"/>
                    </w:rPr>
                  </w:pPr>
                </w:p>
              </w:tc>
              <w:tc>
                <w:tcPr>
                  <w:tcW w:w="360" w:type="pct"/>
                  <w:vMerge w:val="continue"/>
                  <w:vAlign w:val="center"/>
                </w:tcPr>
                <w:p w14:paraId="1FF9B7B0">
                  <w:pPr>
                    <w:jc w:val="center"/>
                    <w:rPr>
                      <w:spacing w:val="6"/>
                      <w:sz w:val="18"/>
                      <w:szCs w:val="18"/>
                    </w:rPr>
                  </w:pPr>
                </w:p>
              </w:tc>
              <w:tc>
                <w:tcPr>
                  <w:tcW w:w="226" w:type="pct"/>
                  <w:vMerge w:val="continue"/>
                  <w:vAlign w:val="center"/>
                </w:tcPr>
                <w:p w14:paraId="436BD626">
                  <w:pPr>
                    <w:jc w:val="center"/>
                    <w:rPr>
                      <w:spacing w:val="6"/>
                      <w:sz w:val="18"/>
                      <w:szCs w:val="18"/>
                    </w:rPr>
                  </w:pPr>
                </w:p>
              </w:tc>
              <w:tc>
                <w:tcPr>
                  <w:tcW w:w="293" w:type="pct"/>
                  <w:vMerge w:val="continue"/>
                  <w:vAlign w:val="center"/>
                </w:tcPr>
                <w:p w14:paraId="05472F24">
                  <w:pPr>
                    <w:jc w:val="center"/>
                    <w:rPr>
                      <w:spacing w:val="6"/>
                      <w:sz w:val="18"/>
                      <w:szCs w:val="18"/>
                    </w:rPr>
                  </w:pPr>
                </w:p>
              </w:tc>
              <w:tc>
                <w:tcPr>
                  <w:tcW w:w="235" w:type="pct"/>
                  <w:vMerge w:val="continue"/>
                  <w:vAlign w:val="center"/>
                </w:tcPr>
                <w:p w14:paraId="5D05DBBA">
                  <w:pPr>
                    <w:jc w:val="center"/>
                    <w:rPr>
                      <w:spacing w:val="6"/>
                      <w:sz w:val="18"/>
                      <w:szCs w:val="18"/>
                    </w:rPr>
                  </w:pPr>
                </w:p>
              </w:tc>
              <w:tc>
                <w:tcPr>
                  <w:tcW w:w="293" w:type="pct"/>
                  <w:vAlign w:val="center"/>
                </w:tcPr>
                <w:p w14:paraId="5175DC64">
                  <w:pPr>
                    <w:jc w:val="center"/>
                    <w:rPr>
                      <w:spacing w:val="6"/>
                      <w:sz w:val="18"/>
                      <w:szCs w:val="18"/>
                    </w:rPr>
                  </w:pPr>
                  <w:r>
                    <w:rPr>
                      <w:spacing w:val="6"/>
                      <w:sz w:val="18"/>
                      <w:szCs w:val="18"/>
                    </w:rPr>
                    <w:t>西</w:t>
                  </w:r>
                </w:p>
              </w:tc>
              <w:tc>
                <w:tcPr>
                  <w:tcW w:w="293" w:type="pct"/>
                  <w:vAlign w:val="center"/>
                </w:tcPr>
                <w:p w14:paraId="445A1D5F">
                  <w:pPr>
                    <w:jc w:val="center"/>
                    <w:rPr>
                      <w:spacing w:val="6"/>
                      <w:sz w:val="18"/>
                      <w:szCs w:val="18"/>
                    </w:rPr>
                  </w:pPr>
                  <w:r>
                    <w:rPr>
                      <w:rFonts w:hint="eastAsia"/>
                      <w:spacing w:val="6"/>
                      <w:sz w:val="18"/>
                      <w:szCs w:val="18"/>
                    </w:rPr>
                    <w:t>13</w:t>
                  </w:r>
                </w:p>
              </w:tc>
              <w:tc>
                <w:tcPr>
                  <w:tcW w:w="410" w:type="pct"/>
                  <w:vAlign w:val="center"/>
                </w:tcPr>
                <w:p w14:paraId="56A2F90D">
                  <w:pPr>
                    <w:jc w:val="center"/>
                    <w:rPr>
                      <w:spacing w:val="6"/>
                      <w:sz w:val="18"/>
                      <w:szCs w:val="18"/>
                    </w:rPr>
                  </w:pPr>
                  <w:r>
                    <w:rPr>
                      <w:rFonts w:hint="eastAsia"/>
                      <w:spacing w:val="6"/>
                      <w:sz w:val="18"/>
                      <w:szCs w:val="18"/>
                    </w:rPr>
                    <w:t>42.7</w:t>
                  </w:r>
                </w:p>
              </w:tc>
              <w:tc>
                <w:tcPr>
                  <w:tcW w:w="293" w:type="pct"/>
                  <w:vMerge w:val="continue"/>
                  <w:vAlign w:val="center"/>
                </w:tcPr>
                <w:p w14:paraId="4FD12761">
                  <w:pPr>
                    <w:jc w:val="center"/>
                    <w:rPr>
                      <w:spacing w:val="6"/>
                      <w:sz w:val="18"/>
                      <w:szCs w:val="18"/>
                    </w:rPr>
                  </w:pPr>
                </w:p>
              </w:tc>
              <w:tc>
                <w:tcPr>
                  <w:tcW w:w="353" w:type="pct"/>
                  <w:vMerge w:val="continue"/>
                  <w:vAlign w:val="center"/>
                </w:tcPr>
                <w:p w14:paraId="3BF2E145">
                  <w:pPr>
                    <w:jc w:val="center"/>
                    <w:rPr>
                      <w:spacing w:val="6"/>
                      <w:sz w:val="18"/>
                      <w:szCs w:val="18"/>
                    </w:rPr>
                  </w:pPr>
                </w:p>
              </w:tc>
              <w:tc>
                <w:tcPr>
                  <w:tcW w:w="365" w:type="pct"/>
                  <w:vAlign w:val="center"/>
                </w:tcPr>
                <w:p w14:paraId="1DA1038C">
                  <w:pPr>
                    <w:jc w:val="center"/>
                    <w:rPr>
                      <w:spacing w:val="6"/>
                      <w:sz w:val="18"/>
                      <w:szCs w:val="18"/>
                    </w:rPr>
                  </w:pPr>
                  <w:r>
                    <w:rPr>
                      <w:rFonts w:hint="eastAsia"/>
                      <w:spacing w:val="6"/>
                      <w:sz w:val="18"/>
                      <w:szCs w:val="18"/>
                    </w:rPr>
                    <w:t>27.7</w:t>
                  </w:r>
                </w:p>
              </w:tc>
              <w:tc>
                <w:tcPr>
                  <w:tcW w:w="297" w:type="pct"/>
                  <w:vAlign w:val="center"/>
                </w:tcPr>
                <w:p w14:paraId="40E447D5">
                  <w:pPr>
                    <w:jc w:val="center"/>
                    <w:rPr>
                      <w:sz w:val="18"/>
                      <w:szCs w:val="18"/>
                    </w:rPr>
                  </w:pPr>
                  <w:r>
                    <w:rPr>
                      <w:rFonts w:hint="eastAsia"/>
                      <w:sz w:val="18"/>
                      <w:szCs w:val="18"/>
                    </w:rPr>
                    <w:t>1</w:t>
                  </w:r>
                </w:p>
              </w:tc>
            </w:tr>
            <w:tr w14:paraId="293867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344324E9">
                  <w:pPr>
                    <w:jc w:val="center"/>
                    <w:rPr>
                      <w:spacing w:val="6"/>
                      <w:sz w:val="18"/>
                      <w:szCs w:val="18"/>
                    </w:rPr>
                  </w:pPr>
                </w:p>
              </w:tc>
              <w:tc>
                <w:tcPr>
                  <w:tcW w:w="284" w:type="pct"/>
                  <w:vMerge w:val="continue"/>
                  <w:vAlign w:val="center"/>
                </w:tcPr>
                <w:p w14:paraId="2E6BBB1D">
                  <w:pPr>
                    <w:jc w:val="center"/>
                    <w:rPr>
                      <w:spacing w:val="6"/>
                      <w:sz w:val="18"/>
                      <w:szCs w:val="18"/>
                    </w:rPr>
                  </w:pPr>
                </w:p>
              </w:tc>
              <w:tc>
                <w:tcPr>
                  <w:tcW w:w="361" w:type="pct"/>
                  <w:vMerge w:val="continue"/>
                  <w:vAlign w:val="center"/>
                </w:tcPr>
                <w:p w14:paraId="5E5CE9B6">
                  <w:pPr>
                    <w:jc w:val="center"/>
                    <w:rPr>
                      <w:spacing w:val="6"/>
                      <w:sz w:val="18"/>
                      <w:szCs w:val="18"/>
                    </w:rPr>
                  </w:pPr>
                </w:p>
              </w:tc>
              <w:tc>
                <w:tcPr>
                  <w:tcW w:w="175" w:type="pct"/>
                  <w:vMerge w:val="continue"/>
                  <w:vAlign w:val="center"/>
                </w:tcPr>
                <w:p w14:paraId="5A229B0E">
                  <w:pPr>
                    <w:jc w:val="center"/>
                    <w:rPr>
                      <w:spacing w:val="6"/>
                      <w:sz w:val="18"/>
                      <w:szCs w:val="18"/>
                    </w:rPr>
                  </w:pPr>
                </w:p>
              </w:tc>
              <w:tc>
                <w:tcPr>
                  <w:tcW w:w="586" w:type="pct"/>
                  <w:vMerge w:val="continue"/>
                  <w:vAlign w:val="center"/>
                </w:tcPr>
                <w:p w14:paraId="24D3CC0B">
                  <w:pPr>
                    <w:jc w:val="center"/>
                    <w:rPr>
                      <w:spacing w:val="6"/>
                      <w:sz w:val="18"/>
                      <w:szCs w:val="18"/>
                    </w:rPr>
                  </w:pPr>
                </w:p>
              </w:tc>
              <w:tc>
                <w:tcPr>
                  <w:tcW w:w="360" w:type="pct"/>
                  <w:vMerge w:val="continue"/>
                  <w:vAlign w:val="center"/>
                </w:tcPr>
                <w:p w14:paraId="07300A7F">
                  <w:pPr>
                    <w:jc w:val="center"/>
                    <w:rPr>
                      <w:spacing w:val="6"/>
                      <w:sz w:val="18"/>
                      <w:szCs w:val="18"/>
                    </w:rPr>
                  </w:pPr>
                </w:p>
              </w:tc>
              <w:tc>
                <w:tcPr>
                  <w:tcW w:w="226" w:type="pct"/>
                  <w:vMerge w:val="continue"/>
                  <w:vAlign w:val="center"/>
                </w:tcPr>
                <w:p w14:paraId="6F721ABF">
                  <w:pPr>
                    <w:jc w:val="center"/>
                    <w:rPr>
                      <w:spacing w:val="6"/>
                      <w:sz w:val="18"/>
                      <w:szCs w:val="18"/>
                    </w:rPr>
                  </w:pPr>
                </w:p>
              </w:tc>
              <w:tc>
                <w:tcPr>
                  <w:tcW w:w="293" w:type="pct"/>
                  <w:vMerge w:val="continue"/>
                  <w:vAlign w:val="center"/>
                </w:tcPr>
                <w:p w14:paraId="0F7AC0A5">
                  <w:pPr>
                    <w:jc w:val="center"/>
                    <w:rPr>
                      <w:spacing w:val="6"/>
                      <w:sz w:val="18"/>
                      <w:szCs w:val="18"/>
                    </w:rPr>
                  </w:pPr>
                </w:p>
              </w:tc>
              <w:tc>
                <w:tcPr>
                  <w:tcW w:w="235" w:type="pct"/>
                  <w:vMerge w:val="continue"/>
                  <w:vAlign w:val="center"/>
                </w:tcPr>
                <w:p w14:paraId="1B7F31EE">
                  <w:pPr>
                    <w:jc w:val="center"/>
                    <w:rPr>
                      <w:spacing w:val="6"/>
                      <w:sz w:val="18"/>
                      <w:szCs w:val="18"/>
                    </w:rPr>
                  </w:pPr>
                </w:p>
              </w:tc>
              <w:tc>
                <w:tcPr>
                  <w:tcW w:w="293" w:type="pct"/>
                  <w:vAlign w:val="center"/>
                </w:tcPr>
                <w:p w14:paraId="58320BBC">
                  <w:pPr>
                    <w:jc w:val="center"/>
                    <w:rPr>
                      <w:spacing w:val="6"/>
                      <w:sz w:val="18"/>
                      <w:szCs w:val="18"/>
                    </w:rPr>
                  </w:pPr>
                  <w:r>
                    <w:rPr>
                      <w:spacing w:val="6"/>
                      <w:sz w:val="18"/>
                      <w:szCs w:val="18"/>
                    </w:rPr>
                    <w:t>北</w:t>
                  </w:r>
                </w:p>
              </w:tc>
              <w:tc>
                <w:tcPr>
                  <w:tcW w:w="293" w:type="pct"/>
                  <w:vAlign w:val="center"/>
                </w:tcPr>
                <w:p w14:paraId="22039C9B">
                  <w:pPr>
                    <w:jc w:val="center"/>
                    <w:rPr>
                      <w:spacing w:val="6"/>
                      <w:sz w:val="18"/>
                      <w:szCs w:val="18"/>
                    </w:rPr>
                  </w:pPr>
                  <w:r>
                    <w:rPr>
                      <w:rFonts w:hint="eastAsia"/>
                      <w:spacing w:val="6"/>
                      <w:sz w:val="18"/>
                      <w:szCs w:val="18"/>
                    </w:rPr>
                    <w:t>56</w:t>
                  </w:r>
                </w:p>
              </w:tc>
              <w:tc>
                <w:tcPr>
                  <w:tcW w:w="410" w:type="pct"/>
                  <w:vAlign w:val="center"/>
                </w:tcPr>
                <w:p w14:paraId="79CA3213">
                  <w:pPr>
                    <w:jc w:val="center"/>
                    <w:rPr>
                      <w:spacing w:val="6"/>
                      <w:sz w:val="18"/>
                      <w:szCs w:val="18"/>
                    </w:rPr>
                  </w:pPr>
                  <w:r>
                    <w:rPr>
                      <w:rFonts w:hint="eastAsia"/>
                      <w:spacing w:val="6"/>
                      <w:sz w:val="18"/>
                      <w:szCs w:val="18"/>
                    </w:rPr>
                    <w:t>30.0</w:t>
                  </w:r>
                </w:p>
              </w:tc>
              <w:tc>
                <w:tcPr>
                  <w:tcW w:w="293" w:type="pct"/>
                  <w:vMerge w:val="continue"/>
                  <w:vAlign w:val="center"/>
                </w:tcPr>
                <w:p w14:paraId="17206F61">
                  <w:pPr>
                    <w:jc w:val="center"/>
                    <w:rPr>
                      <w:spacing w:val="6"/>
                      <w:sz w:val="18"/>
                      <w:szCs w:val="18"/>
                    </w:rPr>
                  </w:pPr>
                </w:p>
              </w:tc>
              <w:tc>
                <w:tcPr>
                  <w:tcW w:w="353" w:type="pct"/>
                  <w:vMerge w:val="continue"/>
                  <w:vAlign w:val="center"/>
                </w:tcPr>
                <w:p w14:paraId="48B09169">
                  <w:pPr>
                    <w:jc w:val="center"/>
                    <w:rPr>
                      <w:spacing w:val="6"/>
                      <w:sz w:val="18"/>
                      <w:szCs w:val="18"/>
                    </w:rPr>
                  </w:pPr>
                </w:p>
              </w:tc>
              <w:tc>
                <w:tcPr>
                  <w:tcW w:w="365" w:type="pct"/>
                  <w:vAlign w:val="center"/>
                </w:tcPr>
                <w:p w14:paraId="60F85AF6">
                  <w:pPr>
                    <w:jc w:val="center"/>
                    <w:rPr>
                      <w:spacing w:val="6"/>
                      <w:sz w:val="18"/>
                      <w:szCs w:val="18"/>
                    </w:rPr>
                  </w:pPr>
                  <w:r>
                    <w:rPr>
                      <w:rFonts w:hint="eastAsia"/>
                      <w:spacing w:val="6"/>
                      <w:sz w:val="18"/>
                      <w:szCs w:val="18"/>
                    </w:rPr>
                    <w:t>15</w:t>
                  </w:r>
                </w:p>
              </w:tc>
              <w:tc>
                <w:tcPr>
                  <w:tcW w:w="297" w:type="pct"/>
                  <w:vAlign w:val="center"/>
                </w:tcPr>
                <w:p w14:paraId="763BFE33">
                  <w:pPr>
                    <w:jc w:val="center"/>
                    <w:rPr>
                      <w:sz w:val="18"/>
                      <w:szCs w:val="18"/>
                    </w:rPr>
                  </w:pPr>
                  <w:r>
                    <w:rPr>
                      <w:rFonts w:hint="eastAsia"/>
                      <w:sz w:val="18"/>
                      <w:szCs w:val="18"/>
                    </w:rPr>
                    <w:t>1</w:t>
                  </w:r>
                </w:p>
              </w:tc>
            </w:tr>
            <w:tr w14:paraId="4849BA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95" w:hRule="atLeast"/>
                <w:jc w:val="center"/>
              </w:trPr>
              <w:tc>
                <w:tcPr>
                  <w:tcW w:w="176" w:type="pct"/>
                  <w:vMerge w:val="restart"/>
                  <w:vAlign w:val="center"/>
                </w:tcPr>
                <w:p w14:paraId="1D0B4CE0">
                  <w:pPr>
                    <w:jc w:val="center"/>
                    <w:rPr>
                      <w:spacing w:val="6"/>
                      <w:sz w:val="18"/>
                      <w:szCs w:val="18"/>
                    </w:rPr>
                  </w:pPr>
                  <w:r>
                    <w:rPr>
                      <w:rFonts w:hint="eastAsia"/>
                      <w:spacing w:val="6"/>
                      <w:sz w:val="18"/>
                      <w:szCs w:val="18"/>
                    </w:rPr>
                    <w:t>5</w:t>
                  </w:r>
                </w:p>
              </w:tc>
              <w:tc>
                <w:tcPr>
                  <w:tcW w:w="284" w:type="pct"/>
                  <w:vMerge w:val="continue"/>
                  <w:vAlign w:val="center"/>
                </w:tcPr>
                <w:p w14:paraId="37BCCF28">
                  <w:pPr>
                    <w:jc w:val="center"/>
                    <w:rPr>
                      <w:spacing w:val="6"/>
                      <w:sz w:val="18"/>
                      <w:szCs w:val="18"/>
                    </w:rPr>
                  </w:pPr>
                </w:p>
              </w:tc>
              <w:tc>
                <w:tcPr>
                  <w:tcW w:w="361" w:type="pct"/>
                  <w:vMerge w:val="restart"/>
                  <w:vAlign w:val="center"/>
                </w:tcPr>
                <w:p w14:paraId="5B256719">
                  <w:pPr>
                    <w:jc w:val="center"/>
                    <w:rPr>
                      <w:spacing w:val="6"/>
                      <w:sz w:val="18"/>
                      <w:szCs w:val="18"/>
                    </w:rPr>
                  </w:pPr>
                  <w:r>
                    <w:rPr>
                      <w:spacing w:val="6"/>
                      <w:sz w:val="18"/>
                      <w:szCs w:val="18"/>
                    </w:rPr>
                    <w:t>空压机</w:t>
                  </w:r>
                </w:p>
              </w:tc>
              <w:tc>
                <w:tcPr>
                  <w:tcW w:w="175" w:type="pct"/>
                  <w:vMerge w:val="restart"/>
                  <w:vAlign w:val="center"/>
                </w:tcPr>
                <w:p w14:paraId="25A7D4D7">
                  <w:pPr>
                    <w:jc w:val="center"/>
                    <w:rPr>
                      <w:spacing w:val="6"/>
                      <w:sz w:val="18"/>
                      <w:szCs w:val="18"/>
                    </w:rPr>
                  </w:pPr>
                  <w:r>
                    <w:rPr>
                      <w:rFonts w:hint="eastAsia"/>
                      <w:spacing w:val="6"/>
                      <w:sz w:val="18"/>
                      <w:szCs w:val="18"/>
                    </w:rPr>
                    <w:t>/</w:t>
                  </w:r>
                </w:p>
              </w:tc>
              <w:tc>
                <w:tcPr>
                  <w:tcW w:w="586" w:type="pct"/>
                  <w:vMerge w:val="restart"/>
                  <w:vAlign w:val="center"/>
                </w:tcPr>
                <w:p w14:paraId="3EF13064">
                  <w:pPr>
                    <w:jc w:val="center"/>
                    <w:rPr>
                      <w:spacing w:val="6"/>
                      <w:sz w:val="18"/>
                      <w:szCs w:val="18"/>
                    </w:rPr>
                  </w:pPr>
                  <w:r>
                    <w:rPr>
                      <w:rFonts w:hint="eastAsia"/>
                      <w:spacing w:val="6"/>
                      <w:sz w:val="18"/>
                      <w:szCs w:val="18"/>
                    </w:rPr>
                    <w:t>80/1</w:t>
                  </w:r>
                </w:p>
              </w:tc>
              <w:tc>
                <w:tcPr>
                  <w:tcW w:w="360" w:type="pct"/>
                  <w:vMerge w:val="continue"/>
                  <w:vAlign w:val="center"/>
                </w:tcPr>
                <w:p w14:paraId="26E73296">
                  <w:pPr>
                    <w:jc w:val="center"/>
                    <w:rPr>
                      <w:spacing w:val="6"/>
                      <w:sz w:val="18"/>
                      <w:szCs w:val="18"/>
                    </w:rPr>
                  </w:pPr>
                </w:p>
              </w:tc>
              <w:tc>
                <w:tcPr>
                  <w:tcW w:w="226" w:type="pct"/>
                  <w:vMerge w:val="restart"/>
                  <w:vAlign w:val="center"/>
                </w:tcPr>
                <w:p w14:paraId="657267CC">
                  <w:pPr>
                    <w:jc w:val="center"/>
                    <w:rPr>
                      <w:spacing w:val="6"/>
                      <w:sz w:val="18"/>
                      <w:szCs w:val="18"/>
                    </w:rPr>
                  </w:pPr>
                  <w:r>
                    <w:rPr>
                      <w:rFonts w:hint="eastAsia"/>
                      <w:spacing w:val="6"/>
                      <w:sz w:val="18"/>
                      <w:szCs w:val="18"/>
                    </w:rPr>
                    <w:t>-15</w:t>
                  </w:r>
                </w:p>
              </w:tc>
              <w:tc>
                <w:tcPr>
                  <w:tcW w:w="293" w:type="pct"/>
                  <w:vMerge w:val="restart"/>
                  <w:vAlign w:val="center"/>
                </w:tcPr>
                <w:p w14:paraId="785DD3EA">
                  <w:pPr>
                    <w:jc w:val="center"/>
                    <w:rPr>
                      <w:spacing w:val="6"/>
                      <w:sz w:val="18"/>
                      <w:szCs w:val="18"/>
                    </w:rPr>
                  </w:pPr>
                  <w:r>
                    <w:rPr>
                      <w:rFonts w:hint="eastAsia"/>
                      <w:spacing w:val="6"/>
                      <w:sz w:val="18"/>
                      <w:szCs w:val="18"/>
                    </w:rPr>
                    <w:t>0</w:t>
                  </w:r>
                </w:p>
              </w:tc>
              <w:tc>
                <w:tcPr>
                  <w:tcW w:w="235" w:type="pct"/>
                  <w:vMerge w:val="restart"/>
                  <w:vAlign w:val="center"/>
                </w:tcPr>
                <w:p w14:paraId="59E6D2B0">
                  <w:pPr>
                    <w:jc w:val="center"/>
                    <w:rPr>
                      <w:spacing w:val="6"/>
                      <w:sz w:val="18"/>
                      <w:szCs w:val="18"/>
                    </w:rPr>
                  </w:pPr>
                  <w:r>
                    <w:rPr>
                      <w:rFonts w:hint="eastAsia"/>
                      <w:spacing w:val="6"/>
                      <w:sz w:val="18"/>
                      <w:szCs w:val="18"/>
                    </w:rPr>
                    <w:t>1.2</w:t>
                  </w:r>
                </w:p>
              </w:tc>
              <w:tc>
                <w:tcPr>
                  <w:tcW w:w="293" w:type="pct"/>
                  <w:vAlign w:val="center"/>
                </w:tcPr>
                <w:p w14:paraId="5D0A5C12">
                  <w:pPr>
                    <w:jc w:val="center"/>
                    <w:rPr>
                      <w:spacing w:val="6"/>
                      <w:sz w:val="18"/>
                      <w:szCs w:val="18"/>
                    </w:rPr>
                  </w:pPr>
                  <w:r>
                    <w:rPr>
                      <w:sz w:val="18"/>
                      <w:szCs w:val="18"/>
                    </w:rPr>
                    <w:t>东</w:t>
                  </w:r>
                </w:p>
              </w:tc>
              <w:tc>
                <w:tcPr>
                  <w:tcW w:w="293" w:type="pct"/>
                  <w:vAlign w:val="center"/>
                </w:tcPr>
                <w:p w14:paraId="3EA9FF57">
                  <w:pPr>
                    <w:jc w:val="center"/>
                    <w:rPr>
                      <w:spacing w:val="6"/>
                      <w:sz w:val="18"/>
                      <w:szCs w:val="18"/>
                    </w:rPr>
                  </w:pPr>
                  <w:r>
                    <w:rPr>
                      <w:rFonts w:hint="eastAsia"/>
                      <w:spacing w:val="6"/>
                      <w:sz w:val="18"/>
                      <w:szCs w:val="18"/>
                    </w:rPr>
                    <w:t>39</w:t>
                  </w:r>
                </w:p>
              </w:tc>
              <w:tc>
                <w:tcPr>
                  <w:tcW w:w="410" w:type="pct"/>
                  <w:vAlign w:val="center"/>
                </w:tcPr>
                <w:p w14:paraId="60532EBA">
                  <w:pPr>
                    <w:jc w:val="center"/>
                    <w:rPr>
                      <w:spacing w:val="6"/>
                      <w:sz w:val="18"/>
                      <w:szCs w:val="18"/>
                    </w:rPr>
                  </w:pPr>
                  <w:r>
                    <w:rPr>
                      <w:rFonts w:hint="eastAsia"/>
                      <w:spacing w:val="6"/>
                      <w:sz w:val="18"/>
                      <w:szCs w:val="18"/>
                    </w:rPr>
                    <w:t>48.2</w:t>
                  </w:r>
                </w:p>
              </w:tc>
              <w:tc>
                <w:tcPr>
                  <w:tcW w:w="293" w:type="pct"/>
                  <w:vMerge w:val="restart"/>
                  <w:vAlign w:val="center"/>
                </w:tcPr>
                <w:p w14:paraId="2AEE71B4">
                  <w:pPr>
                    <w:jc w:val="center"/>
                    <w:rPr>
                      <w:spacing w:val="6"/>
                      <w:sz w:val="18"/>
                      <w:szCs w:val="18"/>
                    </w:rPr>
                  </w:pPr>
                  <w:r>
                    <w:rPr>
                      <w:rFonts w:hint="eastAsia"/>
                      <w:spacing w:val="6"/>
                      <w:sz w:val="18"/>
                      <w:szCs w:val="18"/>
                    </w:rPr>
                    <w:t>8h</w:t>
                  </w:r>
                </w:p>
              </w:tc>
              <w:tc>
                <w:tcPr>
                  <w:tcW w:w="353" w:type="pct"/>
                  <w:vMerge w:val="restart"/>
                  <w:vAlign w:val="center"/>
                </w:tcPr>
                <w:p w14:paraId="6D5B0E02">
                  <w:pPr>
                    <w:jc w:val="center"/>
                    <w:rPr>
                      <w:spacing w:val="6"/>
                      <w:sz w:val="18"/>
                      <w:szCs w:val="18"/>
                    </w:rPr>
                  </w:pPr>
                  <w:r>
                    <w:rPr>
                      <w:rFonts w:hint="eastAsia"/>
                      <w:spacing w:val="6"/>
                      <w:sz w:val="18"/>
                      <w:szCs w:val="18"/>
                    </w:rPr>
                    <w:t>15</w:t>
                  </w:r>
                </w:p>
              </w:tc>
              <w:tc>
                <w:tcPr>
                  <w:tcW w:w="365" w:type="pct"/>
                  <w:vAlign w:val="center"/>
                </w:tcPr>
                <w:p w14:paraId="6561087C">
                  <w:pPr>
                    <w:jc w:val="center"/>
                    <w:rPr>
                      <w:spacing w:val="6"/>
                      <w:sz w:val="18"/>
                      <w:szCs w:val="18"/>
                    </w:rPr>
                  </w:pPr>
                  <w:r>
                    <w:rPr>
                      <w:rFonts w:hint="eastAsia"/>
                      <w:spacing w:val="6"/>
                      <w:sz w:val="18"/>
                      <w:szCs w:val="18"/>
                    </w:rPr>
                    <w:t>33.2</w:t>
                  </w:r>
                </w:p>
              </w:tc>
              <w:tc>
                <w:tcPr>
                  <w:tcW w:w="297" w:type="pct"/>
                  <w:vAlign w:val="center"/>
                </w:tcPr>
                <w:p w14:paraId="075AD0F5">
                  <w:pPr>
                    <w:jc w:val="center"/>
                    <w:rPr>
                      <w:sz w:val="18"/>
                      <w:szCs w:val="18"/>
                    </w:rPr>
                  </w:pPr>
                  <w:r>
                    <w:rPr>
                      <w:rFonts w:hint="eastAsia"/>
                      <w:sz w:val="18"/>
                      <w:szCs w:val="18"/>
                    </w:rPr>
                    <w:t>1</w:t>
                  </w:r>
                </w:p>
              </w:tc>
            </w:tr>
            <w:tr w14:paraId="038459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5B5B139F">
                  <w:pPr>
                    <w:jc w:val="center"/>
                    <w:rPr>
                      <w:spacing w:val="6"/>
                      <w:sz w:val="18"/>
                      <w:szCs w:val="18"/>
                    </w:rPr>
                  </w:pPr>
                </w:p>
              </w:tc>
              <w:tc>
                <w:tcPr>
                  <w:tcW w:w="284" w:type="pct"/>
                  <w:vMerge w:val="continue"/>
                  <w:vAlign w:val="center"/>
                </w:tcPr>
                <w:p w14:paraId="14D197CE">
                  <w:pPr>
                    <w:jc w:val="center"/>
                    <w:rPr>
                      <w:spacing w:val="6"/>
                      <w:sz w:val="18"/>
                      <w:szCs w:val="18"/>
                    </w:rPr>
                  </w:pPr>
                </w:p>
              </w:tc>
              <w:tc>
                <w:tcPr>
                  <w:tcW w:w="361" w:type="pct"/>
                  <w:vMerge w:val="continue"/>
                  <w:vAlign w:val="center"/>
                </w:tcPr>
                <w:p w14:paraId="7821F7FA">
                  <w:pPr>
                    <w:jc w:val="center"/>
                    <w:rPr>
                      <w:spacing w:val="6"/>
                      <w:sz w:val="18"/>
                      <w:szCs w:val="18"/>
                    </w:rPr>
                  </w:pPr>
                </w:p>
              </w:tc>
              <w:tc>
                <w:tcPr>
                  <w:tcW w:w="175" w:type="pct"/>
                  <w:vMerge w:val="continue"/>
                  <w:vAlign w:val="center"/>
                </w:tcPr>
                <w:p w14:paraId="61165EAF">
                  <w:pPr>
                    <w:jc w:val="center"/>
                    <w:rPr>
                      <w:spacing w:val="6"/>
                      <w:sz w:val="18"/>
                      <w:szCs w:val="18"/>
                    </w:rPr>
                  </w:pPr>
                </w:p>
              </w:tc>
              <w:tc>
                <w:tcPr>
                  <w:tcW w:w="586" w:type="pct"/>
                  <w:vMerge w:val="continue"/>
                  <w:vAlign w:val="center"/>
                </w:tcPr>
                <w:p w14:paraId="54409F03">
                  <w:pPr>
                    <w:jc w:val="center"/>
                    <w:rPr>
                      <w:spacing w:val="6"/>
                      <w:sz w:val="18"/>
                      <w:szCs w:val="18"/>
                    </w:rPr>
                  </w:pPr>
                </w:p>
              </w:tc>
              <w:tc>
                <w:tcPr>
                  <w:tcW w:w="360" w:type="pct"/>
                  <w:vMerge w:val="continue"/>
                  <w:vAlign w:val="center"/>
                </w:tcPr>
                <w:p w14:paraId="6F75F510">
                  <w:pPr>
                    <w:jc w:val="center"/>
                    <w:rPr>
                      <w:spacing w:val="6"/>
                      <w:sz w:val="18"/>
                      <w:szCs w:val="18"/>
                    </w:rPr>
                  </w:pPr>
                </w:p>
              </w:tc>
              <w:tc>
                <w:tcPr>
                  <w:tcW w:w="226" w:type="pct"/>
                  <w:vMerge w:val="continue"/>
                  <w:vAlign w:val="center"/>
                </w:tcPr>
                <w:p w14:paraId="5FF6D7EF">
                  <w:pPr>
                    <w:jc w:val="center"/>
                    <w:rPr>
                      <w:spacing w:val="6"/>
                      <w:sz w:val="18"/>
                      <w:szCs w:val="18"/>
                    </w:rPr>
                  </w:pPr>
                </w:p>
              </w:tc>
              <w:tc>
                <w:tcPr>
                  <w:tcW w:w="293" w:type="pct"/>
                  <w:vMerge w:val="continue"/>
                  <w:vAlign w:val="center"/>
                </w:tcPr>
                <w:p w14:paraId="3E39F914">
                  <w:pPr>
                    <w:jc w:val="center"/>
                    <w:rPr>
                      <w:spacing w:val="6"/>
                      <w:sz w:val="18"/>
                      <w:szCs w:val="18"/>
                    </w:rPr>
                  </w:pPr>
                </w:p>
              </w:tc>
              <w:tc>
                <w:tcPr>
                  <w:tcW w:w="235" w:type="pct"/>
                  <w:vMerge w:val="continue"/>
                  <w:vAlign w:val="center"/>
                </w:tcPr>
                <w:p w14:paraId="172C42F2">
                  <w:pPr>
                    <w:jc w:val="center"/>
                    <w:rPr>
                      <w:spacing w:val="6"/>
                      <w:sz w:val="18"/>
                      <w:szCs w:val="18"/>
                    </w:rPr>
                  </w:pPr>
                </w:p>
              </w:tc>
              <w:tc>
                <w:tcPr>
                  <w:tcW w:w="293" w:type="pct"/>
                  <w:vAlign w:val="center"/>
                </w:tcPr>
                <w:p w14:paraId="2CC7FB37">
                  <w:pPr>
                    <w:jc w:val="center"/>
                    <w:rPr>
                      <w:spacing w:val="6"/>
                      <w:sz w:val="18"/>
                      <w:szCs w:val="18"/>
                    </w:rPr>
                  </w:pPr>
                  <w:r>
                    <w:rPr>
                      <w:spacing w:val="6"/>
                      <w:sz w:val="18"/>
                      <w:szCs w:val="18"/>
                    </w:rPr>
                    <w:t>南</w:t>
                  </w:r>
                </w:p>
              </w:tc>
              <w:tc>
                <w:tcPr>
                  <w:tcW w:w="293" w:type="pct"/>
                  <w:vAlign w:val="center"/>
                </w:tcPr>
                <w:p w14:paraId="28B1B885">
                  <w:pPr>
                    <w:jc w:val="center"/>
                    <w:rPr>
                      <w:spacing w:val="6"/>
                      <w:sz w:val="18"/>
                      <w:szCs w:val="18"/>
                    </w:rPr>
                  </w:pPr>
                  <w:r>
                    <w:rPr>
                      <w:rFonts w:hint="eastAsia"/>
                      <w:spacing w:val="6"/>
                      <w:sz w:val="18"/>
                      <w:szCs w:val="18"/>
                    </w:rPr>
                    <w:t>57</w:t>
                  </w:r>
                </w:p>
              </w:tc>
              <w:tc>
                <w:tcPr>
                  <w:tcW w:w="410" w:type="pct"/>
                  <w:vAlign w:val="center"/>
                </w:tcPr>
                <w:p w14:paraId="60BBE0A1">
                  <w:pPr>
                    <w:jc w:val="center"/>
                    <w:rPr>
                      <w:spacing w:val="6"/>
                      <w:sz w:val="18"/>
                      <w:szCs w:val="18"/>
                    </w:rPr>
                  </w:pPr>
                  <w:r>
                    <w:rPr>
                      <w:rFonts w:hint="eastAsia"/>
                      <w:spacing w:val="6"/>
                      <w:sz w:val="18"/>
                      <w:szCs w:val="18"/>
                    </w:rPr>
                    <w:t>44.9</w:t>
                  </w:r>
                </w:p>
              </w:tc>
              <w:tc>
                <w:tcPr>
                  <w:tcW w:w="293" w:type="pct"/>
                  <w:vMerge w:val="continue"/>
                  <w:vAlign w:val="center"/>
                </w:tcPr>
                <w:p w14:paraId="349E0E53">
                  <w:pPr>
                    <w:jc w:val="center"/>
                    <w:rPr>
                      <w:spacing w:val="6"/>
                      <w:sz w:val="18"/>
                      <w:szCs w:val="18"/>
                    </w:rPr>
                  </w:pPr>
                </w:p>
              </w:tc>
              <w:tc>
                <w:tcPr>
                  <w:tcW w:w="353" w:type="pct"/>
                  <w:vMerge w:val="continue"/>
                  <w:vAlign w:val="center"/>
                </w:tcPr>
                <w:p w14:paraId="4AD94F03">
                  <w:pPr>
                    <w:jc w:val="center"/>
                    <w:rPr>
                      <w:spacing w:val="6"/>
                      <w:sz w:val="18"/>
                      <w:szCs w:val="18"/>
                    </w:rPr>
                  </w:pPr>
                </w:p>
              </w:tc>
              <w:tc>
                <w:tcPr>
                  <w:tcW w:w="365" w:type="pct"/>
                  <w:vAlign w:val="center"/>
                </w:tcPr>
                <w:p w14:paraId="73472A72">
                  <w:pPr>
                    <w:jc w:val="center"/>
                    <w:rPr>
                      <w:spacing w:val="6"/>
                      <w:sz w:val="18"/>
                      <w:szCs w:val="18"/>
                    </w:rPr>
                  </w:pPr>
                  <w:r>
                    <w:rPr>
                      <w:rFonts w:hint="eastAsia"/>
                      <w:spacing w:val="6"/>
                      <w:sz w:val="18"/>
                      <w:szCs w:val="18"/>
                    </w:rPr>
                    <w:t>29.9</w:t>
                  </w:r>
                </w:p>
              </w:tc>
              <w:tc>
                <w:tcPr>
                  <w:tcW w:w="297" w:type="pct"/>
                  <w:vAlign w:val="center"/>
                </w:tcPr>
                <w:p w14:paraId="050CB40C">
                  <w:pPr>
                    <w:jc w:val="center"/>
                    <w:rPr>
                      <w:sz w:val="18"/>
                      <w:szCs w:val="18"/>
                    </w:rPr>
                  </w:pPr>
                  <w:r>
                    <w:rPr>
                      <w:rFonts w:hint="eastAsia"/>
                      <w:sz w:val="18"/>
                      <w:szCs w:val="18"/>
                    </w:rPr>
                    <w:t>1</w:t>
                  </w:r>
                </w:p>
              </w:tc>
            </w:tr>
            <w:tr w14:paraId="7CD6C0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5C27F0D2">
                  <w:pPr>
                    <w:jc w:val="center"/>
                    <w:rPr>
                      <w:spacing w:val="6"/>
                      <w:sz w:val="18"/>
                      <w:szCs w:val="18"/>
                    </w:rPr>
                  </w:pPr>
                </w:p>
              </w:tc>
              <w:tc>
                <w:tcPr>
                  <w:tcW w:w="284" w:type="pct"/>
                  <w:vMerge w:val="continue"/>
                  <w:vAlign w:val="center"/>
                </w:tcPr>
                <w:p w14:paraId="641A2462">
                  <w:pPr>
                    <w:jc w:val="center"/>
                    <w:rPr>
                      <w:spacing w:val="6"/>
                      <w:sz w:val="18"/>
                      <w:szCs w:val="18"/>
                    </w:rPr>
                  </w:pPr>
                </w:p>
              </w:tc>
              <w:tc>
                <w:tcPr>
                  <w:tcW w:w="361" w:type="pct"/>
                  <w:vMerge w:val="continue"/>
                  <w:vAlign w:val="center"/>
                </w:tcPr>
                <w:p w14:paraId="524F5378">
                  <w:pPr>
                    <w:jc w:val="center"/>
                    <w:rPr>
                      <w:spacing w:val="6"/>
                      <w:sz w:val="18"/>
                      <w:szCs w:val="18"/>
                    </w:rPr>
                  </w:pPr>
                </w:p>
              </w:tc>
              <w:tc>
                <w:tcPr>
                  <w:tcW w:w="175" w:type="pct"/>
                  <w:vMerge w:val="continue"/>
                  <w:vAlign w:val="center"/>
                </w:tcPr>
                <w:p w14:paraId="48AF2E5D">
                  <w:pPr>
                    <w:jc w:val="center"/>
                    <w:rPr>
                      <w:spacing w:val="6"/>
                      <w:sz w:val="18"/>
                      <w:szCs w:val="18"/>
                    </w:rPr>
                  </w:pPr>
                </w:p>
              </w:tc>
              <w:tc>
                <w:tcPr>
                  <w:tcW w:w="586" w:type="pct"/>
                  <w:vMerge w:val="continue"/>
                  <w:vAlign w:val="center"/>
                </w:tcPr>
                <w:p w14:paraId="2B2E789F">
                  <w:pPr>
                    <w:jc w:val="center"/>
                    <w:rPr>
                      <w:spacing w:val="6"/>
                      <w:sz w:val="18"/>
                      <w:szCs w:val="18"/>
                    </w:rPr>
                  </w:pPr>
                </w:p>
              </w:tc>
              <w:tc>
                <w:tcPr>
                  <w:tcW w:w="360" w:type="pct"/>
                  <w:vMerge w:val="continue"/>
                  <w:vAlign w:val="center"/>
                </w:tcPr>
                <w:p w14:paraId="60A0D2B8">
                  <w:pPr>
                    <w:jc w:val="center"/>
                    <w:rPr>
                      <w:spacing w:val="6"/>
                      <w:sz w:val="18"/>
                      <w:szCs w:val="18"/>
                    </w:rPr>
                  </w:pPr>
                </w:p>
              </w:tc>
              <w:tc>
                <w:tcPr>
                  <w:tcW w:w="226" w:type="pct"/>
                  <w:vMerge w:val="continue"/>
                  <w:vAlign w:val="center"/>
                </w:tcPr>
                <w:p w14:paraId="263CC0DC">
                  <w:pPr>
                    <w:jc w:val="center"/>
                    <w:rPr>
                      <w:spacing w:val="6"/>
                      <w:sz w:val="18"/>
                      <w:szCs w:val="18"/>
                    </w:rPr>
                  </w:pPr>
                </w:p>
              </w:tc>
              <w:tc>
                <w:tcPr>
                  <w:tcW w:w="293" w:type="pct"/>
                  <w:vMerge w:val="continue"/>
                  <w:vAlign w:val="center"/>
                </w:tcPr>
                <w:p w14:paraId="63C3CD9F">
                  <w:pPr>
                    <w:jc w:val="center"/>
                    <w:rPr>
                      <w:spacing w:val="6"/>
                      <w:sz w:val="18"/>
                      <w:szCs w:val="18"/>
                    </w:rPr>
                  </w:pPr>
                </w:p>
              </w:tc>
              <w:tc>
                <w:tcPr>
                  <w:tcW w:w="235" w:type="pct"/>
                  <w:vMerge w:val="continue"/>
                  <w:vAlign w:val="center"/>
                </w:tcPr>
                <w:p w14:paraId="555DFED7">
                  <w:pPr>
                    <w:jc w:val="center"/>
                    <w:rPr>
                      <w:spacing w:val="6"/>
                      <w:sz w:val="18"/>
                      <w:szCs w:val="18"/>
                    </w:rPr>
                  </w:pPr>
                </w:p>
              </w:tc>
              <w:tc>
                <w:tcPr>
                  <w:tcW w:w="293" w:type="pct"/>
                  <w:vAlign w:val="center"/>
                </w:tcPr>
                <w:p w14:paraId="4A60C76C">
                  <w:pPr>
                    <w:jc w:val="center"/>
                    <w:rPr>
                      <w:spacing w:val="6"/>
                      <w:sz w:val="18"/>
                      <w:szCs w:val="18"/>
                    </w:rPr>
                  </w:pPr>
                  <w:r>
                    <w:rPr>
                      <w:spacing w:val="6"/>
                      <w:sz w:val="18"/>
                      <w:szCs w:val="18"/>
                    </w:rPr>
                    <w:t>西</w:t>
                  </w:r>
                </w:p>
              </w:tc>
              <w:tc>
                <w:tcPr>
                  <w:tcW w:w="293" w:type="pct"/>
                  <w:vAlign w:val="center"/>
                </w:tcPr>
                <w:p w14:paraId="4C765B3E">
                  <w:pPr>
                    <w:jc w:val="center"/>
                    <w:rPr>
                      <w:spacing w:val="6"/>
                      <w:sz w:val="18"/>
                      <w:szCs w:val="18"/>
                    </w:rPr>
                  </w:pPr>
                  <w:r>
                    <w:rPr>
                      <w:rFonts w:hint="eastAsia"/>
                      <w:spacing w:val="6"/>
                      <w:sz w:val="18"/>
                      <w:szCs w:val="18"/>
                    </w:rPr>
                    <w:t>8</w:t>
                  </w:r>
                </w:p>
              </w:tc>
              <w:tc>
                <w:tcPr>
                  <w:tcW w:w="410" w:type="pct"/>
                  <w:vAlign w:val="center"/>
                </w:tcPr>
                <w:p w14:paraId="1E11B217">
                  <w:pPr>
                    <w:jc w:val="center"/>
                    <w:rPr>
                      <w:spacing w:val="6"/>
                      <w:sz w:val="18"/>
                      <w:szCs w:val="18"/>
                    </w:rPr>
                  </w:pPr>
                  <w:r>
                    <w:rPr>
                      <w:rFonts w:hint="eastAsia"/>
                      <w:spacing w:val="6"/>
                      <w:sz w:val="18"/>
                      <w:szCs w:val="18"/>
                    </w:rPr>
                    <w:t>61.9</w:t>
                  </w:r>
                </w:p>
              </w:tc>
              <w:tc>
                <w:tcPr>
                  <w:tcW w:w="293" w:type="pct"/>
                  <w:vMerge w:val="continue"/>
                  <w:vAlign w:val="center"/>
                </w:tcPr>
                <w:p w14:paraId="3CBB3957">
                  <w:pPr>
                    <w:jc w:val="center"/>
                    <w:rPr>
                      <w:spacing w:val="6"/>
                      <w:sz w:val="18"/>
                      <w:szCs w:val="18"/>
                    </w:rPr>
                  </w:pPr>
                </w:p>
              </w:tc>
              <w:tc>
                <w:tcPr>
                  <w:tcW w:w="353" w:type="pct"/>
                  <w:vMerge w:val="continue"/>
                  <w:vAlign w:val="center"/>
                </w:tcPr>
                <w:p w14:paraId="73EB6C30">
                  <w:pPr>
                    <w:jc w:val="center"/>
                    <w:rPr>
                      <w:spacing w:val="6"/>
                      <w:sz w:val="18"/>
                      <w:szCs w:val="18"/>
                    </w:rPr>
                  </w:pPr>
                </w:p>
              </w:tc>
              <w:tc>
                <w:tcPr>
                  <w:tcW w:w="365" w:type="pct"/>
                  <w:vAlign w:val="center"/>
                </w:tcPr>
                <w:p w14:paraId="101FB5B2">
                  <w:pPr>
                    <w:jc w:val="center"/>
                    <w:rPr>
                      <w:spacing w:val="6"/>
                      <w:sz w:val="18"/>
                      <w:szCs w:val="18"/>
                    </w:rPr>
                  </w:pPr>
                  <w:r>
                    <w:rPr>
                      <w:rFonts w:hint="eastAsia"/>
                      <w:spacing w:val="6"/>
                      <w:sz w:val="18"/>
                      <w:szCs w:val="18"/>
                    </w:rPr>
                    <w:t>46.9</w:t>
                  </w:r>
                </w:p>
              </w:tc>
              <w:tc>
                <w:tcPr>
                  <w:tcW w:w="297" w:type="pct"/>
                  <w:vAlign w:val="center"/>
                </w:tcPr>
                <w:p w14:paraId="7FD9D839">
                  <w:pPr>
                    <w:jc w:val="center"/>
                    <w:rPr>
                      <w:sz w:val="18"/>
                      <w:szCs w:val="18"/>
                    </w:rPr>
                  </w:pPr>
                  <w:r>
                    <w:rPr>
                      <w:rFonts w:hint="eastAsia"/>
                      <w:sz w:val="18"/>
                      <w:szCs w:val="18"/>
                    </w:rPr>
                    <w:t>1</w:t>
                  </w:r>
                </w:p>
              </w:tc>
            </w:tr>
            <w:tr w14:paraId="45CF61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2DA2C7CA">
                  <w:pPr>
                    <w:jc w:val="center"/>
                    <w:rPr>
                      <w:spacing w:val="6"/>
                      <w:sz w:val="18"/>
                      <w:szCs w:val="18"/>
                    </w:rPr>
                  </w:pPr>
                </w:p>
              </w:tc>
              <w:tc>
                <w:tcPr>
                  <w:tcW w:w="284" w:type="pct"/>
                  <w:vMerge w:val="continue"/>
                  <w:vAlign w:val="center"/>
                </w:tcPr>
                <w:p w14:paraId="35CE5461">
                  <w:pPr>
                    <w:jc w:val="center"/>
                    <w:rPr>
                      <w:spacing w:val="6"/>
                      <w:sz w:val="18"/>
                      <w:szCs w:val="18"/>
                    </w:rPr>
                  </w:pPr>
                </w:p>
              </w:tc>
              <w:tc>
                <w:tcPr>
                  <w:tcW w:w="361" w:type="pct"/>
                  <w:vMerge w:val="continue"/>
                  <w:vAlign w:val="center"/>
                </w:tcPr>
                <w:p w14:paraId="7EAD8911">
                  <w:pPr>
                    <w:jc w:val="center"/>
                    <w:rPr>
                      <w:spacing w:val="6"/>
                      <w:sz w:val="18"/>
                      <w:szCs w:val="18"/>
                    </w:rPr>
                  </w:pPr>
                </w:p>
              </w:tc>
              <w:tc>
                <w:tcPr>
                  <w:tcW w:w="175" w:type="pct"/>
                  <w:vMerge w:val="continue"/>
                  <w:vAlign w:val="center"/>
                </w:tcPr>
                <w:p w14:paraId="254FC877">
                  <w:pPr>
                    <w:jc w:val="center"/>
                    <w:rPr>
                      <w:spacing w:val="6"/>
                      <w:sz w:val="18"/>
                      <w:szCs w:val="18"/>
                    </w:rPr>
                  </w:pPr>
                </w:p>
              </w:tc>
              <w:tc>
                <w:tcPr>
                  <w:tcW w:w="586" w:type="pct"/>
                  <w:vMerge w:val="continue"/>
                  <w:vAlign w:val="center"/>
                </w:tcPr>
                <w:p w14:paraId="0AF7194C">
                  <w:pPr>
                    <w:jc w:val="center"/>
                    <w:rPr>
                      <w:spacing w:val="6"/>
                      <w:sz w:val="18"/>
                      <w:szCs w:val="18"/>
                    </w:rPr>
                  </w:pPr>
                </w:p>
              </w:tc>
              <w:tc>
                <w:tcPr>
                  <w:tcW w:w="360" w:type="pct"/>
                  <w:vMerge w:val="continue"/>
                  <w:vAlign w:val="center"/>
                </w:tcPr>
                <w:p w14:paraId="24884B22">
                  <w:pPr>
                    <w:jc w:val="center"/>
                    <w:rPr>
                      <w:spacing w:val="6"/>
                      <w:sz w:val="18"/>
                      <w:szCs w:val="18"/>
                    </w:rPr>
                  </w:pPr>
                </w:p>
              </w:tc>
              <w:tc>
                <w:tcPr>
                  <w:tcW w:w="226" w:type="pct"/>
                  <w:vMerge w:val="continue"/>
                  <w:vAlign w:val="center"/>
                </w:tcPr>
                <w:p w14:paraId="582CF9C5">
                  <w:pPr>
                    <w:jc w:val="center"/>
                    <w:rPr>
                      <w:spacing w:val="6"/>
                      <w:sz w:val="18"/>
                      <w:szCs w:val="18"/>
                    </w:rPr>
                  </w:pPr>
                </w:p>
              </w:tc>
              <w:tc>
                <w:tcPr>
                  <w:tcW w:w="293" w:type="pct"/>
                  <w:vMerge w:val="continue"/>
                  <w:vAlign w:val="center"/>
                </w:tcPr>
                <w:p w14:paraId="0407A902">
                  <w:pPr>
                    <w:jc w:val="center"/>
                    <w:rPr>
                      <w:spacing w:val="6"/>
                      <w:sz w:val="18"/>
                      <w:szCs w:val="18"/>
                    </w:rPr>
                  </w:pPr>
                </w:p>
              </w:tc>
              <w:tc>
                <w:tcPr>
                  <w:tcW w:w="235" w:type="pct"/>
                  <w:vMerge w:val="continue"/>
                  <w:vAlign w:val="center"/>
                </w:tcPr>
                <w:p w14:paraId="13038E1E">
                  <w:pPr>
                    <w:jc w:val="center"/>
                    <w:rPr>
                      <w:spacing w:val="6"/>
                      <w:sz w:val="18"/>
                      <w:szCs w:val="18"/>
                    </w:rPr>
                  </w:pPr>
                </w:p>
              </w:tc>
              <w:tc>
                <w:tcPr>
                  <w:tcW w:w="293" w:type="pct"/>
                  <w:vAlign w:val="center"/>
                </w:tcPr>
                <w:p w14:paraId="274788BA">
                  <w:pPr>
                    <w:jc w:val="center"/>
                    <w:rPr>
                      <w:spacing w:val="6"/>
                      <w:sz w:val="18"/>
                      <w:szCs w:val="18"/>
                    </w:rPr>
                  </w:pPr>
                  <w:r>
                    <w:rPr>
                      <w:spacing w:val="6"/>
                      <w:sz w:val="18"/>
                      <w:szCs w:val="18"/>
                    </w:rPr>
                    <w:t>北</w:t>
                  </w:r>
                </w:p>
              </w:tc>
              <w:tc>
                <w:tcPr>
                  <w:tcW w:w="293" w:type="pct"/>
                  <w:vAlign w:val="center"/>
                </w:tcPr>
                <w:p w14:paraId="62D974FD">
                  <w:pPr>
                    <w:jc w:val="center"/>
                    <w:rPr>
                      <w:spacing w:val="6"/>
                      <w:sz w:val="18"/>
                      <w:szCs w:val="18"/>
                    </w:rPr>
                  </w:pPr>
                  <w:r>
                    <w:rPr>
                      <w:rFonts w:hint="eastAsia"/>
                      <w:spacing w:val="6"/>
                      <w:sz w:val="18"/>
                      <w:szCs w:val="18"/>
                    </w:rPr>
                    <w:t>56</w:t>
                  </w:r>
                </w:p>
              </w:tc>
              <w:tc>
                <w:tcPr>
                  <w:tcW w:w="410" w:type="pct"/>
                  <w:vAlign w:val="center"/>
                </w:tcPr>
                <w:p w14:paraId="5FE0E643">
                  <w:pPr>
                    <w:jc w:val="center"/>
                    <w:rPr>
                      <w:spacing w:val="6"/>
                      <w:sz w:val="18"/>
                      <w:szCs w:val="18"/>
                    </w:rPr>
                  </w:pPr>
                  <w:r>
                    <w:rPr>
                      <w:rFonts w:hint="eastAsia"/>
                      <w:spacing w:val="6"/>
                      <w:sz w:val="18"/>
                      <w:szCs w:val="18"/>
                    </w:rPr>
                    <w:t>45.0</w:t>
                  </w:r>
                </w:p>
              </w:tc>
              <w:tc>
                <w:tcPr>
                  <w:tcW w:w="293" w:type="pct"/>
                  <w:vMerge w:val="continue"/>
                  <w:vAlign w:val="center"/>
                </w:tcPr>
                <w:p w14:paraId="13CFAA09">
                  <w:pPr>
                    <w:jc w:val="center"/>
                    <w:rPr>
                      <w:spacing w:val="6"/>
                      <w:sz w:val="18"/>
                      <w:szCs w:val="18"/>
                    </w:rPr>
                  </w:pPr>
                </w:p>
              </w:tc>
              <w:tc>
                <w:tcPr>
                  <w:tcW w:w="353" w:type="pct"/>
                  <w:vMerge w:val="continue"/>
                  <w:vAlign w:val="center"/>
                </w:tcPr>
                <w:p w14:paraId="35FCD35D">
                  <w:pPr>
                    <w:jc w:val="center"/>
                    <w:rPr>
                      <w:spacing w:val="6"/>
                      <w:sz w:val="18"/>
                      <w:szCs w:val="18"/>
                    </w:rPr>
                  </w:pPr>
                </w:p>
              </w:tc>
              <w:tc>
                <w:tcPr>
                  <w:tcW w:w="365" w:type="pct"/>
                  <w:vAlign w:val="center"/>
                </w:tcPr>
                <w:p w14:paraId="20CD3FA3">
                  <w:pPr>
                    <w:jc w:val="center"/>
                    <w:rPr>
                      <w:spacing w:val="6"/>
                      <w:sz w:val="18"/>
                      <w:szCs w:val="18"/>
                    </w:rPr>
                  </w:pPr>
                  <w:r>
                    <w:rPr>
                      <w:rFonts w:hint="eastAsia"/>
                      <w:spacing w:val="6"/>
                      <w:sz w:val="18"/>
                      <w:szCs w:val="18"/>
                    </w:rPr>
                    <w:t>30</w:t>
                  </w:r>
                </w:p>
              </w:tc>
              <w:tc>
                <w:tcPr>
                  <w:tcW w:w="297" w:type="pct"/>
                  <w:vAlign w:val="center"/>
                </w:tcPr>
                <w:p w14:paraId="588801A8">
                  <w:pPr>
                    <w:jc w:val="center"/>
                    <w:rPr>
                      <w:sz w:val="18"/>
                      <w:szCs w:val="18"/>
                    </w:rPr>
                  </w:pPr>
                  <w:r>
                    <w:rPr>
                      <w:rFonts w:hint="eastAsia"/>
                      <w:sz w:val="18"/>
                      <w:szCs w:val="18"/>
                    </w:rPr>
                    <w:t>1</w:t>
                  </w:r>
                </w:p>
              </w:tc>
            </w:tr>
            <w:tr w14:paraId="6565AC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restart"/>
                  <w:vAlign w:val="center"/>
                </w:tcPr>
                <w:p w14:paraId="7543D124">
                  <w:pPr>
                    <w:jc w:val="center"/>
                    <w:rPr>
                      <w:spacing w:val="6"/>
                      <w:sz w:val="18"/>
                      <w:szCs w:val="18"/>
                    </w:rPr>
                  </w:pPr>
                  <w:r>
                    <w:rPr>
                      <w:rFonts w:hint="eastAsia"/>
                      <w:spacing w:val="6"/>
                      <w:sz w:val="18"/>
                      <w:szCs w:val="18"/>
                    </w:rPr>
                    <w:t>6</w:t>
                  </w:r>
                </w:p>
              </w:tc>
              <w:tc>
                <w:tcPr>
                  <w:tcW w:w="284" w:type="pct"/>
                  <w:vMerge w:val="continue"/>
                  <w:vAlign w:val="center"/>
                </w:tcPr>
                <w:p w14:paraId="3BC08DFD">
                  <w:pPr>
                    <w:jc w:val="center"/>
                    <w:rPr>
                      <w:spacing w:val="6"/>
                      <w:sz w:val="18"/>
                      <w:szCs w:val="18"/>
                    </w:rPr>
                  </w:pPr>
                </w:p>
              </w:tc>
              <w:tc>
                <w:tcPr>
                  <w:tcW w:w="361" w:type="pct"/>
                  <w:vMerge w:val="restart"/>
                  <w:vAlign w:val="center"/>
                </w:tcPr>
                <w:p w14:paraId="217615F0">
                  <w:pPr>
                    <w:jc w:val="center"/>
                    <w:rPr>
                      <w:spacing w:val="6"/>
                      <w:sz w:val="18"/>
                      <w:szCs w:val="18"/>
                    </w:rPr>
                  </w:pPr>
                  <w:r>
                    <w:rPr>
                      <w:spacing w:val="6"/>
                      <w:sz w:val="18"/>
                      <w:szCs w:val="18"/>
                    </w:rPr>
                    <w:t>中空</w:t>
                  </w:r>
                  <w:r>
                    <w:rPr>
                      <w:rFonts w:hint="eastAsia"/>
                      <w:spacing w:val="6"/>
                      <w:sz w:val="18"/>
                      <w:szCs w:val="18"/>
                    </w:rPr>
                    <w:t>玻璃</w:t>
                  </w:r>
                  <w:r>
                    <w:rPr>
                      <w:spacing w:val="6"/>
                      <w:sz w:val="18"/>
                      <w:szCs w:val="18"/>
                    </w:rPr>
                    <w:t>机</w:t>
                  </w:r>
                  <w:r>
                    <w:rPr>
                      <w:rFonts w:hint="eastAsia"/>
                      <w:spacing w:val="6"/>
                      <w:sz w:val="18"/>
                      <w:szCs w:val="18"/>
                    </w:rPr>
                    <w:t>1</w:t>
                  </w:r>
                </w:p>
              </w:tc>
              <w:tc>
                <w:tcPr>
                  <w:tcW w:w="175" w:type="pct"/>
                  <w:vMerge w:val="restart"/>
                  <w:vAlign w:val="center"/>
                </w:tcPr>
                <w:p w14:paraId="519960B2">
                  <w:pPr>
                    <w:jc w:val="center"/>
                    <w:rPr>
                      <w:spacing w:val="6"/>
                      <w:sz w:val="18"/>
                      <w:szCs w:val="18"/>
                    </w:rPr>
                  </w:pPr>
                  <w:r>
                    <w:rPr>
                      <w:rFonts w:hint="eastAsia"/>
                      <w:spacing w:val="6"/>
                      <w:sz w:val="18"/>
                      <w:szCs w:val="18"/>
                    </w:rPr>
                    <w:t>/</w:t>
                  </w:r>
                </w:p>
              </w:tc>
              <w:tc>
                <w:tcPr>
                  <w:tcW w:w="586" w:type="pct"/>
                  <w:vMerge w:val="restart"/>
                  <w:vAlign w:val="center"/>
                </w:tcPr>
                <w:p w14:paraId="1F8D156F">
                  <w:pPr>
                    <w:jc w:val="center"/>
                    <w:rPr>
                      <w:spacing w:val="6"/>
                      <w:sz w:val="18"/>
                      <w:szCs w:val="18"/>
                    </w:rPr>
                  </w:pPr>
                  <w:r>
                    <w:rPr>
                      <w:rFonts w:hint="eastAsia"/>
                      <w:spacing w:val="6"/>
                      <w:sz w:val="18"/>
                      <w:szCs w:val="18"/>
                    </w:rPr>
                    <w:t>70/1</w:t>
                  </w:r>
                </w:p>
              </w:tc>
              <w:tc>
                <w:tcPr>
                  <w:tcW w:w="360" w:type="pct"/>
                  <w:vMerge w:val="continue"/>
                  <w:vAlign w:val="center"/>
                </w:tcPr>
                <w:p w14:paraId="0069F7DD">
                  <w:pPr>
                    <w:jc w:val="center"/>
                    <w:rPr>
                      <w:spacing w:val="6"/>
                      <w:sz w:val="18"/>
                      <w:szCs w:val="18"/>
                    </w:rPr>
                  </w:pPr>
                </w:p>
              </w:tc>
              <w:tc>
                <w:tcPr>
                  <w:tcW w:w="226" w:type="pct"/>
                  <w:vMerge w:val="restart"/>
                  <w:vAlign w:val="center"/>
                </w:tcPr>
                <w:p w14:paraId="0FC1F16D">
                  <w:pPr>
                    <w:jc w:val="center"/>
                    <w:rPr>
                      <w:spacing w:val="6"/>
                      <w:sz w:val="18"/>
                      <w:szCs w:val="18"/>
                    </w:rPr>
                  </w:pPr>
                  <w:r>
                    <w:rPr>
                      <w:rFonts w:hint="eastAsia"/>
                      <w:spacing w:val="6"/>
                      <w:sz w:val="18"/>
                      <w:szCs w:val="18"/>
                    </w:rPr>
                    <w:t>6</w:t>
                  </w:r>
                </w:p>
              </w:tc>
              <w:tc>
                <w:tcPr>
                  <w:tcW w:w="293" w:type="pct"/>
                  <w:vMerge w:val="restart"/>
                  <w:vAlign w:val="center"/>
                </w:tcPr>
                <w:p w14:paraId="20519449">
                  <w:pPr>
                    <w:jc w:val="center"/>
                    <w:rPr>
                      <w:spacing w:val="6"/>
                      <w:sz w:val="18"/>
                      <w:szCs w:val="18"/>
                    </w:rPr>
                  </w:pPr>
                  <w:r>
                    <w:rPr>
                      <w:rFonts w:hint="eastAsia"/>
                      <w:spacing w:val="6"/>
                      <w:sz w:val="18"/>
                      <w:szCs w:val="18"/>
                    </w:rPr>
                    <w:t>-17</w:t>
                  </w:r>
                </w:p>
              </w:tc>
              <w:tc>
                <w:tcPr>
                  <w:tcW w:w="235" w:type="pct"/>
                  <w:vMerge w:val="restart"/>
                  <w:vAlign w:val="center"/>
                </w:tcPr>
                <w:p w14:paraId="63EBA694">
                  <w:pPr>
                    <w:jc w:val="center"/>
                    <w:rPr>
                      <w:spacing w:val="6"/>
                      <w:sz w:val="18"/>
                      <w:szCs w:val="18"/>
                    </w:rPr>
                  </w:pPr>
                  <w:r>
                    <w:rPr>
                      <w:rFonts w:hint="eastAsia"/>
                      <w:spacing w:val="6"/>
                      <w:sz w:val="18"/>
                      <w:szCs w:val="18"/>
                    </w:rPr>
                    <w:t>1.2</w:t>
                  </w:r>
                </w:p>
              </w:tc>
              <w:tc>
                <w:tcPr>
                  <w:tcW w:w="293" w:type="pct"/>
                  <w:vAlign w:val="center"/>
                </w:tcPr>
                <w:p w14:paraId="30B79BA8">
                  <w:pPr>
                    <w:jc w:val="center"/>
                    <w:rPr>
                      <w:spacing w:val="6"/>
                      <w:sz w:val="18"/>
                      <w:szCs w:val="18"/>
                    </w:rPr>
                  </w:pPr>
                  <w:r>
                    <w:rPr>
                      <w:sz w:val="18"/>
                      <w:szCs w:val="18"/>
                    </w:rPr>
                    <w:t>东</w:t>
                  </w:r>
                </w:p>
              </w:tc>
              <w:tc>
                <w:tcPr>
                  <w:tcW w:w="293" w:type="pct"/>
                  <w:vAlign w:val="center"/>
                </w:tcPr>
                <w:p w14:paraId="7B749FC0">
                  <w:pPr>
                    <w:jc w:val="center"/>
                    <w:rPr>
                      <w:spacing w:val="6"/>
                      <w:sz w:val="18"/>
                      <w:szCs w:val="18"/>
                    </w:rPr>
                  </w:pPr>
                  <w:r>
                    <w:rPr>
                      <w:rFonts w:hint="eastAsia"/>
                      <w:spacing w:val="6"/>
                      <w:sz w:val="18"/>
                      <w:szCs w:val="18"/>
                    </w:rPr>
                    <w:t>13</w:t>
                  </w:r>
                </w:p>
              </w:tc>
              <w:tc>
                <w:tcPr>
                  <w:tcW w:w="410" w:type="pct"/>
                  <w:vAlign w:val="center"/>
                </w:tcPr>
                <w:p w14:paraId="5CD19052">
                  <w:pPr>
                    <w:jc w:val="center"/>
                    <w:rPr>
                      <w:spacing w:val="6"/>
                      <w:sz w:val="18"/>
                      <w:szCs w:val="18"/>
                    </w:rPr>
                  </w:pPr>
                  <w:r>
                    <w:rPr>
                      <w:rFonts w:hint="eastAsia"/>
                      <w:spacing w:val="6"/>
                      <w:sz w:val="18"/>
                      <w:szCs w:val="18"/>
                    </w:rPr>
                    <w:t>47.7</w:t>
                  </w:r>
                </w:p>
              </w:tc>
              <w:tc>
                <w:tcPr>
                  <w:tcW w:w="293" w:type="pct"/>
                  <w:vMerge w:val="restart"/>
                  <w:vAlign w:val="center"/>
                </w:tcPr>
                <w:p w14:paraId="2CF5824B">
                  <w:pPr>
                    <w:jc w:val="center"/>
                    <w:rPr>
                      <w:spacing w:val="6"/>
                      <w:sz w:val="18"/>
                      <w:szCs w:val="18"/>
                    </w:rPr>
                  </w:pPr>
                  <w:r>
                    <w:rPr>
                      <w:rFonts w:hint="eastAsia"/>
                      <w:spacing w:val="6"/>
                      <w:sz w:val="18"/>
                      <w:szCs w:val="18"/>
                    </w:rPr>
                    <w:t>8h</w:t>
                  </w:r>
                </w:p>
              </w:tc>
              <w:tc>
                <w:tcPr>
                  <w:tcW w:w="353" w:type="pct"/>
                  <w:vMerge w:val="restart"/>
                  <w:vAlign w:val="center"/>
                </w:tcPr>
                <w:p w14:paraId="3DE3B8BD">
                  <w:pPr>
                    <w:jc w:val="center"/>
                    <w:rPr>
                      <w:spacing w:val="6"/>
                      <w:sz w:val="18"/>
                      <w:szCs w:val="18"/>
                    </w:rPr>
                  </w:pPr>
                  <w:r>
                    <w:rPr>
                      <w:rFonts w:hint="eastAsia"/>
                      <w:spacing w:val="6"/>
                      <w:sz w:val="18"/>
                      <w:szCs w:val="18"/>
                    </w:rPr>
                    <w:t>15</w:t>
                  </w:r>
                </w:p>
              </w:tc>
              <w:tc>
                <w:tcPr>
                  <w:tcW w:w="365" w:type="pct"/>
                  <w:vAlign w:val="center"/>
                </w:tcPr>
                <w:p w14:paraId="7AF9687D">
                  <w:pPr>
                    <w:jc w:val="center"/>
                    <w:rPr>
                      <w:spacing w:val="6"/>
                      <w:sz w:val="18"/>
                      <w:szCs w:val="18"/>
                    </w:rPr>
                  </w:pPr>
                  <w:r>
                    <w:rPr>
                      <w:rFonts w:hint="eastAsia"/>
                      <w:spacing w:val="6"/>
                      <w:sz w:val="18"/>
                      <w:szCs w:val="18"/>
                    </w:rPr>
                    <w:t>32.7</w:t>
                  </w:r>
                </w:p>
              </w:tc>
              <w:tc>
                <w:tcPr>
                  <w:tcW w:w="297" w:type="pct"/>
                  <w:vAlign w:val="center"/>
                </w:tcPr>
                <w:p w14:paraId="7C75AE67">
                  <w:pPr>
                    <w:jc w:val="center"/>
                    <w:rPr>
                      <w:sz w:val="18"/>
                      <w:szCs w:val="18"/>
                    </w:rPr>
                  </w:pPr>
                  <w:r>
                    <w:rPr>
                      <w:rFonts w:hint="eastAsia"/>
                      <w:sz w:val="18"/>
                      <w:szCs w:val="18"/>
                    </w:rPr>
                    <w:t>1</w:t>
                  </w:r>
                </w:p>
              </w:tc>
            </w:tr>
            <w:tr w14:paraId="361944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119932ED">
                  <w:pPr>
                    <w:jc w:val="center"/>
                    <w:rPr>
                      <w:spacing w:val="6"/>
                      <w:sz w:val="18"/>
                      <w:szCs w:val="18"/>
                    </w:rPr>
                  </w:pPr>
                </w:p>
              </w:tc>
              <w:tc>
                <w:tcPr>
                  <w:tcW w:w="284" w:type="pct"/>
                  <w:vMerge w:val="continue"/>
                  <w:vAlign w:val="center"/>
                </w:tcPr>
                <w:p w14:paraId="1A9E607B">
                  <w:pPr>
                    <w:jc w:val="center"/>
                    <w:rPr>
                      <w:spacing w:val="6"/>
                      <w:sz w:val="18"/>
                      <w:szCs w:val="18"/>
                    </w:rPr>
                  </w:pPr>
                </w:p>
              </w:tc>
              <w:tc>
                <w:tcPr>
                  <w:tcW w:w="361" w:type="pct"/>
                  <w:vMerge w:val="continue"/>
                  <w:vAlign w:val="center"/>
                </w:tcPr>
                <w:p w14:paraId="017506AD">
                  <w:pPr>
                    <w:jc w:val="center"/>
                    <w:rPr>
                      <w:spacing w:val="6"/>
                      <w:sz w:val="18"/>
                      <w:szCs w:val="18"/>
                    </w:rPr>
                  </w:pPr>
                </w:p>
              </w:tc>
              <w:tc>
                <w:tcPr>
                  <w:tcW w:w="175" w:type="pct"/>
                  <w:vMerge w:val="continue"/>
                  <w:vAlign w:val="center"/>
                </w:tcPr>
                <w:p w14:paraId="40F64B4F">
                  <w:pPr>
                    <w:jc w:val="center"/>
                    <w:rPr>
                      <w:spacing w:val="6"/>
                      <w:sz w:val="18"/>
                      <w:szCs w:val="18"/>
                    </w:rPr>
                  </w:pPr>
                </w:p>
              </w:tc>
              <w:tc>
                <w:tcPr>
                  <w:tcW w:w="586" w:type="pct"/>
                  <w:vMerge w:val="continue"/>
                  <w:vAlign w:val="center"/>
                </w:tcPr>
                <w:p w14:paraId="4E2EC720">
                  <w:pPr>
                    <w:jc w:val="center"/>
                    <w:rPr>
                      <w:spacing w:val="6"/>
                      <w:sz w:val="18"/>
                      <w:szCs w:val="18"/>
                    </w:rPr>
                  </w:pPr>
                </w:p>
              </w:tc>
              <w:tc>
                <w:tcPr>
                  <w:tcW w:w="360" w:type="pct"/>
                  <w:vMerge w:val="continue"/>
                  <w:vAlign w:val="center"/>
                </w:tcPr>
                <w:p w14:paraId="2C4EFA28">
                  <w:pPr>
                    <w:jc w:val="center"/>
                    <w:rPr>
                      <w:spacing w:val="6"/>
                      <w:sz w:val="18"/>
                      <w:szCs w:val="18"/>
                    </w:rPr>
                  </w:pPr>
                </w:p>
              </w:tc>
              <w:tc>
                <w:tcPr>
                  <w:tcW w:w="226" w:type="pct"/>
                  <w:vMerge w:val="continue"/>
                  <w:vAlign w:val="center"/>
                </w:tcPr>
                <w:p w14:paraId="38232CD4">
                  <w:pPr>
                    <w:jc w:val="center"/>
                    <w:rPr>
                      <w:spacing w:val="6"/>
                      <w:sz w:val="18"/>
                      <w:szCs w:val="18"/>
                    </w:rPr>
                  </w:pPr>
                </w:p>
              </w:tc>
              <w:tc>
                <w:tcPr>
                  <w:tcW w:w="293" w:type="pct"/>
                  <w:vMerge w:val="continue"/>
                  <w:vAlign w:val="center"/>
                </w:tcPr>
                <w:p w14:paraId="245C66B4">
                  <w:pPr>
                    <w:jc w:val="center"/>
                    <w:rPr>
                      <w:spacing w:val="6"/>
                      <w:sz w:val="18"/>
                      <w:szCs w:val="18"/>
                    </w:rPr>
                  </w:pPr>
                </w:p>
              </w:tc>
              <w:tc>
                <w:tcPr>
                  <w:tcW w:w="235" w:type="pct"/>
                  <w:vMerge w:val="continue"/>
                  <w:vAlign w:val="center"/>
                </w:tcPr>
                <w:p w14:paraId="1C88939C">
                  <w:pPr>
                    <w:jc w:val="center"/>
                    <w:rPr>
                      <w:spacing w:val="6"/>
                      <w:sz w:val="18"/>
                      <w:szCs w:val="18"/>
                    </w:rPr>
                  </w:pPr>
                </w:p>
              </w:tc>
              <w:tc>
                <w:tcPr>
                  <w:tcW w:w="293" w:type="pct"/>
                  <w:vAlign w:val="center"/>
                </w:tcPr>
                <w:p w14:paraId="7B88361D">
                  <w:pPr>
                    <w:jc w:val="center"/>
                    <w:rPr>
                      <w:spacing w:val="6"/>
                      <w:sz w:val="18"/>
                      <w:szCs w:val="18"/>
                    </w:rPr>
                  </w:pPr>
                  <w:r>
                    <w:rPr>
                      <w:spacing w:val="6"/>
                      <w:sz w:val="18"/>
                      <w:szCs w:val="18"/>
                    </w:rPr>
                    <w:t>南</w:t>
                  </w:r>
                </w:p>
              </w:tc>
              <w:tc>
                <w:tcPr>
                  <w:tcW w:w="293" w:type="pct"/>
                  <w:vAlign w:val="center"/>
                </w:tcPr>
                <w:p w14:paraId="59C12C7E">
                  <w:pPr>
                    <w:jc w:val="center"/>
                    <w:rPr>
                      <w:spacing w:val="6"/>
                      <w:sz w:val="18"/>
                      <w:szCs w:val="18"/>
                    </w:rPr>
                  </w:pPr>
                  <w:r>
                    <w:rPr>
                      <w:rFonts w:hint="eastAsia"/>
                      <w:spacing w:val="6"/>
                      <w:sz w:val="18"/>
                      <w:szCs w:val="18"/>
                    </w:rPr>
                    <w:t>38</w:t>
                  </w:r>
                </w:p>
              </w:tc>
              <w:tc>
                <w:tcPr>
                  <w:tcW w:w="410" w:type="pct"/>
                  <w:vAlign w:val="center"/>
                </w:tcPr>
                <w:p w14:paraId="76E1F318">
                  <w:pPr>
                    <w:jc w:val="center"/>
                    <w:rPr>
                      <w:spacing w:val="6"/>
                      <w:sz w:val="18"/>
                      <w:szCs w:val="18"/>
                    </w:rPr>
                  </w:pPr>
                  <w:r>
                    <w:rPr>
                      <w:rFonts w:hint="eastAsia"/>
                      <w:spacing w:val="6"/>
                      <w:sz w:val="18"/>
                      <w:szCs w:val="18"/>
                    </w:rPr>
                    <w:t>38.4</w:t>
                  </w:r>
                </w:p>
              </w:tc>
              <w:tc>
                <w:tcPr>
                  <w:tcW w:w="293" w:type="pct"/>
                  <w:vMerge w:val="continue"/>
                  <w:vAlign w:val="center"/>
                </w:tcPr>
                <w:p w14:paraId="3FCCD42C">
                  <w:pPr>
                    <w:jc w:val="center"/>
                    <w:rPr>
                      <w:spacing w:val="6"/>
                      <w:sz w:val="18"/>
                      <w:szCs w:val="18"/>
                    </w:rPr>
                  </w:pPr>
                </w:p>
              </w:tc>
              <w:tc>
                <w:tcPr>
                  <w:tcW w:w="353" w:type="pct"/>
                  <w:vMerge w:val="continue"/>
                  <w:vAlign w:val="center"/>
                </w:tcPr>
                <w:p w14:paraId="10FC988B">
                  <w:pPr>
                    <w:jc w:val="center"/>
                    <w:rPr>
                      <w:spacing w:val="6"/>
                      <w:sz w:val="18"/>
                      <w:szCs w:val="18"/>
                    </w:rPr>
                  </w:pPr>
                </w:p>
              </w:tc>
              <w:tc>
                <w:tcPr>
                  <w:tcW w:w="365" w:type="pct"/>
                  <w:vAlign w:val="center"/>
                </w:tcPr>
                <w:p w14:paraId="743F6FAE">
                  <w:pPr>
                    <w:jc w:val="center"/>
                    <w:rPr>
                      <w:spacing w:val="6"/>
                      <w:sz w:val="18"/>
                      <w:szCs w:val="18"/>
                    </w:rPr>
                  </w:pPr>
                  <w:r>
                    <w:rPr>
                      <w:rFonts w:hint="eastAsia"/>
                      <w:spacing w:val="6"/>
                      <w:sz w:val="18"/>
                      <w:szCs w:val="18"/>
                    </w:rPr>
                    <w:t>23.4</w:t>
                  </w:r>
                </w:p>
              </w:tc>
              <w:tc>
                <w:tcPr>
                  <w:tcW w:w="297" w:type="pct"/>
                  <w:vAlign w:val="center"/>
                </w:tcPr>
                <w:p w14:paraId="6AC940FE">
                  <w:pPr>
                    <w:jc w:val="center"/>
                    <w:rPr>
                      <w:sz w:val="18"/>
                      <w:szCs w:val="18"/>
                    </w:rPr>
                  </w:pPr>
                  <w:r>
                    <w:rPr>
                      <w:rFonts w:hint="eastAsia"/>
                      <w:sz w:val="18"/>
                      <w:szCs w:val="18"/>
                    </w:rPr>
                    <w:t>1</w:t>
                  </w:r>
                </w:p>
              </w:tc>
            </w:tr>
            <w:tr w14:paraId="335326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26615CD3">
                  <w:pPr>
                    <w:jc w:val="center"/>
                    <w:rPr>
                      <w:spacing w:val="6"/>
                      <w:sz w:val="18"/>
                      <w:szCs w:val="18"/>
                    </w:rPr>
                  </w:pPr>
                </w:p>
              </w:tc>
              <w:tc>
                <w:tcPr>
                  <w:tcW w:w="284" w:type="pct"/>
                  <w:vMerge w:val="continue"/>
                  <w:vAlign w:val="center"/>
                </w:tcPr>
                <w:p w14:paraId="1BCFC808">
                  <w:pPr>
                    <w:jc w:val="center"/>
                    <w:rPr>
                      <w:spacing w:val="6"/>
                      <w:sz w:val="18"/>
                      <w:szCs w:val="18"/>
                    </w:rPr>
                  </w:pPr>
                </w:p>
              </w:tc>
              <w:tc>
                <w:tcPr>
                  <w:tcW w:w="361" w:type="pct"/>
                  <w:vMerge w:val="continue"/>
                  <w:vAlign w:val="center"/>
                </w:tcPr>
                <w:p w14:paraId="31B69E71">
                  <w:pPr>
                    <w:jc w:val="center"/>
                    <w:rPr>
                      <w:spacing w:val="6"/>
                      <w:sz w:val="18"/>
                      <w:szCs w:val="18"/>
                    </w:rPr>
                  </w:pPr>
                </w:p>
              </w:tc>
              <w:tc>
                <w:tcPr>
                  <w:tcW w:w="175" w:type="pct"/>
                  <w:vMerge w:val="continue"/>
                  <w:vAlign w:val="center"/>
                </w:tcPr>
                <w:p w14:paraId="61294A61">
                  <w:pPr>
                    <w:jc w:val="center"/>
                    <w:rPr>
                      <w:spacing w:val="6"/>
                      <w:sz w:val="18"/>
                      <w:szCs w:val="18"/>
                    </w:rPr>
                  </w:pPr>
                </w:p>
              </w:tc>
              <w:tc>
                <w:tcPr>
                  <w:tcW w:w="586" w:type="pct"/>
                  <w:vMerge w:val="continue"/>
                  <w:vAlign w:val="center"/>
                </w:tcPr>
                <w:p w14:paraId="30426463">
                  <w:pPr>
                    <w:jc w:val="center"/>
                    <w:rPr>
                      <w:spacing w:val="6"/>
                      <w:sz w:val="18"/>
                      <w:szCs w:val="18"/>
                    </w:rPr>
                  </w:pPr>
                </w:p>
              </w:tc>
              <w:tc>
                <w:tcPr>
                  <w:tcW w:w="360" w:type="pct"/>
                  <w:vMerge w:val="continue"/>
                  <w:vAlign w:val="center"/>
                </w:tcPr>
                <w:p w14:paraId="77171BDE">
                  <w:pPr>
                    <w:jc w:val="center"/>
                    <w:rPr>
                      <w:spacing w:val="6"/>
                      <w:sz w:val="18"/>
                      <w:szCs w:val="18"/>
                    </w:rPr>
                  </w:pPr>
                </w:p>
              </w:tc>
              <w:tc>
                <w:tcPr>
                  <w:tcW w:w="226" w:type="pct"/>
                  <w:vMerge w:val="continue"/>
                  <w:vAlign w:val="center"/>
                </w:tcPr>
                <w:p w14:paraId="10C38251">
                  <w:pPr>
                    <w:jc w:val="center"/>
                    <w:rPr>
                      <w:spacing w:val="6"/>
                      <w:sz w:val="18"/>
                      <w:szCs w:val="18"/>
                    </w:rPr>
                  </w:pPr>
                </w:p>
              </w:tc>
              <w:tc>
                <w:tcPr>
                  <w:tcW w:w="293" w:type="pct"/>
                  <w:vMerge w:val="continue"/>
                  <w:vAlign w:val="center"/>
                </w:tcPr>
                <w:p w14:paraId="5CD113E2">
                  <w:pPr>
                    <w:jc w:val="center"/>
                    <w:rPr>
                      <w:spacing w:val="6"/>
                      <w:sz w:val="18"/>
                      <w:szCs w:val="18"/>
                    </w:rPr>
                  </w:pPr>
                </w:p>
              </w:tc>
              <w:tc>
                <w:tcPr>
                  <w:tcW w:w="235" w:type="pct"/>
                  <w:vMerge w:val="continue"/>
                  <w:vAlign w:val="center"/>
                </w:tcPr>
                <w:p w14:paraId="640482C5">
                  <w:pPr>
                    <w:jc w:val="center"/>
                    <w:rPr>
                      <w:spacing w:val="6"/>
                      <w:sz w:val="18"/>
                      <w:szCs w:val="18"/>
                    </w:rPr>
                  </w:pPr>
                </w:p>
              </w:tc>
              <w:tc>
                <w:tcPr>
                  <w:tcW w:w="293" w:type="pct"/>
                  <w:vAlign w:val="center"/>
                </w:tcPr>
                <w:p w14:paraId="16AC6F4D">
                  <w:pPr>
                    <w:jc w:val="center"/>
                    <w:rPr>
                      <w:spacing w:val="6"/>
                      <w:sz w:val="18"/>
                      <w:szCs w:val="18"/>
                    </w:rPr>
                  </w:pPr>
                  <w:r>
                    <w:rPr>
                      <w:spacing w:val="6"/>
                      <w:sz w:val="18"/>
                      <w:szCs w:val="18"/>
                    </w:rPr>
                    <w:t>西</w:t>
                  </w:r>
                </w:p>
              </w:tc>
              <w:tc>
                <w:tcPr>
                  <w:tcW w:w="293" w:type="pct"/>
                  <w:vAlign w:val="center"/>
                </w:tcPr>
                <w:p w14:paraId="559326B9">
                  <w:pPr>
                    <w:jc w:val="center"/>
                    <w:rPr>
                      <w:spacing w:val="6"/>
                      <w:sz w:val="18"/>
                      <w:szCs w:val="18"/>
                    </w:rPr>
                  </w:pPr>
                  <w:r>
                    <w:rPr>
                      <w:rFonts w:hint="eastAsia"/>
                      <w:spacing w:val="6"/>
                      <w:sz w:val="18"/>
                      <w:szCs w:val="18"/>
                    </w:rPr>
                    <w:t>34</w:t>
                  </w:r>
                </w:p>
              </w:tc>
              <w:tc>
                <w:tcPr>
                  <w:tcW w:w="410" w:type="pct"/>
                  <w:vAlign w:val="center"/>
                </w:tcPr>
                <w:p w14:paraId="317C6141">
                  <w:pPr>
                    <w:jc w:val="center"/>
                    <w:rPr>
                      <w:spacing w:val="6"/>
                      <w:sz w:val="18"/>
                      <w:szCs w:val="18"/>
                    </w:rPr>
                  </w:pPr>
                  <w:r>
                    <w:rPr>
                      <w:rFonts w:hint="eastAsia"/>
                      <w:spacing w:val="6"/>
                      <w:sz w:val="18"/>
                      <w:szCs w:val="18"/>
                    </w:rPr>
                    <w:t>39.4</w:t>
                  </w:r>
                </w:p>
              </w:tc>
              <w:tc>
                <w:tcPr>
                  <w:tcW w:w="293" w:type="pct"/>
                  <w:vMerge w:val="continue"/>
                  <w:vAlign w:val="center"/>
                </w:tcPr>
                <w:p w14:paraId="634DDEB1">
                  <w:pPr>
                    <w:jc w:val="center"/>
                    <w:rPr>
                      <w:spacing w:val="6"/>
                      <w:sz w:val="18"/>
                      <w:szCs w:val="18"/>
                    </w:rPr>
                  </w:pPr>
                </w:p>
              </w:tc>
              <w:tc>
                <w:tcPr>
                  <w:tcW w:w="353" w:type="pct"/>
                  <w:vMerge w:val="continue"/>
                  <w:vAlign w:val="center"/>
                </w:tcPr>
                <w:p w14:paraId="0B86816E">
                  <w:pPr>
                    <w:jc w:val="center"/>
                    <w:rPr>
                      <w:spacing w:val="6"/>
                      <w:sz w:val="18"/>
                      <w:szCs w:val="18"/>
                    </w:rPr>
                  </w:pPr>
                </w:p>
              </w:tc>
              <w:tc>
                <w:tcPr>
                  <w:tcW w:w="365" w:type="pct"/>
                  <w:vAlign w:val="center"/>
                </w:tcPr>
                <w:p w14:paraId="62145033">
                  <w:pPr>
                    <w:jc w:val="center"/>
                    <w:rPr>
                      <w:spacing w:val="6"/>
                      <w:sz w:val="18"/>
                      <w:szCs w:val="18"/>
                    </w:rPr>
                  </w:pPr>
                  <w:r>
                    <w:rPr>
                      <w:rFonts w:hint="eastAsia"/>
                      <w:spacing w:val="6"/>
                      <w:sz w:val="18"/>
                      <w:szCs w:val="18"/>
                    </w:rPr>
                    <w:t>24.4</w:t>
                  </w:r>
                </w:p>
              </w:tc>
              <w:tc>
                <w:tcPr>
                  <w:tcW w:w="297" w:type="pct"/>
                  <w:vAlign w:val="center"/>
                </w:tcPr>
                <w:p w14:paraId="24916B8B">
                  <w:pPr>
                    <w:jc w:val="center"/>
                    <w:rPr>
                      <w:sz w:val="18"/>
                      <w:szCs w:val="18"/>
                    </w:rPr>
                  </w:pPr>
                  <w:r>
                    <w:rPr>
                      <w:rFonts w:hint="eastAsia"/>
                      <w:sz w:val="18"/>
                      <w:szCs w:val="18"/>
                    </w:rPr>
                    <w:t>1</w:t>
                  </w:r>
                </w:p>
              </w:tc>
            </w:tr>
            <w:tr w14:paraId="5F0809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42E326E3">
                  <w:pPr>
                    <w:jc w:val="center"/>
                    <w:rPr>
                      <w:spacing w:val="6"/>
                      <w:sz w:val="18"/>
                      <w:szCs w:val="18"/>
                    </w:rPr>
                  </w:pPr>
                </w:p>
              </w:tc>
              <w:tc>
                <w:tcPr>
                  <w:tcW w:w="284" w:type="pct"/>
                  <w:vMerge w:val="continue"/>
                  <w:vAlign w:val="center"/>
                </w:tcPr>
                <w:p w14:paraId="355494DE">
                  <w:pPr>
                    <w:jc w:val="center"/>
                    <w:rPr>
                      <w:spacing w:val="6"/>
                      <w:sz w:val="18"/>
                      <w:szCs w:val="18"/>
                    </w:rPr>
                  </w:pPr>
                </w:p>
              </w:tc>
              <w:tc>
                <w:tcPr>
                  <w:tcW w:w="361" w:type="pct"/>
                  <w:vMerge w:val="continue"/>
                  <w:vAlign w:val="center"/>
                </w:tcPr>
                <w:p w14:paraId="1E646BC7">
                  <w:pPr>
                    <w:jc w:val="center"/>
                    <w:rPr>
                      <w:spacing w:val="6"/>
                      <w:sz w:val="18"/>
                      <w:szCs w:val="18"/>
                    </w:rPr>
                  </w:pPr>
                </w:p>
              </w:tc>
              <w:tc>
                <w:tcPr>
                  <w:tcW w:w="175" w:type="pct"/>
                  <w:vMerge w:val="continue"/>
                  <w:vAlign w:val="center"/>
                </w:tcPr>
                <w:p w14:paraId="188B0D1C">
                  <w:pPr>
                    <w:jc w:val="center"/>
                    <w:rPr>
                      <w:spacing w:val="6"/>
                      <w:sz w:val="18"/>
                      <w:szCs w:val="18"/>
                    </w:rPr>
                  </w:pPr>
                </w:p>
              </w:tc>
              <w:tc>
                <w:tcPr>
                  <w:tcW w:w="586" w:type="pct"/>
                  <w:vMerge w:val="continue"/>
                  <w:vAlign w:val="center"/>
                </w:tcPr>
                <w:p w14:paraId="6DD66221">
                  <w:pPr>
                    <w:jc w:val="center"/>
                    <w:rPr>
                      <w:spacing w:val="6"/>
                      <w:sz w:val="18"/>
                      <w:szCs w:val="18"/>
                    </w:rPr>
                  </w:pPr>
                </w:p>
              </w:tc>
              <w:tc>
                <w:tcPr>
                  <w:tcW w:w="360" w:type="pct"/>
                  <w:vMerge w:val="continue"/>
                  <w:vAlign w:val="center"/>
                </w:tcPr>
                <w:p w14:paraId="28DFBD1C">
                  <w:pPr>
                    <w:jc w:val="center"/>
                    <w:rPr>
                      <w:spacing w:val="6"/>
                      <w:sz w:val="18"/>
                      <w:szCs w:val="18"/>
                    </w:rPr>
                  </w:pPr>
                </w:p>
              </w:tc>
              <w:tc>
                <w:tcPr>
                  <w:tcW w:w="226" w:type="pct"/>
                  <w:vMerge w:val="continue"/>
                  <w:vAlign w:val="center"/>
                </w:tcPr>
                <w:p w14:paraId="0006C90F">
                  <w:pPr>
                    <w:jc w:val="center"/>
                    <w:rPr>
                      <w:spacing w:val="6"/>
                      <w:sz w:val="18"/>
                      <w:szCs w:val="18"/>
                    </w:rPr>
                  </w:pPr>
                </w:p>
              </w:tc>
              <w:tc>
                <w:tcPr>
                  <w:tcW w:w="293" w:type="pct"/>
                  <w:vMerge w:val="continue"/>
                  <w:vAlign w:val="center"/>
                </w:tcPr>
                <w:p w14:paraId="7164546A">
                  <w:pPr>
                    <w:jc w:val="center"/>
                    <w:rPr>
                      <w:spacing w:val="6"/>
                      <w:sz w:val="18"/>
                      <w:szCs w:val="18"/>
                    </w:rPr>
                  </w:pPr>
                </w:p>
              </w:tc>
              <w:tc>
                <w:tcPr>
                  <w:tcW w:w="235" w:type="pct"/>
                  <w:vMerge w:val="continue"/>
                  <w:vAlign w:val="center"/>
                </w:tcPr>
                <w:p w14:paraId="58774A4B">
                  <w:pPr>
                    <w:jc w:val="center"/>
                    <w:rPr>
                      <w:spacing w:val="6"/>
                      <w:sz w:val="18"/>
                      <w:szCs w:val="18"/>
                    </w:rPr>
                  </w:pPr>
                </w:p>
              </w:tc>
              <w:tc>
                <w:tcPr>
                  <w:tcW w:w="293" w:type="pct"/>
                  <w:vAlign w:val="center"/>
                </w:tcPr>
                <w:p w14:paraId="27F5B6D4">
                  <w:pPr>
                    <w:jc w:val="center"/>
                    <w:rPr>
                      <w:spacing w:val="6"/>
                      <w:sz w:val="18"/>
                      <w:szCs w:val="18"/>
                    </w:rPr>
                  </w:pPr>
                  <w:r>
                    <w:rPr>
                      <w:spacing w:val="6"/>
                      <w:sz w:val="18"/>
                      <w:szCs w:val="18"/>
                    </w:rPr>
                    <w:t>北</w:t>
                  </w:r>
                </w:p>
              </w:tc>
              <w:tc>
                <w:tcPr>
                  <w:tcW w:w="293" w:type="pct"/>
                  <w:vAlign w:val="center"/>
                </w:tcPr>
                <w:p w14:paraId="71F0EF49">
                  <w:pPr>
                    <w:jc w:val="center"/>
                    <w:rPr>
                      <w:spacing w:val="6"/>
                      <w:sz w:val="18"/>
                      <w:szCs w:val="18"/>
                    </w:rPr>
                  </w:pPr>
                  <w:r>
                    <w:rPr>
                      <w:rFonts w:hint="eastAsia"/>
                      <w:spacing w:val="6"/>
                      <w:sz w:val="18"/>
                      <w:szCs w:val="18"/>
                    </w:rPr>
                    <w:t>75</w:t>
                  </w:r>
                </w:p>
              </w:tc>
              <w:tc>
                <w:tcPr>
                  <w:tcW w:w="410" w:type="pct"/>
                  <w:vAlign w:val="center"/>
                </w:tcPr>
                <w:p w14:paraId="5EC72AB6">
                  <w:pPr>
                    <w:jc w:val="center"/>
                    <w:rPr>
                      <w:spacing w:val="6"/>
                      <w:sz w:val="18"/>
                      <w:szCs w:val="18"/>
                    </w:rPr>
                  </w:pPr>
                  <w:r>
                    <w:rPr>
                      <w:rFonts w:hint="eastAsia"/>
                      <w:spacing w:val="6"/>
                      <w:sz w:val="18"/>
                      <w:szCs w:val="18"/>
                    </w:rPr>
                    <w:t>32.5</w:t>
                  </w:r>
                </w:p>
              </w:tc>
              <w:tc>
                <w:tcPr>
                  <w:tcW w:w="293" w:type="pct"/>
                  <w:vMerge w:val="continue"/>
                  <w:vAlign w:val="center"/>
                </w:tcPr>
                <w:p w14:paraId="3276E4AB">
                  <w:pPr>
                    <w:jc w:val="center"/>
                    <w:rPr>
                      <w:spacing w:val="6"/>
                      <w:sz w:val="18"/>
                      <w:szCs w:val="18"/>
                    </w:rPr>
                  </w:pPr>
                </w:p>
              </w:tc>
              <w:tc>
                <w:tcPr>
                  <w:tcW w:w="353" w:type="pct"/>
                  <w:vMerge w:val="continue"/>
                  <w:vAlign w:val="center"/>
                </w:tcPr>
                <w:p w14:paraId="1642D792">
                  <w:pPr>
                    <w:jc w:val="center"/>
                    <w:rPr>
                      <w:spacing w:val="6"/>
                      <w:sz w:val="18"/>
                      <w:szCs w:val="18"/>
                    </w:rPr>
                  </w:pPr>
                </w:p>
              </w:tc>
              <w:tc>
                <w:tcPr>
                  <w:tcW w:w="365" w:type="pct"/>
                  <w:vAlign w:val="center"/>
                </w:tcPr>
                <w:p w14:paraId="6C7E8E67">
                  <w:pPr>
                    <w:jc w:val="center"/>
                    <w:rPr>
                      <w:spacing w:val="6"/>
                      <w:sz w:val="18"/>
                      <w:szCs w:val="18"/>
                    </w:rPr>
                  </w:pPr>
                  <w:r>
                    <w:rPr>
                      <w:rFonts w:hint="eastAsia"/>
                      <w:spacing w:val="6"/>
                      <w:sz w:val="18"/>
                      <w:szCs w:val="18"/>
                    </w:rPr>
                    <w:t>17.5</w:t>
                  </w:r>
                </w:p>
              </w:tc>
              <w:tc>
                <w:tcPr>
                  <w:tcW w:w="297" w:type="pct"/>
                  <w:vAlign w:val="center"/>
                </w:tcPr>
                <w:p w14:paraId="2DA706B7">
                  <w:pPr>
                    <w:jc w:val="center"/>
                    <w:rPr>
                      <w:sz w:val="18"/>
                      <w:szCs w:val="18"/>
                    </w:rPr>
                  </w:pPr>
                  <w:r>
                    <w:rPr>
                      <w:rFonts w:hint="eastAsia"/>
                      <w:sz w:val="18"/>
                      <w:szCs w:val="18"/>
                    </w:rPr>
                    <w:t>1</w:t>
                  </w:r>
                </w:p>
              </w:tc>
            </w:tr>
            <w:tr w14:paraId="70D495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restart"/>
                  <w:vAlign w:val="center"/>
                </w:tcPr>
                <w:p w14:paraId="21FAE59C">
                  <w:pPr>
                    <w:jc w:val="center"/>
                    <w:rPr>
                      <w:spacing w:val="6"/>
                      <w:sz w:val="18"/>
                      <w:szCs w:val="18"/>
                    </w:rPr>
                  </w:pPr>
                  <w:r>
                    <w:rPr>
                      <w:rFonts w:hint="eastAsia"/>
                      <w:spacing w:val="6"/>
                      <w:sz w:val="18"/>
                      <w:szCs w:val="18"/>
                    </w:rPr>
                    <w:t>7</w:t>
                  </w:r>
                </w:p>
              </w:tc>
              <w:tc>
                <w:tcPr>
                  <w:tcW w:w="284" w:type="pct"/>
                  <w:vMerge w:val="continue"/>
                  <w:vAlign w:val="center"/>
                </w:tcPr>
                <w:p w14:paraId="211E17D2">
                  <w:pPr>
                    <w:jc w:val="center"/>
                    <w:rPr>
                      <w:spacing w:val="6"/>
                      <w:sz w:val="18"/>
                      <w:szCs w:val="18"/>
                    </w:rPr>
                  </w:pPr>
                </w:p>
              </w:tc>
              <w:tc>
                <w:tcPr>
                  <w:tcW w:w="361" w:type="pct"/>
                  <w:vMerge w:val="restart"/>
                  <w:vAlign w:val="center"/>
                </w:tcPr>
                <w:p w14:paraId="0898C8D7">
                  <w:pPr>
                    <w:jc w:val="center"/>
                    <w:rPr>
                      <w:spacing w:val="6"/>
                      <w:sz w:val="18"/>
                      <w:szCs w:val="18"/>
                    </w:rPr>
                  </w:pPr>
                  <w:r>
                    <w:rPr>
                      <w:spacing w:val="6"/>
                      <w:sz w:val="18"/>
                      <w:szCs w:val="18"/>
                    </w:rPr>
                    <w:t>中空</w:t>
                  </w:r>
                  <w:r>
                    <w:rPr>
                      <w:rFonts w:hint="eastAsia"/>
                      <w:spacing w:val="6"/>
                      <w:sz w:val="18"/>
                      <w:szCs w:val="18"/>
                    </w:rPr>
                    <w:t>玻璃</w:t>
                  </w:r>
                  <w:r>
                    <w:rPr>
                      <w:spacing w:val="6"/>
                      <w:sz w:val="18"/>
                      <w:szCs w:val="18"/>
                    </w:rPr>
                    <w:t>机</w:t>
                  </w:r>
                  <w:r>
                    <w:rPr>
                      <w:rFonts w:hint="eastAsia"/>
                      <w:spacing w:val="6"/>
                      <w:sz w:val="18"/>
                      <w:szCs w:val="18"/>
                    </w:rPr>
                    <w:t>2</w:t>
                  </w:r>
                </w:p>
              </w:tc>
              <w:tc>
                <w:tcPr>
                  <w:tcW w:w="175" w:type="pct"/>
                  <w:vMerge w:val="restart"/>
                  <w:vAlign w:val="center"/>
                </w:tcPr>
                <w:p w14:paraId="580A9D75">
                  <w:pPr>
                    <w:jc w:val="center"/>
                    <w:rPr>
                      <w:spacing w:val="6"/>
                      <w:sz w:val="18"/>
                      <w:szCs w:val="18"/>
                    </w:rPr>
                  </w:pPr>
                  <w:r>
                    <w:rPr>
                      <w:rFonts w:hint="eastAsia"/>
                      <w:spacing w:val="6"/>
                      <w:sz w:val="18"/>
                      <w:szCs w:val="18"/>
                    </w:rPr>
                    <w:t>/</w:t>
                  </w:r>
                </w:p>
              </w:tc>
              <w:tc>
                <w:tcPr>
                  <w:tcW w:w="586" w:type="pct"/>
                  <w:vMerge w:val="restart"/>
                  <w:vAlign w:val="center"/>
                </w:tcPr>
                <w:p w14:paraId="23F80E33">
                  <w:pPr>
                    <w:jc w:val="center"/>
                    <w:rPr>
                      <w:spacing w:val="6"/>
                      <w:sz w:val="18"/>
                      <w:szCs w:val="18"/>
                    </w:rPr>
                  </w:pPr>
                  <w:r>
                    <w:rPr>
                      <w:rFonts w:hint="eastAsia"/>
                      <w:spacing w:val="6"/>
                      <w:sz w:val="18"/>
                      <w:szCs w:val="18"/>
                    </w:rPr>
                    <w:t>70/1</w:t>
                  </w:r>
                </w:p>
              </w:tc>
              <w:tc>
                <w:tcPr>
                  <w:tcW w:w="360" w:type="pct"/>
                  <w:vMerge w:val="continue"/>
                  <w:vAlign w:val="center"/>
                </w:tcPr>
                <w:p w14:paraId="6C961080">
                  <w:pPr>
                    <w:jc w:val="center"/>
                    <w:rPr>
                      <w:spacing w:val="6"/>
                      <w:sz w:val="18"/>
                      <w:szCs w:val="18"/>
                    </w:rPr>
                  </w:pPr>
                </w:p>
              </w:tc>
              <w:tc>
                <w:tcPr>
                  <w:tcW w:w="226" w:type="pct"/>
                  <w:vMerge w:val="restart"/>
                  <w:vAlign w:val="center"/>
                </w:tcPr>
                <w:p w14:paraId="67EDAF41">
                  <w:pPr>
                    <w:jc w:val="center"/>
                    <w:rPr>
                      <w:spacing w:val="6"/>
                      <w:sz w:val="18"/>
                      <w:szCs w:val="18"/>
                    </w:rPr>
                  </w:pPr>
                  <w:r>
                    <w:rPr>
                      <w:rFonts w:hint="eastAsia"/>
                      <w:spacing w:val="6"/>
                      <w:sz w:val="18"/>
                      <w:szCs w:val="18"/>
                    </w:rPr>
                    <w:t>3</w:t>
                  </w:r>
                </w:p>
              </w:tc>
              <w:tc>
                <w:tcPr>
                  <w:tcW w:w="293" w:type="pct"/>
                  <w:vMerge w:val="restart"/>
                  <w:vAlign w:val="center"/>
                </w:tcPr>
                <w:p w14:paraId="09BED721">
                  <w:pPr>
                    <w:jc w:val="center"/>
                    <w:rPr>
                      <w:spacing w:val="6"/>
                      <w:sz w:val="18"/>
                      <w:szCs w:val="18"/>
                    </w:rPr>
                  </w:pPr>
                  <w:r>
                    <w:rPr>
                      <w:rFonts w:hint="eastAsia"/>
                      <w:spacing w:val="6"/>
                      <w:sz w:val="18"/>
                      <w:szCs w:val="18"/>
                    </w:rPr>
                    <w:t>-17</w:t>
                  </w:r>
                </w:p>
              </w:tc>
              <w:tc>
                <w:tcPr>
                  <w:tcW w:w="235" w:type="pct"/>
                  <w:vMerge w:val="restart"/>
                  <w:vAlign w:val="center"/>
                </w:tcPr>
                <w:p w14:paraId="05F41970">
                  <w:pPr>
                    <w:jc w:val="center"/>
                    <w:rPr>
                      <w:spacing w:val="6"/>
                      <w:sz w:val="18"/>
                      <w:szCs w:val="18"/>
                    </w:rPr>
                  </w:pPr>
                  <w:r>
                    <w:rPr>
                      <w:rFonts w:hint="eastAsia"/>
                      <w:spacing w:val="6"/>
                      <w:sz w:val="18"/>
                      <w:szCs w:val="18"/>
                    </w:rPr>
                    <w:t>1.2</w:t>
                  </w:r>
                </w:p>
              </w:tc>
              <w:tc>
                <w:tcPr>
                  <w:tcW w:w="293" w:type="pct"/>
                  <w:vAlign w:val="center"/>
                </w:tcPr>
                <w:p w14:paraId="2E3D91F2">
                  <w:pPr>
                    <w:jc w:val="center"/>
                    <w:rPr>
                      <w:spacing w:val="6"/>
                      <w:sz w:val="18"/>
                      <w:szCs w:val="18"/>
                    </w:rPr>
                  </w:pPr>
                  <w:r>
                    <w:rPr>
                      <w:sz w:val="18"/>
                      <w:szCs w:val="18"/>
                    </w:rPr>
                    <w:t>东</w:t>
                  </w:r>
                </w:p>
              </w:tc>
              <w:tc>
                <w:tcPr>
                  <w:tcW w:w="293" w:type="pct"/>
                  <w:vAlign w:val="center"/>
                </w:tcPr>
                <w:p w14:paraId="7AB857FA">
                  <w:pPr>
                    <w:jc w:val="center"/>
                    <w:rPr>
                      <w:spacing w:val="6"/>
                      <w:sz w:val="18"/>
                      <w:szCs w:val="18"/>
                    </w:rPr>
                  </w:pPr>
                  <w:r>
                    <w:rPr>
                      <w:rFonts w:hint="eastAsia"/>
                      <w:spacing w:val="6"/>
                      <w:sz w:val="18"/>
                      <w:szCs w:val="18"/>
                    </w:rPr>
                    <w:t>16</w:t>
                  </w:r>
                </w:p>
              </w:tc>
              <w:tc>
                <w:tcPr>
                  <w:tcW w:w="410" w:type="pct"/>
                  <w:vAlign w:val="center"/>
                </w:tcPr>
                <w:p w14:paraId="1FB1ABF6">
                  <w:pPr>
                    <w:jc w:val="center"/>
                    <w:rPr>
                      <w:spacing w:val="6"/>
                      <w:sz w:val="18"/>
                      <w:szCs w:val="18"/>
                    </w:rPr>
                  </w:pPr>
                  <w:r>
                    <w:rPr>
                      <w:rFonts w:hint="eastAsia"/>
                      <w:spacing w:val="6"/>
                      <w:sz w:val="18"/>
                      <w:szCs w:val="18"/>
                    </w:rPr>
                    <w:t>45.9</w:t>
                  </w:r>
                </w:p>
              </w:tc>
              <w:tc>
                <w:tcPr>
                  <w:tcW w:w="293" w:type="pct"/>
                  <w:vMerge w:val="restart"/>
                  <w:vAlign w:val="center"/>
                </w:tcPr>
                <w:p w14:paraId="4F2C0D40">
                  <w:pPr>
                    <w:jc w:val="center"/>
                    <w:rPr>
                      <w:spacing w:val="6"/>
                      <w:sz w:val="18"/>
                      <w:szCs w:val="18"/>
                    </w:rPr>
                  </w:pPr>
                  <w:r>
                    <w:rPr>
                      <w:rFonts w:hint="eastAsia"/>
                      <w:spacing w:val="6"/>
                      <w:sz w:val="18"/>
                      <w:szCs w:val="18"/>
                    </w:rPr>
                    <w:t>8h</w:t>
                  </w:r>
                </w:p>
              </w:tc>
              <w:tc>
                <w:tcPr>
                  <w:tcW w:w="353" w:type="pct"/>
                  <w:vMerge w:val="restart"/>
                  <w:vAlign w:val="center"/>
                </w:tcPr>
                <w:p w14:paraId="32E0E298">
                  <w:pPr>
                    <w:jc w:val="center"/>
                    <w:rPr>
                      <w:spacing w:val="6"/>
                      <w:sz w:val="18"/>
                      <w:szCs w:val="18"/>
                    </w:rPr>
                  </w:pPr>
                  <w:r>
                    <w:rPr>
                      <w:rFonts w:hint="eastAsia"/>
                      <w:spacing w:val="6"/>
                      <w:sz w:val="18"/>
                      <w:szCs w:val="18"/>
                    </w:rPr>
                    <w:t>15</w:t>
                  </w:r>
                </w:p>
              </w:tc>
              <w:tc>
                <w:tcPr>
                  <w:tcW w:w="365" w:type="pct"/>
                  <w:vAlign w:val="center"/>
                </w:tcPr>
                <w:p w14:paraId="216242C8">
                  <w:pPr>
                    <w:jc w:val="center"/>
                    <w:rPr>
                      <w:spacing w:val="6"/>
                      <w:sz w:val="18"/>
                      <w:szCs w:val="18"/>
                    </w:rPr>
                  </w:pPr>
                  <w:r>
                    <w:rPr>
                      <w:rFonts w:hint="eastAsia"/>
                      <w:spacing w:val="6"/>
                      <w:sz w:val="18"/>
                      <w:szCs w:val="18"/>
                    </w:rPr>
                    <w:t>30.9</w:t>
                  </w:r>
                </w:p>
              </w:tc>
              <w:tc>
                <w:tcPr>
                  <w:tcW w:w="297" w:type="pct"/>
                  <w:vAlign w:val="center"/>
                </w:tcPr>
                <w:p w14:paraId="16B2D51B">
                  <w:pPr>
                    <w:jc w:val="center"/>
                    <w:rPr>
                      <w:sz w:val="18"/>
                      <w:szCs w:val="18"/>
                    </w:rPr>
                  </w:pPr>
                  <w:r>
                    <w:rPr>
                      <w:rFonts w:hint="eastAsia"/>
                      <w:sz w:val="18"/>
                      <w:szCs w:val="18"/>
                    </w:rPr>
                    <w:t>1</w:t>
                  </w:r>
                </w:p>
              </w:tc>
            </w:tr>
            <w:tr w14:paraId="11D156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509FC893">
                  <w:pPr>
                    <w:jc w:val="center"/>
                    <w:rPr>
                      <w:spacing w:val="6"/>
                      <w:sz w:val="18"/>
                      <w:szCs w:val="18"/>
                    </w:rPr>
                  </w:pPr>
                </w:p>
              </w:tc>
              <w:tc>
                <w:tcPr>
                  <w:tcW w:w="284" w:type="pct"/>
                  <w:vMerge w:val="continue"/>
                  <w:vAlign w:val="center"/>
                </w:tcPr>
                <w:p w14:paraId="67FB866B">
                  <w:pPr>
                    <w:jc w:val="center"/>
                    <w:rPr>
                      <w:spacing w:val="6"/>
                      <w:sz w:val="18"/>
                      <w:szCs w:val="18"/>
                    </w:rPr>
                  </w:pPr>
                </w:p>
              </w:tc>
              <w:tc>
                <w:tcPr>
                  <w:tcW w:w="361" w:type="pct"/>
                  <w:vMerge w:val="continue"/>
                  <w:vAlign w:val="center"/>
                </w:tcPr>
                <w:p w14:paraId="5B6BBBA8">
                  <w:pPr>
                    <w:jc w:val="center"/>
                    <w:rPr>
                      <w:spacing w:val="6"/>
                      <w:sz w:val="18"/>
                      <w:szCs w:val="18"/>
                    </w:rPr>
                  </w:pPr>
                </w:p>
              </w:tc>
              <w:tc>
                <w:tcPr>
                  <w:tcW w:w="175" w:type="pct"/>
                  <w:vMerge w:val="continue"/>
                  <w:vAlign w:val="center"/>
                </w:tcPr>
                <w:p w14:paraId="7E2AF162">
                  <w:pPr>
                    <w:jc w:val="center"/>
                    <w:rPr>
                      <w:spacing w:val="6"/>
                      <w:sz w:val="18"/>
                      <w:szCs w:val="18"/>
                    </w:rPr>
                  </w:pPr>
                </w:p>
              </w:tc>
              <w:tc>
                <w:tcPr>
                  <w:tcW w:w="586" w:type="pct"/>
                  <w:vMerge w:val="continue"/>
                  <w:vAlign w:val="center"/>
                </w:tcPr>
                <w:p w14:paraId="36EF48EB">
                  <w:pPr>
                    <w:jc w:val="center"/>
                    <w:rPr>
                      <w:spacing w:val="6"/>
                      <w:sz w:val="18"/>
                      <w:szCs w:val="18"/>
                    </w:rPr>
                  </w:pPr>
                </w:p>
              </w:tc>
              <w:tc>
                <w:tcPr>
                  <w:tcW w:w="360" w:type="pct"/>
                  <w:vMerge w:val="continue"/>
                  <w:vAlign w:val="center"/>
                </w:tcPr>
                <w:p w14:paraId="35E2FD17">
                  <w:pPr>
                    <w:jc w:val="center"/>
                    <w:rPr>
                      <w:spacing w:val="6"/>
                      <w:sz w:val="18"/>
                      <w:szCs w:val="18"/>
                    </w:rPr>
                  </w:pPr>
                </w:p>
              </w:tc>
              <w:tc>
                <w:tcPr>
                  <w:tcW w:w="226" w:type="pct"/>
                  <w:vMerge w:val="continue"/>
                  <w:vAlign w:val="center"/>
                </w:tcPr>
                <w:p w14:paraId="44535CE5">
                  <w:pPr>
                    <w:jc w:val="center"/>
                    <w:rPr>
                      <w:spacing w:val="6"/>
                      <w:sz w:val="18"/>
                      <w:szCs w:val="18"/>
                    </w:rPr>
                  </w:pPr>
                </w:p>
              </w:tc>
              <w:tc>
                <w:tcPr>
                  <w:tcW w:w="293" w:type="pct"/>
                  <w:vMerge w:val="continue"/>
                  <w:vAlign w:val="center"/>
                </w:tcPr>
                <w:p w14:paraId="17942726">
                  <w:pPr>
                    <w:jc w:val="center"/>
                    <w:rPr>
                      <w:spacing w:val="6"/>
                      <w:sz w:val="18"/>
                      <w:szCs w:val="18"/>
                    </w:rPr>
                  </w:pPr>
                </w:p>
              </w:tc>
              <w:tc>
                <w:tcPr>
                  <w:tcW w:w="235" w:type="pct"/>
                  <w:vMerge w:val="continue"/>
                  <w:vAlign w:val="center"/>
                </w:tcPr>
                <w:p w14:paraId="746BBC60">
                  <w:pPr>
                    <w:jc w:val="center"/>
                    <w:rPr>
                      <w:spacing w:val="6"/>
                      <w:sz w:val="18"/>
                      <w:szCs w:val="18"/>
                    </w:rPr>
                  </w:pPr>
                </w:p>
              </w:tc>
              <w:tc>
                <w:tcPr>
                  <w:tcW w:w="293" w:type="pct"/>
                  <w:vAlign w:val="center"/>
                </w:tcPr>
                <w:p w14:paraId="7259B7E3">
                  <w:pPr>
                    <w:jc w:val="center"/>
                    <w:rPr>
                      <w:spacing w:val="6"/>
                      <w:sz w:val="18"/>
                      <w:szCs w:val="18"/>
                    </w:rPr>
                  </w:pPr>
                  <w:r>
                    <w:rPr>
                      <w:spacing w:val="6"/>
                      <w:sz w:val="18"/>
                      <w:szCs w:val="18"/>
                    </w:rPr>
                    <w:t>南</w:t>
                  </w:r>
                </w:p>
              </w:tc>
              <w:tc>
                <w:tcPr>
                  <w:tcW w:w="293" w:type="pct"/>
                  <w:vAlign w:val="center"/>
                </w:tcPr>
                <w:p w14:paraId="1065B1D7">
                  <w:pPr>
                    <w:jc w:val="center"/>
                    <w:rPr>
                      <w:spacing w:val="6"/>
                      <w:sz w:val="18"/>
                      <w:szCs w:val="18"/>
                    </w:rPr>
                  </w:pPr>
                  <w:r>
                    <w:rPr>
                      <w:rFonts w:hint="eastAsia"/>
                      <w:spacing w:val="6"/>
                      <w:sz w:val="18"/>
                      <w:szCs w:val="18"/>
                    </w:rPr>
                    <w:t>38</w:t>
                  </w:r>
                </w:p>
              </w:tc>
              <w:tc>
                <w:tcPr>
                  <w:tcW w:w="410" w:type="pct"/>
                  <w:vAlign w:val="center"/>
                </w:tcPr>
                <w:p w14:paraId="4BF6E04F">
                  <w:pPr>
                    <w:jc w:val="center"/>
                    <w:rPr>
                      <w:spacing w:val="6"/>
                      <w:sz w:val="18"/>
                      <w:szCs w:val="18"/>
                    </w:rPr>
                  </w:pPr>
                  <w:r>
                    <w:rPr>
                      <w:rFonts w:hint="eastAsia"/>
                      <w:spacing w:val="6"/>
                      <w:sz w:val="18"/>
                      <w:szCs w:val="18"/>
                    </w:rPr>
                    <w:t>38.4</w:t>
                  </w:r>
                </w:p>
              </w:tc>
              <w:tc>
                <w:tcPr>
                  <w:tcW w:w="293" w:type="pct"/>
                  <w:vMerge w:val="continue"/>
                  <w:vAlign w:val="center"/>
                </w:tcPr>
                <w:p w14:paraId="3840185F">
                  <w:pPr>
                    <w:jc w:val="center"/>
                    <w:rPr>
                      <w:spacing w:val="6"/>
                      <w:sz w:val="18"/>
                      <w:szCs w:val="18"/>
                    </w:rPr>
                  </w:pPr>
                </w:p>
              </w:tc>
              <w:tc>
                <w:tcPr>
                  <w:tcW w:w="353" w:type="pct"/>
                  <w:vMerge w:val="continue"/>
                  <w:vAlign w:val="center"/>
                </w:tcPr>
                <w:p w14:paraId="782780FD">
                  <w:pPr>
                    <w:jc w:val="center"/>
                    <w:rPr>
                      <w:spacing w:val="6"/>
                      <w:sz w:val="18"/>
                      <w:szCs w:val="18"/>
                    </w:rPr>
                  </w:pPr>
                </w:p>
              </w:tc>
              <w:tc>
                <w:tcPr>
                  <w:tcW w:w="365" w:type="pct"/>
                  <w:vAlign w:val="center"/>
                </w:tcPr>
                <w:p w14:paraId="3F7B00B3">
                  <w:pPr>
                    <w:jc w:val="center"/>
                    <w:rPr>
                      <w:spacing w:val="6"/>
                      <w:sz w:val="18"/>
                      <w:szCs w:val="18"/>
                    </w:rPr>
                  </w:pPr>
                  <w:r>
                    <w:rPr>
                      <w:rFonts w:hint="eastAsia"/>
                      <w:spacing w:val="6"/>
                      <w:sz w:val="18"/>
                      <w:szCs w:val="18"/>
                    </w:rPr>
                    <w:t>23.4</w:t>
                  </w:r>
                </w:p>
              </w:tc>
              <w:tc>
                <w:tcPr>
                  <w:tcW w:w="297" w:type="pct"/>
                  <w:vAlign w:val="center"/>
                </w:tcPr>
                <w:p w14:paraId="26934976">
                  <w:pPr>
                    <w:jc w:val="center"/>
                    <w:rPr>
                      <w:sz w:val="18"/>
                      <w:szCs w:val="18"/>
                    </w:rPr>
                  </w:pPr>
                  <w:r>
                    <w:rPr>
                      <w:rFonts w:hint="eastAsia"/>
                      <w:sz w:val="18"/>
                      <w:szCs w:val="18"/>
                    </w:rPr>
                    <w:t>1</w:t>
                  </w:r>
                </w:p>
              </w:tc>
            </w:tr>
            <w:tr w14:paraId="3B31B2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5DC54238">
                  <w:pPr>
                    <w:jc w:val="center"/>
                    <w:rPr>
                      <w:spacing w:val="6"/>
                      <w:sz w:val="18"/>
                      <w:szCs w:val="18"/>
                    </w:rPr>
                  </w:pPr>
                </w:p>
              </w:tc>
              <w:tc>
                <w:tcPr>
                  <w:tcW w:w="284" w:type="pct"/>
                  <w:vMerge w:val="continue"/>
                  <w:vAlign w:val="center"/>
                </w:tcPr>
                <w:p w14:paraId="2167DDB0">
                  <w:pPr>
                    <w:jc w:val="center"/>
                    <w:rPr>
                      <w:spacing w:val="6"/>
                      <w:sz w:val="18"/>
                      <w:szCs w:val="18"/>
                    </w:rPr>
                  </w:pPr>
                </w:p>
              </w:tc>
              <w:tc>
                <w:tcPr>
                  <w:tcW w:w="361" w:type="pct"/>
                  <w:vMerge w:val="continue"/>
                  <w:vAlign w:val="center"/>
                </w:tcPr>
                <w:p w14:paraId="438C350C">
                  <w:pPr>
                    <w:jc w:val="center"/>
                    <w:rPr>
                      <w:spacing w:val="6"/>
                      <w:sz w:val="18"/>
                      <w:szCs w:val="18"/>
                    </w:rPr>
                  </w:pPr>
                </w:p>
              </w:tc>
              <w:tc>
                <w:tcPr>
                  <w:tcW w:w="175" w:type="pct"/>
                  <w:vMerge w:val="continue"/>
                  <w:vAlign w:val="center"/>
                </w:tcPr>
                <w:p w14:paraId="5482E374">
                  <w:pPr>
                    <w:jc w:val="center"/>
                    <w:rPr>
                      <w:spacing w:val="6"/>
                      <w:sz w:val="18"/>
                      <w:szCs w:val="18"/>
                    </w:rPr>
                  </w:pPr>
                </w:p>
              </w:tc>
              <w:tc>
                <w:tcPr>
                  <w:tcW w:w="586" w:type="pct"/>
                  <w:vMerge w:val="continue"/>
                  <w:vAlign w:val="center"/>
                </w:tcPr>
                <w:p w14:paraId="271BB922">
                  <w:pPr>
                    <w:jc w:val="center"/>
                    <w:rPr>
                      <w:spacing w:val="6"/>
                      <w:sz w:val="18"/>
                      <w:szCs w:val="18"/>
                    </w:rPr>
                  </w:pPr>
                </w:p>
              </w:tc>
              <w:tc>
                <w:tcPr>
                  <w:tcW w:w="360" w:type="pct"/>
                  <w:vMerge w:val="continue"/>
                  <w:vAlign w:val="center"/>
                </w:tcPr>
                <w:p w14:paraId="76EE4F9C">
                  <w:pPr>
                    <w:jc w:val="center"/>
                    <w:rPr>
                      <w:spacing w:val="6"/>
                      <w:sz w:val="18"/>
                      <w:szCs w:val="18"/>
                    </w:rPr>
                  </w:pPr>
                </w:p>
              </w:tc>
              <w:tc>
                <w:tcPr>
                  <w:tcW w:w="226" w:type="pct"/>
                  <w:vMerge w:val="continue"/>
                  <w:vAlign w:val="center"/>
                </w:tcPr>
                <w:p w14:paraId="5945154E">
                  <w:pPr>
                    <w:jc w:val="center"/>
                    <w:rPr>
                      <w:spacing w:val="6"/>
                      <w:sz w:val="18"/>
                      <w:szCs w:val="18"/>
                    </w:rPr>
                  </w:pPr>
                </w:p>
              </w:tc>
              <w:tc>
                <w:tcPr>
                  <w:tcW w:w="293" w:type="pct"/>
                  <w:vMerge w:val="continue"/>
                  <w:vAlign w:val="center"/>
                </w:tcPr>
                <w:p w14:paraId="6E88579D">
                  <w:pPr>
                    <w:jc w:val="center"/>
                    <w:rPr>
                      <w:spacing w:val="6"/>
                      <w:sz w:val="18"/>
                      <w:szCs w:val="18"/>
                    </w:rPr>
                  </w:pPr>
                </w:p>
              </w:tc>
              <w:tc>
                <w:tcPr>
                  <w:tcW w:w="235" w:type="pct"/>
                  <w:vMerge w:val="continue"/>
                  <w:vAlign w:val="center"/>
                </w:tcPr>
                <w:p w14:paraId="03E9EB8A">
                  <w:pPr>
                    <w:jc w:val="center"/>
                    <w:rPr>
                      <w:spacing w:val="6"/>
                      <w:sz w:val="18"/>
                      <w:szCs w:val="18"/>
                    </w:rPr>
                  </w:pPr>
                </w:p>
              </w:tc>
              <w:tc>
                <w:tcPr>
                  <w:tcW w:w="293" w:type="pct"/>
                  <w:vAlign w:val="center"/>
                </w:tcPr>
                <w:p w14:paraId="3961A61C">
                  <w:pPr>
                    <w:jc w:val="center"/>
                    <w:rPr>
                      <w:spacing w:val="6"/>
                      <w:sz w:val="18"/>
                      <w:szCs w:val="18"/>
                    </w:rPr>
                  </w:pPr>
                  <w:r>
                    <w:rPr>
                      <w:spacing w:val="6"/>
                      <w:sz w:val="18"/>
                      <w:szCs w:val="18"/>
                    </w:rPr>
                    <w:t>西</w:t>
                  </w:r>
                </w:p>
              </w:tc>
              <w:tc>
                <w:tcPr>
                  <w:tcW w:w="293" w:type="pct"/>
                  <w:vAlign w:val="center"/>
                </w:tcPr>
                <w:p w14:paraId="69BAB741">
                  <w:pPr>
                    <w:jc w:val="center"/>
                    <w:rPr>
                      <w:spacing w:val="6"/>
                      <w:sz w:val="18"/>
                      <w:szCs w:val="18"/>
                    </w:rPr>
                  </w:pPr>
                  <w:r>
                    <w:rPr>
                      <w:rFonts w:hint="eastAsia"/>
                      <w:spacing w:val="6"/>
                      <w:sz w:val="18"/>
                      <w:szCs w:val="18"/>
                    </w:rPr>
                    <w:t>31</w:t>
                  </w:r>
                </w:p>
              </w:tc>
              <w:tc>
                <w:tcPr>
                  <w:tcW w:w="410" w:type="pct"/>
                  <w:vAlign w:val="center"/>
                </w:tcPr>
                <w:p w14:paraId="219184BE">
                  <w:pPr>
                    <w:jc w:val="center"/>
                    <w:rPr>
                      <w:spacing w:val="6"/>
                      <w:sz w:val="18"/>
                      <w:szCs w:val="18"/>
                    </w:rPr>
                  </w:pPr>
                  <w:r>
                    <w:rPr>
                      <w:rFonts w:hint="eastAsia"/>
                      <w:spacing w:val="6"/>
                      <w:sz w:val="18"/>
                      <w:szCs w:val="18"/>
                    </w:rPr>
                    <w:t>40.2</w:t>
                  </w:r>
                </w:p>
              </w:tc>
              <w:tc>
                <w:tcPr>
                  <w:tcW w:w="293" w:type="pct"/>
                  <w:vMerge w:val="continue"/>
                  <w:vAlign w:val="center"/>
                </w:tcPr>
                <w:p w14:paraId="7F24331B">
                  <w:pPr>
                    <w:jc w:val="center"/>
                    <w:rPr>
                      <w:spacing w:val="6"/>
                      <w:sz w:val="18"/>
                      <w:szCs w:val="18"/>
                    </w:rPr>
                  </w:pPr>
                </w:p>
              </w:tc>
              <w:tc>
                <w:tcPr>
                  <w:tcW w:w="353" w:type="pct"/>
                  <w:vMerge w:val="continue"/>
                  <w:vAlign w:val="center"/>
                </w:tcPr>
                <w:p w14:paraId="55FF1083">
                  <w:pPr>
                    <w:jc w:val="center"/>
                    <w:rPr>
                      <w:spacing w:val="6"/>
                      <w:sz w:val="18"/>
                      <w:szCs w:val="18"/>
                    </w:rPr>
                  </w:pPr>
                </w:p>
              </w:tc>
              <w:tc>
                <w:tcPr>
                  <w:tcW w:w="365" w:type="pct"/>
                  <w:vAlign w:val="center"/>
                </w:tcPr>
                <w:p w14:paraId="558B6B8A">
                  <w:pPr>
                    <w:jc w:val="center"/>
                    <w:rPr>
                      <w:spacing w:val="6"/>
                      <w:sz w:val="18"/>
                      <w:szCs w:val="18"/>
                    </w:rPr>
                  </w:pPr>
                  <w:r>
                    <w:rPr>
                      <w:rFonts w:hint="eastAsia"/>
                      <w:spacing w:val="6"/>
                      <w:sz w:val="18"/>
                      <w:szCs w:val="18"/>
                    </w:rPr>
                    <w:t>25.2</w:t>
                  </w:r>
                </w:p>
              </w:tc>
              <w:tc>
                <w:tcPr>
                  <w:tcW w:w="297" w:type="pct"/>
                  <w:vAlign w:val="center"/>
                </w:tcPr>
                <w:p w14:paraId="4100E720">
                  <w:pPr>
                    <w:jc w:val="center"/>
                    <w:rPr>
                      <w:sz w:val="18"/>
                      <w:szCs w:val="18"/>
                    </w:rPr>
                  </w:pPr>
                  <w:r>
                    <w:rPr>
                      <w:rFonts w:hint="eastAsia"/>
                      <w:sz w:val="18"/>
                      <w:szCs w:val="18"/>
                    </w:rPr>
                    <w:t>1</w:t>
                  </w:r>
                </w:p>
              </w:tc>
            </w:tr>
            <w:tr w14:paraId="11DCFD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5007EFA7">
                  <w:pPr>
                    <w:jc w:val="center"/>
                    <w:rPr>
                      <w:spacing w:val="6"/>
                      <w:sz w:val="18"/>
                      <w:szCs w:val="18"/>
                    </w:rPr>
                  </w:pPr>
                </w:p>
              </w:tc>
              <w:tc>
                <w:tcPr>
                  <w:tcW w:w="284" w:type="pct"/>
                  <w:vMerge w:val="continue"/>
                  <w:vAlign w:val="center"/>
                </w:tcPr>
                <w:p w14:paraId="79947E68">
                  <w:pPr>
                    <w:jc w:val="center"/>
                    <w:rPr>
                      <w:spacing w:val="6"/>
                      <w:sz w:val="18"/>
                      <w:szCs w:val="18"/>
                    </w:rPr>
                  </w:pPr>
                </w:p>
              </w:tc>
              <w:tc>
                <w:tcPr>
                  <w:tcW w:w="361" w:type="pct"/>
                  <w:vMerge w:val="continue"/>
                  <w:vAlign w:val="center"/>
                </w:tcPr>
                <w:p w14:paraId="6C1E18B5">
                  <w:pPr>
                    <w:jc w:val="center"/>
                    <w:rPr>
                      <w:spacing w:val="6"/>
                      <w:sz w:val="18"/>
                      <w:szCs w:val="18"/>
                    </w:rPr>
                  </w:pPr>
                </w:p>
              </w:tc>
              <w:tc>
                <w:tcPr>
                  <w:tcW w:w="175" w:type="pct"/>
                  <w:vMerge w:val="continue"/>
                  <w:vAlign w:val="center"/>
                </w:tcPr>
                <w:p w14:paraId="48A27BBD">
                  <w:pPr>
                    <w:jc w:val="center"/>
                    <w:rPr>
                      <w:spacing w:val="6"/>
                      <w:sz w:val="18"/>
                      <w:szCs w:val="18"/>
                    </w:rPr>
                  </w:pPr>
                </w:p>
              </w:tc>
              <w:tc>
                <w:tcPr>
                  <w:tcW w:w="586" w:type="pct"/>
                  <w:vMerge w:val="continue"/>
                  <w:vAlign w:val="center"/>
                </w:tcPr>
                <w:p w14:paraId="2046F510">
                  <w:pPr>
                    <w:jc w:val="center"/>
                    <w:rPr>
                      <w:spacing w:val="6"/>
                      <w:sz w:val="18"/>
                      <w:szCs w:val="18"/>
                    </w:rPr>
                  </w:pPr>
                </w:p>
              </w:tc>
              <w:tc>
                <w:tcPr>
                  <w:tcW w:w="360" w:type="pct"/>
                  <w:vMerge w:val="continue"/>
                  <w:vAlign w:val="center"/>
                </w:tcPr>
                <w:p w14:paraId="6ADC6854">
                  <w:pPr>
                    <w:jc w:val="center"/>
                    <w:rPr>
                      <w:spacing w:val="6"/>
                      <w:sz w:val="18"/>
                      <w:szCs w:val="18"/>
                    </w:rPr>
                  </w:pPr>
                </w:p>
              </w:tc>
              <w:tc>
                <w:tcPr>
                  <w:tcW w:w="226" w:type="pct"/>
                  <w:vMerge w:val="continue"/>
                  <w:vAlign w:val="center"/>
                </w:tcPr>
                <w:p w14:paraId="685EFDA3">
                  <w:pPr>
                    <w:jc w:val="center"/>
                    <w:rPr>
                      <w:spacing w:val="6"/>
                      <w:sz w:val="18"/>
                      <w:szCs w:val="18"/>
                    </w:rPr>
                  </w:pPr>
                </w:p>
              </w:tc>
              <w:tc>
                <w:tcPr>
                  <w:tcW w:w="293" w:type="pct"/>
                  <w:vMerge w:val="continue"/>
                  <w:vAlign w:val="center"/>
                </w:tcPr>
                <w:p w14:paraId="39DF2464">
                  <w:pPr>
                    <w:jc w:val="center"/>
                    <w:rPr>
                      <w:spacing w:val="6"/>
                      <w:sz w:val="18"/>
                      <w:szCs w:val="18"/>
                    </w:rPr>
                  </w:pPr>
                </w:p>
              </w:tc>
              <w:tc>
                <w:tcPr>
                  <w:tcW w:w="235" w:type="pct"/>
                  <w:vMerge w:val="continue"/>
                  <w:vAlign w:val="center"/>
                </w:tcPr>
                <w:p w14:paraId="66A7A597">
                  <w:pPr>
                    <w:jc w:val="center"/>
                    <w:rPr>
                      <w:spacing w:val="6"/>
                      <w:sz w:val="18"/>
                      <w:szCs w:val="18"/>
                    </w:rPr>
                  </w:pPr>
                </w:p>
              </w:tc>
              <w:tc>
                <w:tcPr>
                  <w:tcW w:w="293" w:type="pct"/>
                  <w:vAlign w:val="center"/>
                </w:tcPr>
                <w:p w14:paraId="4C0FAE69">
                  <w:pPr>
                    <w:jc w:val="center"/>
                    <w:rPr>
                      <w:spacing w:val="6"/>
                      <w:sz w:val="18"/>
                      <w:szCs w:val="18"/>
                    </w:rPr>
                  </w:pPr>
                  <w:r>
                    <w:rPr>
                      <w:spacing w:val="6"/>
                      <w:sz w:val="18"/>
                      <w:szCs w:val="18"/>
                    </w:rPr>
                    <w:t>北</w:t>
                  </w:r>
                </w:p>
              </w:tc>
              <w:tc>
                <w:tcPr>
                  <w:tcW w:w="293" w:type="pct"/>
                  <w:vAlign w:val="center"/>
                </w:tcPr>
                <w:p w14:paraId="320AB4F4">
                  <w:pPr>
                    <w:jc w:val="center"/>
                    <w:rPr>
                      <w:spacing w:val="6"/>
                      <w:sz w:val="18"/>
                      <w:szCs w:val="18"/>
                    </w:rPr>
                  </w:pPr>
                  <w:r>
                    <w:rPr>
                      <w:rFonts w:hint="eastAsia"/>
                      <w:spacing w:val="6"/>
                      <w:sz w:val="18"/>
                      <w:szCs w:val="18"/>
                    </w:rPr>
                    <w:t>75</w:t>
                  </w:r>
                </w:p>
              </w:tc>
              <w:tc>
                <w:tcPr>
                  <w:tcW w:w="410" w:type="pct"/>
                  <w:vAlign w:val="center"/>
                </w:tcPr>
                <w:p w14:paraId="51A9BD83">
                  <w:pPr>
                    <w:jc w:val="center"/>
                    <w:rPr>
                      <w:spacing w:val="6"/>
                      <w:sz w:val="18"/>
                      <w:szCs w:val="18"/>
                    </w:rPr>
                  </w:pPr>
                  <w:r>
                    <w:rPr>
                      <w:rFonts w:hint="eastAsia"/>
                      <w:spacing w:val="6"/>
                      <w:sz w:val="18"/>
                      <w:szCs w:val="18"/>
                    </w:rPr>
                    <w:t>32.5</w:t>
                  </w:r>
                </w:p>
              </w:tc>
              <w:tc>
                <w:tcPr>
                  <w:tcW w:w="293" w:type="pct"/>
                  <w:vMerge w:val="continue"/>
                  <w:vAlign w:val="center"/>
                </w:tcPr>
                <w:p w14:paraId="647BA51D">
                  <w:pPr>
                    <w:jc w:val="center"/>
                    <w:rPr>
                      <w:spacing w:val="6"/>
                      <w:sz w:val="18"/>
                      <w:szCs w:val="18"/>
                    </w:rPr>
                  </w:pPr>
                </w:p>
              </w:tc>
              <w:tc>
                <w:tcPr>
                  <w:tcW w:w="353" w:type="pct"/>
                  <w:vMerge w:val="continue"/>
                  <w:vAlign w:val="center"/>
                </w:tcPr>
                <w:p w14:paraId="6611516C">
                  <w:pPr>
                    <w:jc w:val="center"/>
                    <w:rPr>
                      <w:spacing w:val="6"/>
                      <w:sz w:val="18"/>
                      <w:szCs w:val="18"/>
                    </w:rPr>
                  </w:pPr>
                </w:p>
              </w:tc>
              <w:tc>
                <w:tcPr>
                  <w:tcW w:w="365" w:type="pct"/>
                  <w:vAlign w:val="center"/>
                </w:tcPr>
                <w:p w14:paraId="133B5618">
                  <w:pPr>
                    <w:jc w:val="center"/>
                    <w:rPr>
                      <w:spacing w:val="6"/>
                      <w:sz w:val="18"/>
                      <w:szCs w:val="18"/>
                    </w:rPr>
                  </w:pPr>
                  <w:r>
                    <w:rPr>
                      <w:rFonts w:hint="eastAsia"/>
                      <w:spacing w:val="6"/>
                      <w:sz w:val="18"/>
                      <w:szCs w:val="18"/>
                    </w:rPr>
                    <w:t>17.5</w:t>
                  </w:r>
                </w:p>
              </w:tc>
              <w:tc>
                <w:tcPr>
                  <w:tcW w:w="297" w:type="pct"/>
                  <w:vAlign w:val="center"/>
                </w:tcPr>
                <w:p w14:paraId="3872E5F1">
                  <w:pPr>
                    <w:jc w:val="center"/>
                    <w:rPr>
                      <w:sz w:val="18"/>
                      <w:szCs w:val="18"/>
                    </w:rPr>
                  </w:pPr>
                  <w:r>
                    <w:rPr>
                      <w:rFonts w:hint="eastAsia"/>
                      <w:sz w:val="18"/>
                      <w:szCs w:val="18"/>
                    </w:rPr>
                    <w:t>1</w:t>
                  </w:r>
                </w:p>
              </w:tc>
            </w:tr>
            <w:tr w14:paraId="2FA8CD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restart"/>
                  <w:vAlign w:val="center"/>
                </w:tcPr>
                <w:p w14:paraId="04355547">
                  <w:pPr>
                    <w:jc w:val="center"/>
                    <w:rPr>
                      <w:spacing w:val="6"/>
                      <w:sz w:val="18"/>
                      <w:szCs w:val="18"/>
                    </w:rPr>
                  </w:pPr>
                  <w:r>
                    <w:rPr>
                      <w:rFonts w:hint="eastAsia"/>
                      <w:spacing w:val="6"/>
                      <w:sz w:val="18"/>
                      <w:szCs w:val="18"/>
                    </w:rPr>
                    <w:t>8</w:t>
                  </w:r>
                </w:p>
              </w:tc>
              <w:tc>
                <w:tcPr>
                  <w:tcW w:w="284" w:type="pct"/>
                  <w:vMerge w:val="continue"/>
                  <w:vAlign w:val="center"/>
                </w:tcPr>
                <w:p w14:paraId="627510C0">
                  <w:pPr>
                    <w:jc w:val="center"/>
                    <w:rPr>
                      <w:spacing w:val="6"/>
                      <w:sz w:val="18"/>
                      <w:szCs w:val="18"/>
                    </w:rPr>
                  </w:pPr>
                </w:p>
              </w:tc>
              <w:tc>
                <w:tcPr>
                  <w:tcW w:w="361" w:type="pct"/>
                  <w:vMerge w:val="restart"/>
                  <w:vAlign w:val="center"/>
                </w:tcPr>
                <w:p w14:paraId="39A3325A">
                  <w:pPr>
                    <w:jc w:val="center"/>
                    <w:rPr>
                      <w:spacing w:val="6"/>
                      <w:sz w:val="18"/>
                      <w:szCs w:val="18"/>
                    </w:rPr>
                  </w:pPr>
                  <w:r>
                    <w:rPr>
                      <w:spacing w:val="6"/>
                      <w:sz w:val="18"/>
                      <w:szCs w:val="18"/>
                    </w:rPr>
                    <w:t>铝条折弯机</w:t>
                  </w:r>
                </w:p>
              </w:tc>
              <w:tc>
                <w:tcPr>
                  <w:tcW w:w="175" w:type="pct"/>
                  <w:vMerge w:val="restart"/>
                  <w:vAlign w:val="center"/>
                </w:tcPr>
                <w:p w14:paraId="70C7EACC">
                  <w:pPr>
                    <w:jc w:val="center"/>
                    <w:rPr>
                      <w:spacing w:val="6"/>
                      <w:sz w:val="18"/>
                      <w:szCs w:val="18"/>
                    </w:rPr>
                  </w:pPr>
                  <w:r>
                    <w:rPr>
                      <w:rFonts w:hint="eastAsia"/>
                      <w:spacing w:val="6"/>
                      <w:sz w:val="18"/>
                      <w:szCs w:val="18"/>
                    </w:rPr>
                    <w:t>/</w:t>
                  </w:r>
                </w:p>
              </w:tc>
              <w:tc>
                <w:tcPr>
                  <w:tcW w:w="586" w:type="pct"/>
                  <w:vMerge w:val="restart"/>
                  <w:vAlign w:val="center"/>
                </w:tcPr>
                <w:p w14:paraId="33707C42">
                  <w:pPr>
                    <w:jc w:val="center"/>
                    <w:rPr>
                      <w:spacing w:val="6"/>
                      <w:sz w:val="18"/>
                      <w:szCs w:val="18"/>
                    </w:rPr>
                  </w:pPr>
                  <w:r>
                    <w:rPr>
                      <w:rFonts w:hint="eastAsia"/>
                      <w:spacing w:val="6"/>
                      <w:sz w:val="18"/>
                      <w:szCs w:val="18"/>
                    </w:rPr>
                    <w:t>70/1</w:t>
                  </w:r>
                </w:p>
              </w:tc>
              <w:tc>
                <w:tcPr>
                  <w:tcW w:w="360" w:type="pct"/>
                  <w:vMerge w:val="continue"/>
                  <w:vAlign w:val="center"/>
                </w:tcPr>
                <w:p w14:paraId="7AAE261C">
                  <w:pPr>
                    <w:jc w:val="center"/>
                    <w:rPr>
                      <w:spacing w:val="6"/>
                      <w:sz w:val="18"/>
                      <w:szCs w:val="18"/>
                    </w:rPr>
                  </w:pPr>
                </w:p>
              </w:tc>
              <w:tc>
                <w:tcPr>
                  <w:tcW w:w="226" w:type="pct"/>
                  <w:vMerge w:val="restart"/>
                  <w:vAlign w:val="center"/>
                </w:tcPr>
                <w:p w14:paraId="30E96282">
                  <w:pPr>
                    <w:jc w:val="center"/>
                    <w:rPr>
                      <w:spacing w:val="6"/>
                      <w:sz w:val="18"/>
                      <w:szCs w:val="18"/>
                    </w:rPr>
                  </w:pPr>
                  <w:r>
                    <w:rPr>
                      <w:rFonts w:hint="eastAsia"/>
                      <w:spacing w:val="6"/>
                      <w:sz w:val="18"/>
                      <w:szCs w:val="18"/>
                    </w:rPr>
                    <w:t>6</w:t>
                  </w:r>
                </w:p>
              </w:tc>
              <w:tc>
                <w:tcPr>
                  <w:tcW w:w="293" w:type="pct"/>
                  <w:vMerge w:val="restart"/>
                  <w:vAlign w:val="center"/>
                </w:tcPr>
                <w:p w14:paraId="59FC70B2">
                  <w:pPr>
                    <w:jc w:val="center"/>
                    <w:rPr>
                      <w:spacing w:val="6"/>
                      <w:sz w:val="18"/>
                      <w:szCs w:val="18"/>
                    </w:rPr>
                  </w:pPr>
                  <w:r>
                    <w:rPr>
                      <w:rFonts w:hint="eastAsia"/>
                      <w:spacing w:val="6"/>
                      <w:sz w:val="18"/>
                      <w:szCs w:val="18"/>
                    </w:rPr>
                    <w:t>-20</w:t>
                  </w:r>
                </w:p>
              </w:tc>
              <w:tc>
                <w:tcPr>
                  <w:tcW w:w="235" w:type="pct"/>
                  <w:vMerge w:val="restart"/>
                  <w:vAlign w:val="center"/>
                </w:tcPr>
                <w:p w14:paraId="5853C800">
                  <w:pPr>
                    <w:jc w:val="center"/>
                    <w:rPr>
                      <w:spacing w:val="6"/>
                      <w:sz w:val="18"/>
                      <w:szCs w:val="18"/>
                    </w:rPr>
                  </w:pPr>
                  <w:r>
                    <w:rPr>
                      <w:rFonts w:hint="eastAsia"/>
                      <w:spacing w:val="6"/>
                      <w:sz w:val="18"/>
                      <w:szCs w:val="18"/>
                    </w:rPr>
                    <w:t>1.2</w:t>
                  </w:r>
                </w:p>
              </w:tc>
              <w:tc>
                <w:tcPr>
                  <w:tcW w:w="293" w:type="pct"/>
                  <w:vAlign w:val="center"/>
                </w:tcPr>
                <w:p w14:paraId="14458672">
                  <w:pPr>
                    <w:jc w:val="center"/>
                    <w:rPr>
                      <w:spacing w:val="6"/>
                      <w:sz w:val="18"/>
                      <w:szCs w:val="18"/>
                    </w:rPr>
                  </w:pPr>
                  <w:r>
                    <w:rPr>
                      <w:sz w:val="18"/>
                      <w:szCs w:val="18"/>
                    </w:rPr>
                    <w:t>东</w:t>
                  </w:r>
                </w:p>
              </w:tc>
              <w:tc>
                <w:tcPr>
                  <w:tcW w:w="293" w:type="pct"/>
                  <w:vAlign w:val="center"/>
                </w:tcPr>
                <w:p w14:paraId="0D4B3C53">
                  <w:pPr>
                    <w:jc w:val="center"/>
                    <w:rPr>
                      <w:spacing w:val="6"/>
                      <w:sz w:val="18"/>
                      <w:szCs w:val="18"/>
                    </w:rPr>
                  </w:pPr>
                  <w:r>
                    <w:rPr>
                      <w:rFonts w:hint="eastAsia"/>
                      <w:spacing w:val="6"/>
                      <w:sz w:val="18"/>
                      <w:szCs w:val="18"/>
                    </w:rPr>
                    <w:t>13</w:t>
                  </w:r>
                </w:p>
              </w:tc>
              <w:tc>
                <w:tcPr>
                  <w:tcW w:w="410" w:type="pct"/>
                  <w:vAlign w:val="center"/>
                </w:tcPr>
                <w:p w14:paraId="1C58F9CA">
                  <w:pPr>
                    <w:jc w:val="center"/>
                    <w:rPr>
                      <w:spacing w:val="6"/>
                      <w:sz w:val="18"/>
                      <w:szCs w:val="18"/>
                    </w:rPr>
                  </w:pPr>
                  <w:r>
                    <w:rPr>
                      <w:rFonts w:hint="eastAsia"/>
                      <w:spacing w:val="6"/>
                      <w:sz w:val="18"/>
                      <w:szCs w:val="18"/>
                    </w:rPr>
                    <w:t>47.7</w:t>
                  </w:r>
                </w:p>
              </w:tc>
              <w:tc>
                <w:tcPr>
                  <w:tcW w:w="293" w:type="pct"/>
                  <w:vMerge w:val="restart"/>
                  <w:vAlign w:val="center"/>
                </w:tcPr>
                <w:p w14:paraId="40FB4C92">
                  <w:pPr>
                    <w:jc w:val="center"/>
                    <w:rPr>
                      <w:spacing w:val="6"/>
                      <w:sz w:val="18"/>
                      <w:szCs w:val="18"/>
                    </w:rPr>
                  </w:pPr>
                  <w:r>
                    <w:rPr>
                      <w:rFonts w:hint="eastAsia"/>
                      <w:spacing w:val="6"/>
                      <w:sz w:val="18"/>
                      <w:szCs w:val="18"/>
                    </w:rPr>
                    <w:t>8h</w:t>
                  </w:r>
                </w:p>
              </w:tc>
              <w:tc>
                <w:tcPr>
                  <w:tcW w:w="353" w:type="pct"/>
                  <w:vMerge w:val="restart"/>
                  <w:vAlign w:val="center"/>
                </w:tcPr>
                <w:p w14:paraId="62EE5372">
                  <w:pPr>
                    <w:jc w:val="center"/>
                    <w:rPr>
                      <w:spacing w:val="6"/>
                      <w:sz w:val="18"/>
                      <w:szCs w:val="18"/>
                    </w:rPr>
                  </w:pPr>
                  <w:r>
                    <w:rPr>
                      <w:rFonts w:hint="eastAsia"/>
                      <w:spacing w:val="6"/>
                      <w:sz w:val="18"/>
                      <w:szCs w:val="18"/>
                    </w:rPr>
                    <w:t>15</w:t>
                  </w:r>
                </w:p>
              </w:tc>
              <w:tc>
                <w:tcPr>
                  <w:tcW w:w="365" w:type="pct"/>
                  <w:vAlign w:val="center"/>
                </w:tcPr>
                <w:p w14:paraId="3E4F95AA">
                  <w:pPr>
                    <w:jc w:val="center"/>
                    <w:rPr>
                      <w:spacing w:val="6"/>
                      <w:sz w:val="18"/>
                      <w:szCs w:val="18"/>
                    </w:rPr>
                  </w:pPr>
                  <w:r>
                    <w:rPr>
                      <w:rFonts w:hint="eastAsia"/>
                      <w:spacing w:val="6"/>
                      <w:sz w:val="18"/>
                      <w:szCs w:val="18"/>
                    </w:rPr>
                    <w:t>32.7</w:t>
                  </w:r>
                </w:p>
              </w:tc>
              <w:tc>
                <w:tcPr>
                  <w:tcW w:w="297" w:type="pct"/>
                  <w:vAlign w:val="center"/>
                </w:tcPr>
                <w:p w14:paraId="7EBAF45C">
                  <w:pPr>
                    <w:jc w:val="center"/>
                    <w:rPr>
                      <w:sz w:val="18"/>
                      <w:szCs w:val="18"/>
                    </w:rPr>
                  </w:pPr>
                  <w:r>
                    <w:rPr>
                      <w:rFonts w:hint="eastAsia"/>
                      <w:sz w:val="18"/>
                      <w:szCs w:val="18"/>
                    </w:rPr>
                    <w:t>1</w:t>
                  </w:r>
                </w:p>
              </w:tc>
            </w:tr>
            <w:tr w14:paraId="472A8A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63143189">
                  <w:pPr>
                    <w:jc w:val="center"/>
                    <w:rPr>
                      <w:spacing w:val="6"/>
                      <w:sz w:val="18"/>
                      <w:szCs w:val="18"/>
                    </w:rPr>
                  </w:pPr>
                </w:p>
              </w:tc>
              <w:tc>
                <w:tcPr>
                  <w:tcW w:w="284" w:type="pct"/>
                  <w:vMerge w:val="continue"/>
                  <w:vAlign w:val="center"/>
                </w:tcPr>
                <w:p w14:paraId="34ADED57">
                  <w:pPr>
                    <w:jc w:val="center"/>
                    <w:rPr>
                      <w:spacing w:val="6"/>
                      <w:sz w:val="18"/>
                      <w:szCs w:val="18"/>
                    </w:rPr>
                  </w:pPr>
                </w:p>
              </w:tc>
              <w:tc>
                <w:tcPr>
                  <w:tcW w:w="361" w:type="pct"/>
                  <w:vMerge w:val="continue"/>
                  <w:vAlign w:val="center"/>
                </w:tcPr>
                <w:p w14:paraId="2BFC4060">
                  <w:pPr>
                    <w:jc w:val="center"/>
                    <w:rPr>
                      <w:spacing w:val="6"/>
                      <w:sz w:val="18"/>
                      <w:szCs w:val="18"/>
                    </w:rPr>
                  </w:pPr>
                </w:p>
              </w:tc>
              <w:tc>
                <w:tcPr>
                  <w:tcW w:w="175" w:type="pct"/>
                  <w:vMerge w:val="continue"/>
                  <w:vAlign w:val="center"/>
                </w:tcPr>
                <w:p w14:paraId="12FD217D">
                  <w:pPr>
                    <w:jc w:val="center"/>
                    <w:rPr>
                      <w:spacing w:val="6"/>
                      <w:sz w:val="18"/>
                      <w:szCs w:val="18"/>
                    </w:rPr>
                  </w:pPr>
                </w:p>
              </w:tc>
              <w:tc>
                <w:tcPr>
                  <w:tcW w:w="586" w:type="pct"/>
                  <w:vMerge w:val="continue"/>
                  <w:vAlign w:val="center"/>
                </w:tcPr>
                <w:p w14:paraId="6EAFA971">
                  <w:pPr>
                    <w:jc w:val="center"/>
                    <w:rPr>
                      <w:spacing w:val="6"/>
                      <w:sz w:val="18"/>
                      <w:szCs w:val="18"/>
                    </w:rPr>
                  </w:pPr>
                </w:p>
              </w:tc>
              <w:tc>
                <w:tcPr>
                  <w:tcW w:w="360" w:type="pct"/>
                  <w:vMerge w:val="continue"/>
                  <w:vAlign w:val="center"/>
                </w:tcPr>
                <w:p w14:paraId="29C9A945">
                  <w:pPr>
                    <w:jc w:val="center"/>
                    <w:rPr>
                      <w:spacing w:val="6"/>
                      <w:sz w:val="18"/>
                      <w:szCs w:val="18"/>
                    </w:rPr>
                  </w:pPr>
                </w:p>
              </w:tc>
              <w:tc>
                <w:tcPr>
                  <w:tcW w:w="226" w:type="pct"/>
                  <w:vMerge w:val="continue"/>
                  <w:vAlign w:val="center"/>
                </w:tcPr>
                <w:p w14:paraId="313F6616">
                  <w:pPr>
                    <w:jc w:val="center"/>
                    <w:rPr>
                      <w:spacing w:val="6"/>
                      <w:sz w:val="18"/>
                      <w:szCs w:val="18"/>
                    </w:rPr>
                  </w:pPr>
                </w:p>
              </w:tc>
              <w:tc>
                <w:tcPr>
                  <w:tcW w:w="293" w:type="pct"/>
                  <w:vMerge w:val="continue"/>
                  <w:vAlign w:val="center"/>
                </w:tcPr>
                <w:p w14:paraId="0AB3B0E7">
                  <w:pPr>
                    <w:jc w:val="center"/>
                    <w:rPr>
                      <w:spacing w:val="6"/>
                      <w:sz w:val="18"/>
                      <w:szCs w:val="18"/>
                    </w:rPr>
                  </w:pPr>
                </w:p>
              </w:tc>
              <w:tc>
                <w:tcPr>
                  <w:tcW w:w="235" w:type="pct"/>
                  <w:vMerge w:val="continue"/>
                  <w:vAlign w:val="center"/>
                </w:tcPr>
                <w:p w14:paraId="10C04670">
                  <w:pPr>
                    <w:jc w:val="center"/>
                    <w:rPr>
                      <w:spacing w:val="6"/>
                      <w:sz w:val="18"/>
                      <w:szCs w:val="18"/>
                    </w:rPr>
                  </w:pPr>
                </w:p>
              </w:tc>
              <w:tc>
                <w:tcPr>
                  <w:tcW w:w="293" w:type="pct"/>
                  <w:vAlign w:val="center"/>
                </w:tcPr>
                <w:p w14:paraId="19194AC7">
                  <w:pPr>
                    <w:jc w:val="center"/>
                    <w:rPr>
                      <w:spacing w:val="6"/>
                      <w:sz w:val="18"/>
                      <w:szCs w:val="18"/>
                    </w:rPr>
                  </w:pPr>
                  <w:r>
                    <w:rPr>
                      <w:spacing w:val="6"/>
                      <w:sz w:val="18"/>
                      <w:szCs w:val="18"/>
                    </w:rPr>
                    <w:t>南</w:t>
                  </w:r>
                </w:p>
              </w:tc>
              <w:tc>
                <w:tcPr>
                  <w:tcW w:w="293" w:type="pct"/>
                  <w:vAlign w:val="center"/>
                </w:tcPr>
                <w:p w14:paraId="4A47F0CC">
                  <w:pPr>
                    <w:jc w:val="center"/>
                    <w:rPr>
                      <w:spacing w:val="6"/>
                      <w:sz w:val="18"/>
                      <w:szCs w:val="18"/>
                    </w:rPr>
                  </w:pPr>
                  <w:r>
                    <w:rPr>
                      <w:rFonts w:hint="eastAsia"/>
                      <w:spacing w:val="6"/>
                      <w:sz w:val="18"/>
                      <w:szCs w:val="18"/>
                    </w:rPr>
                    <w:t>35</w:t>
                  </w:r>
                </w:p>
              </w:tc>
              <w:tc>
                <w:tcPr>
                  <w:tcW w:w="410" w:type="pct"/>
                  <w:vAlign w:val="center"/>
                </w:tcPr>
                <w:p w14:paraId="6F9010FE">
                  <w:pPr>
                    <w:jc w:val="center"/>
                    <w:rPr>
                      <w:spacing w:val="6"/>
                      <w:sz w:val="18"/>
                      <w:szCs w:val="18"/>
                    </w:rPr>
                  </w:pPr>
                  <w:r>
                    <w:rPr>
                      <w:rFonts w:hint="eastAsia"/>
                      <w:spacing w:val="6"/>
                      <w:sz w:val="18"/>
                      <w:szCs w:val="18"/>
                    </w:rPr>
                    <w:t>39.1</w:t>
                  </w:r>
                </w:p>
              </w:tc>
              <w:tc>
                <w:tcPr>
                  <w:tcW w:w="293" w:type="pct"/>
                  <w:vMerge w:val="continue"/>
                  <w:vAlign w:val="center"/>
                </w:tcPr>
                <w:p w14:paraId="541E4528">
                  <w:pPr>
                    <w:jc w:val="center"/>
                    <w:rPr>
                      <w:spacing w:val="6"/>
                      <w:sz w:val="18"/>
                      <w:szCs w:val="18"/>
                    </w:rPr>
                  </w:pPr>
                </w:p>
              </w:tc>
              <w:tc>
                <w:tcPr>
                  <w:tcW w:w="353" w:type="pct"/>
                  <w:vMerge w:val="continue"/>
                  <w:vAlign w:val="center"/>
                </w:tcPr>
                <w:p w14:paraId="5F137458">
                  <w:pPr>
                    <w:jc w:val="center"/>
                    <w:rPr>
                      <w:spacing w:val="6"/>
                      <w:sz w:val="18"/>
                      <w:szCs w:val="18"/>
                    </w:rPr>
                  </w:pPr>
                </w:p>
              </w:tc>
              <w:tc>
                <w:tcPr>
                  <w:tcW w:w="365" w:type="pct"/>
                  <w:vAlign w:val="center"/>
                </w:tcPr>
                <w:p w14:paraId="56EC54F1">
                  <w:pPr>
                    <w:jc w:val="center"/>
                    <w:rPr>
                      <w:spacing w:val="6"/>
                      <w:sz w:val="18"/>
                      <w:szCs w:val="18"/>
                    </w:rPr>
                  </w:pPr>
                  <w:r>
                    <w:rPr>
                      <w:rFonts w:hint="eastAsia"/>
                      <w:spacing w:val="6"/>
                      <w:sz w:val="18"/>
                      <w:szCs w:val="18"/>
                    </w:rPr>
                    <w:t>24.1</w:t>
                  </w:r>
                </w:p>
              </w:tc>
              <w:tc>
                <w:tcPr>
                  <w:tcW w:w="297" w:type="pct"/>
                  <w:vAlign w:val="center"/>
                </w:tcPr>
                <w:p w14:paraId="78158D54">
                  <w:pPr>
                    <w:jc w:val="center"/>
                    <w:rPr>
                      <w:sz w:val="18"/>
                      <w:szCs w:val="18"/>
                    </w:rPr>
                  </w:pPr>
                  <w:r>
                    <w:rPr>
                      <w:rFonts w:hint="eastAsia"/>
                      <w:sz w:val="18"/>
                      <w:szCs w:val="18"/>
                    </w:rPr>
                    <w:t>1</w:t>
                  </w:r>
                </w:p>
              </w:tc>
            </w:tr>
            <w:tr w14:paraId="0E1F7F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3D0BE55B">
                  <w:pPr>
                    <w:jc w:val="center"/>
                    <w:rPr>
                      <w:spacing w:val="6"/>
                      <w:sz w:val="18"/>
                      <w:szCs w:val="18"/>
                    </w:rPr>
                  </w:pPr>
                </w:p>
              </w:tc>
              <w:tc>
                <w:tcPr>
                  <w:tcW w:w="284" w:type="pct"/>
                  <w:vMerge w:val="continue"/>
                  <w:vAlign w:val="center"/>
                </w:tcPr>
                <w:p w14:paraId="131AF28D">
                  <w:pPr>
                    <w:jc w:val="center"/>
                    <w:rPr>
                      <w:spacing w:val="6"/>
                      <w:sz w:val="18"/>
                      <w:szCs w:val="18"/>
                    </w:rPr>
                  </w:pPr>
                </w:p>
              </w:tc>
              <w:tc>
                <w:tcPr>
                  <w:tcW w:w="361" w:type="pct"/>
                  <w:vMerge w:val="continue"/>
                  <w:vAlign w:val="center"/>
                </w:tcPr>
                <w:p w14:paraId="15578B7B">
                  <w:pPr>
                    <w:jc w:val="center"/>
                    <w:rPr>
                      <w:spacing w:val="6"/>
                      <w:sz w:val="18"/>
                      <w:szCs w:val="18"/>
                    </w:rPr>
                  </w:pPr>
                </w:p>
              </w:tc>
              <w:tc>
                <w:tcPr>
                  <w:tcW w:w="175" w:type="pct"/>
                  <w:vMerge w:val="continue"/>
                  <w:vAlign w:val="center"/>
                </w:tcPr>
                <w:p w14:paraId="198AEC35">
                  <w:pPr>
                    <w:jc w:val="center"/>
                    <w:rPr>
                      <w:spacing w:val="6"/>
                      <w:sz w:val="18"/>
                      <w:szCs w:val="18"/>
                    </w:rPr>
                  </w:pPr>
                </w:p>
              </w:tc>
              <w:tc>
                <w:tcPr>
                  <w:tcW w:w="586" w:type="pct"/>
                  <w:vMerge w:val="continue"/>
                  <w:vAlign w:val="center"/>
                </w:tcPr>
                <w:p w14:paraId="4A836F12">
                  <w:pPr>
                    <w:jc w:val="center"/>
                    <w:rPr>
                      <w:spacing w:val="6"/>
                      <w:sz w:val="18"/>
                      <w:szCs w:val="18"/>
                    </w:rPr>
                  </w:pPr>
                </w:p>
              </w:tc>
              <w:tc>
                <w:tcPr>
                  <w:tcW w:w="360" w:type="pct"/>
                  <w:vMerge w:val="continue"/>
                  <w:vAlign w:val="center"/>
                </w:tcPr>
                <w:p w14:paraId="06B14B0F">
                  <w:pPr>
                    <w:jc w:val="center"/>
                    <w:rPr>
                      <w:spacing w:val="6"/>
                      <w:sz w:val="18"/>
                      <w:szCs w:val="18"/>
                    </w:rPr>
                  </w:pPr>
                </w:p>
              </w:tc>
              <w:tc>
                <w:tcPr>
                  <w:tcW w:w="226" w:type="pct"/>
                  <w:vMerge w:val="continue"/>
                  <w:vAlign w:val="center"/>
                </w:tcPr>
                <w:p w14:paraId="7FE74B1C">
                  <w:pPr>
                    <w:jc w:val="center"/>
                    <w:rPr>
                      <w:spacing w:val="6"/>
                      <w:sz w:val="18"/>
                      <w:szCs w:val="18"/>
                    </w:rPr>
                  </w:pPr>
                </w:p>
              </w:tc>
              <w:tc>
                <w:tcPr>
                  <w:tcW w:w="293" w:type="pct"/>
                  <w:vMerge w:val="continue"/>
                  <w:vAlign w:val="center"/>
                </w:tcPr>
                <w:p w14:paraId="5D2291A1">
                  <w:pPr>
                    <w:jc w:val="center"/>
                    <w:rPr>
                      <w:spacing w:val="6"/>
                      <w:sz w:val="18"/>
                      <w:szCs w:val="18"/>
                    </w:rPr>
                  </w:pPr>
                </w:p>
              </w:tc>
              <w:tc>
                <w:tcPr>
                  <w:tcW w:w="235" w:type="pct"/>
                  <w:vMerge w:val="continue"/>
                  <w:vAlign w:val="center"/>
                </w:tcPr>
                <w:p w14:paraId="26D7A104">
                  <w:pPr>
                    <w:jc w:val="center"/>
                    <w:rPr>
                      <w:spacing w:val="6"/>
                      <w:sz w:val="18"/>
                      <w:szCs w:val="18"/>
                    </w:rPr>
                  </w:pPr>
                </w:p>
              </w:tc>
              <w:tc>
                <w:tcPr>
                  <w:tcW w:w="293" w:type="pct"/>
                  <w:vAlign w:val="center"/>
                </w:tcPr>
                <w:p w14:paraId="4F2772CF">
                  <w:pPr>
                    <w:jc w:val="center"/>
                    <w:rPr>
                      <w:spacing w:val="6"/>
                      <w:sz w:val="18"/>
                      <w:szCs w:val="18"/>
                    </w:rPr>
                  </w:pPr>
                  <w:r>
                    <w:rPr>
                      <w:spacing w:val="6"/>
                      <w:sz w:val="18"/>
                      <w:szCs w:val="18"/>
                    </w:rPr>
                    <w:t>西</w:t>
                  </w:r>
                </w:p>
              </w:tc>
              <w:tc>
                <w:tcPr>
                  <w:tcW w:w="293" w:type="pct"/>
                  <w:vAlign w:val="center"/>
                </w:tcPr>
                <w:p w14:paraId="523BA593">
                  <w:pPr>
                    <w:jc w:val="center"/>
                    <w:rPr>
                      <w:spacing w:val="6"/>
                      <w:sz w:val="18"/>
                      <w:szCs w:val="18"/>
                    </w:rPr>
                  </w:pPr>
                  <w:r>
                    <w:rPr>
                      <w:rFonts w:hint="eastAsia"/>
                      <w:spacing w:val="6"/>
                      <w:sz w:val="18"/>
                      <w:szCs w:val="18"/>
                    </w:rPr>
                    <w:t>34</w:t>
                  </w:r>
                </w:p>
              </w:tc>
              <w:tc>
                <w:tcPr>
                  <w:tcW w:w="410" w:type="pct"/>
                  <w:vAlign w:val="center"/>
                </w:tcPr>
                <w:p w14:paraId="0A873F83">
                  <w:pPr>
                    <w:jc w:val="center"/>
                    <w:rPr>
                      <w:spacing w:val="6"/>
                      <w:sz w:val="18"/>
                      <w:szCs w:val="18"/>
                    </w:rPr>
                  </w:pPr>
                  <w:r>
                    <w:rPr>
                      <w:rFonts w:hint="eastAsia"/>
                      <w:spacing w:val="6"/>
                      <w:sz w:val="18"/>
                      <w:szCs w:val="18"/>
                    </w:rPr>
                    <w:t>39.4</w:t>
                  </w:r>
                </w:p>
              </w:tc>
              <w:tc>
                <w:tcPr>
                  <w:tcW w:w="293" w:type="pct"/>
                  <w:vMerge w:val="continue"/>
                  <w:vAlign w:val="center"/>
                </w:tcPr>
                <w:p w14:paraId="6B4AB1B5">
                  <w:pPr>
                    <w:jc w:val="center"/>
                    <w:rPr>
                      <w:spacing w:val="6"/>
                      <w:sz w:val="18"/>
                      <w:szCs w:val="18"/>
                    </w:rPr>
                  </w:pPr>
                </w:p>
              </w:tc>
              <w:tc>
                <w:tcPr>
                  <w:tcW w:w="353" w:type="pct"/>
                  <w:vMerge w:val="continue"/>
                  <w:vAlign w:val="center"/>
                </w:tcPr>
                <w:p w14:paraId="309253C3">
                  <w:pPr>
                    <w:jc w:val="center"/>
                    <w:rPr>
                      <w:spacing w:val="6"/>
                      <w:sz w:val="18"/>
                      <w:szCs w:val="18"/>
                    </w:rPr>
                  </w:pPr>
                </w:p>
              </w:tc>
              <w:tc>
                <w:tcPr>
                  <w:tcW w:w="365" w:type="pct"/>
                  <w:vAlign w:val="center"/>
                </w:tcPr>
                <w:p w14:paraId="4B81DDD5">
                  <w:pPr>
                    <w:jc w:val="center"/>
                    <w:rPr>
                      <w:spacing w:val="6"/>
                      <w:sz w:val="18"/>
                      <w:szCs w:val="18"/>
                    </w:rPr>
                  </w:pPr>
                  <w:r>
                    <w:rPr>
                      <w:rFonts w:hint="eastAsia"/>
                      <w:spacing w:val="6"/>
                      <w:sz w:val="18"/>
                      <w:szCs w:val="18"/>
                    </w:rPr>
                    <w:t>24.4</w:t>
                  </w:r>
                </w:p>
              </w:tc>
              <w:tc>
                <w:tcPr>
                  <w:tcW w:w="297" w:type="pct"/>
                  <w:vAlign w:val="center"/>
                </w:tcPr>
                <w:p w14:paraId="63729505">
                  <w:pPr>
                    <w:jc w:val="center"/>
                    <w:rPr>
                      <w:sz w:val="18"/>
                      <w:szCs w:val="18"/>
                    </w:rPr>
                  </w:pPr>
                  <w:r>
                    <w:rPr>
                      <w:rFonts w:hint="eastAsia"/>
                      <w:sz w:val="18"/>
                      <w:szCs w:val="18"/>
                    </w:rPr>
                    <w:t>1</w:t>
                  </w:r>
                </w:p>
              </w:tc>
            </w:tr>
            <w:tr w14:paraId="11BCA6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04BE1011">
                  <w:pPr>
                    <w:jc w:val="center"/>
                    <w:rPr>
                      <w:spacing w:val="6"/>
                      <w:sz w:val="18"/>
                      <w:szCs w:val="18"/>
                    </w:rPr>
                  </w:pPr>
                </w:p>
              </w:tc>
              <w:tc>
                <w:tcPr>
                  <w:tcW w:w="284" w:type="pct"/>
                  <w:vMerge w:val="continue"/>
                  <w:vAlign w:val="center"/>
                </w:tcPr>
                <w:p w14:paraId="2549C0B3">
                  <w:pPr>
                    <w:jc w:val="center"/>
                    <w:rPr>
                      <w:spacing w:val="6"/>
                      <w:sz w:val="18"/>
                      <w:szCs w:val="18"/>
                    </w:rPr>
                  </w:pPr>
                </w:p>
              </w:tc>
              <w:tc>
                <w:tcPr>
                  <w:tcW w:w="361" w:type="pct"/>
                  <w:vMerge w:val="continue"/>
                  <w:vAlign w:val="center"/>
                </w:tcPr>
                <w:p w14:paraId="08A61862">
                  <w:pPr>
                    <w:jc w:val="center"/>
                    <w:rPr>
                      <w:spacing w:val="6"/>
                      <w:sz w:val="18"/>
                      <w:szCs w:val="18"/>
                    </w:rPr>
                  </w:pPr>
                </w:p>
              </w:tc>
              <w:tc>
                <w:tcPr>
                  <w:tcW w:w="175" w:type="pct"/>
                  <w:vMerge w:val="continue"/>
                  <w:vAlign w:val="center"/>
                </w:tcPr>
                <w:p w14:paraId="17FD13D3">
                  <w:pPr>
                    <w:jc w:val="center"/>
                    <w:rPr>
                      <w:spacing w:val="6"/>
                      <w:sz w:val="18"/>
                      <w:szCs w:val="18"/>
                    </w:rPr>
                  </w:pPr>
                </w:p>
              </w:tc>
              <w:tc>
                <w:tcPr>
                  <w:tcW w:w="586" w:type="pct"/>
                  <w:vMerge w:val="continue"/>
                  <w:vAlign w:val="center"/>
                </w:tcPr>
                <w:p w14:paraId="73DDD8AB">
                  <w:pPr>
                    <w:jc w:val="center"/>
                    <w:rPr>
                      <w:spacing w:val="6"/>
                      <w:sz w:val="18"/>
                      <w:szCs w:val="18"/>
                    </w:rPr>
                  </w:pPr>
                </w:p>
              </w:tc>
              <w:tc>
                <w:tcPr>
                  <w:tcW w:w="360" w:type="pct"/>
                  <w:vMerge w:val="continue"/>
                  <w:vAlign w:val="center"/>
                </w:tcPr>
                <w:p w14:paraId="4280C1A2">
                  <w:pPr>
                    <w:jc w:val="center"/>
                    <w:rPr>
                      <w:spacing w:val="6"/>
                      <w:sz w:val="18"/>
                      <w:szCs w:val="18"/>
                    </w:rPr>
                  </w:pPr>
                </w:p>
              </w:tc>
              <w:tc>
                <w:tcPr>
                  <w:tcW w:w="226" w:type="pct"/>
                  <w:vMerge w:val="continue"/>
                  <w:vAlign w:val="center"/>
                </w:tcPr>
                <w:p w14:paraId="42CC3816">
                  <w:pPr>
                    <w:jc w:val="center"/>
                    <w:rPr>
                      <w:spacing w:val="6"/>
                      <w:sz w:val="18"/>
                      <w:szCs w:val="18"/>
                    </w:rPr>
                  </w:pPr>
                </w:p>
              </w:tc>
              <w:tc>
                <w:tcPr>
                  <w:tcW w:w="293" w:type="pct"/>
                  <w:vMerge w:val="continue"/>
                  <w:vAlign w:val="center"/>
                </w:tcPr>
                <w:p w14:paraId="6B2408F9">
                  <w:pPr>
                    <w:jc w:val="center"/>
                    <w:rPr>
                      <w:spacing w:val="6"/>
                      <w:sz w:val="18"/>
                      <w:szCs w:val="18"/>
                    </w:rPr>
                  </w:pPr>
                </w:p>
              </w:tc>
              <w:tc>
                <w:tcPr>
                  <w:tcW w:w="235" w:type="pct"/>
                  <w:vMerge w:val="continue"/>
                  <w:vAlign w:val="center"/>
                </w:tcPr>
                <w:p w14:paraId="7463DE44">
                  <w:pPr>
                    <w:jc w:val="center"/>
                    <w:rPr>
                      <w:spacing w:val="6"/>
                      <w:sz w:val="18"/>
                      <w:szCs w:val="18"/>
                    </w:rPr>
                  </w:pPr>
                </w:p>
              </w:tc>
              <w:tc>
                <w:tcPr>
                  <w:tcW w:w="293" w:type="pct"/>
                  <w:vAlign w:val="center"/>
                </w:tcPr>
                <w:p w14:paraId="3F041E85">
                  <w:pPr>
                    <w:jc w:val="center"/>
                    <w:rPr>
                      <w:spacing w:val="6"/>
                      <w:sz w:val="18"/>
                      <w:szCs w:val="18"/>
                    </w:rPr>
                  </w:pPr>
                  <w:r>
                    <w:rPr>
                      <w:spacing w:val="6"/>
                      <w:sz w:val="18"/>
                      <w:szCs w:val="18"/>
                    </w:rPr>
                    <w:t>北</w:t>
                  </w:r>
                </w:p>
              </w:tc>
              <w:tc>
                <w:tcPr>
                  <w:tcW w:w="293" w:type="pct"/>
                  <w:vAlign w:val="center"/>
                </w:tcPr>
                <w:p w14:paraId="73698A46">
                  <w:pPr>
                    <w:jc w:val="center"/>
                    <w:rPr>
                      <w:spacing w:val="6"/>
                      <w:sz w:val="18"/>
                      <w:szCs w:val="18"/>
                    </w:rPr>
                  </w:pPr>
                  <w:r>
                    <w:rPr>
                      <w:rFonts w:hint="eastAsia"/>
                      <w:spacing w:val="6"/>
                      <w:sz w:val="18"/>
                      <w:szCs w:val="18"/>
                    </w:rPr>
                    <w:t>78</w:t>
                  </w:r>
                </w:p>
              </w:tc>
              <w:tc>
                <w:tcPr>
                  <w:tcW w:w="410" w:type="pct"/>
                  <w:vAlign w:val="center"/>
                </w:tcPr>
                <w:p w14:paraId="61DFA473">
                  <w:pPr>
                    <w:jc w:val="center"/>
                    <w:rPr>
                      <w:spacing w:val="6"/>
                      <w:sz w:val="18"/>
                      <w:szCs w:val="18"/>
                    </w:rPr>
                  </w:pPr>
                  <w:r>
                    <w:rPr>
                      <w:rFonts w:hint="eastAsia"/>
                      <w:spacing w:val="6"/>
                      <w:sz w:val="18"/>
                      <w:szCs w:val="18"/>
                    </w:rPr>
                    <w:t>32.2</w:t>
                  </w:r>
                </w:p>
              </w:tc>
              <w:tc>
                <w:tcPr>
                  <w:tcW w:w="293" w:type="pct"/>
                  <w:vMerge w:val="continue"/>
                  <w:vAlign w:val="center"/>
                </w:tcPr>
                <w:p w14:paraId="7DAF199A">
                  <w:pPr>
                    <w:jc w:val="center"/>
                    <w:rPr>
                      <w:spacing w:val="6"/>
                      <w:sz w:val="18"/>
                      <w:szCs w:val="18"/>
                    </w:rPr>
                  </w:pPr>
                </w:p>
              </w:tc>
              <w:tc>
                <w:tcPr>
                  <w:tcW w:w="353" w:type="pct"/>
                  <w:vMerge w:val="continue"/>
                  <w:vAlign w:val="center"/>
                </w:tcPr>
                <w:p w14:paraId="11B86E8E">
                  <w:pPr>
                    <w:jc w:val="center"/>
                    <w:rPr>
                      <w:spacing w:val="6"/>
                      <w:sz w:val="18"/>
                      <w:szCs w:val="18"/>
                    </w:rPr>
                  </w:pPr>
                </w:p>
              </w:tc>
              <w:tc>
                <w:tcPr>
                  <w:tcW w:w="365" w:type="pct"/>
                  <w:vAlign w:val="center"/>
                </w:tcPr>
                <w:p w14:paraId="348D28BA">
                  <w:pPr>
                    <w:jc w:val="center"/>
                    <w:rPr>
                      <w:spacing w:val="6"/>
                      <w:sz w:val="18"/>
                      <w:szCs w:val="18"/>
                    </w:rPr>
                  </w:pPr>
                  <w:r>
                    <w:rPr>
                      <w:rFonts w:hint="eastAsia"/>
                      <w:spacing w:val="6"/>
                      <w:sz w:val="18"/>
                      <w:szCs w:val="18"/>
                    </w:rPr>
                    <w:t>17.2</w:t>
                  </w:r>
                </w:p>
              </w:tc>
              <w:tc>
                <w:tcPr>
                  <w:tcW w:w="297" w:type="pct"/>
                  <w:vAlign w:val="center"/>
                </w:tcPr>
                <w:p w14:paraId="7F551416">
                  <w:pPr>
                    <w:jc w:val="center"/>
                    <w:rPr>
                      <w:sz w:val="18"/>
                      <w:szCs w:val="18"/>
                    </w:rPr>
                  </w:pPr>
                  <w:r>
                    <w:rPr>
                      <w:rFonts w:hint="eastAsia"/>
                      <w:sz w:val="18"/>
                      <w:szCs w:val="18"/>
                    </w:rPr>
                    <w:t>1</w:t>
                  </w:r>
                </w:p>
              </w:tc>
            </w:tr>
            <w:tr w14:paraId="283724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restart"/>
                  <w:vAlign w:val="center"/>
                </w:tcPr>
                <w:p w14:paraId="269F42EC">
                  <w:pPr>
                    <w:jc w:val="center"/>
                    <w:rPr>
                      <w:spacing w:val="6"/>
                      <w:sz w:val="18"/>
                      <w:szCs w:val="18"/>
                    </w:rPr>
                  </w:pPr>
                  <w:r>
                    <w:rPr>
                      <w:rFonts w:hint="eastAsia"/>
                      <w:spacing w:val="6"/>
                      <w:sz w:val="18"/>
                      <w:szCs w:val="18"/>
                    </w:rPr>
                    <w:t>9</w:t>
                  </w:r>
                </w:p>
              </w:tc>
              <w:tc>
                <w:tcPr>
                  <w:tcW w:w="284" w:type="pct"/>
                  <w:vMerge w:val="continue"/>
                  <w:vAlign w:val="center"/>
                </w:tcPr>
                <w:p w14:paraId="69E7CDE3">
                  <w:pPr>
                    <w:jc w:val="center"/>
                    <w:rPr>
                      <w:spacing w:val="6"/>
                      <w:sz w:val="18"/>
                      <w:szCs w:val="18"/>
                    </w:rPr>
                  </w:pPr>
                </w:p>
              </w:tc>
              <w:tc>
                <w:tcPr>
                  <w:tcW w:w="361" w:type="pct"/>
                  <w:vMerge w:val="restart"/>
                  <w:vAlign w:val="center"/>
                </w:tcPr>
                <w:p w14:paraId="557991C8">
                  <w:pPr>
                    <w:jc w:val="center"/>
                    <w:rPr>
                      <w:spacing w:val="6"/>
                      <w:sz w:val="18"/>
                      <w:szCs w:val="18"/>
                    </w:rPr>
                  </w:pPr>
                  <w:r>
                    <w:rPr>
                      <w:spacing w:val="6"/>
                      <w:sz w:val="18"/>
                      <w:szCs w:val="18"/>
                    </w:rPr>
                    <w:t>灌装机</w:t>
                  </w:r>
                </w:p>
              </w:tc>
              <w:tc>
                <w:tcPr>
                  <w:tcW w:w="175" w:type="pct"/>
                  <w:vMerge w:val="restart"/>
                  <w:vAlign w:val="center"/>
                </w:tcPr>
                <w:p w14:paraId="3A49841B">
                  <w:pPr>
                    <w:jc w:val="center"/>
                    <w:rPr>
                      <w:spacing w:val="6"/>
                      <w:sz w:val="18"/>
                      <w:szCs w:val="18"/>
                    </w:rPr>
                  </w:pPr>
                  <w:r>
                    <w:rPr>
                      <w:rFonts w:hint="eastAsia"/>
                      <w:spacing w:val="6"/>
                      <w:sz w:val="18"/>
                      <w:szCs w:val="18"/>
                    </w:rPr>
                    <w:t>/</w:t>
                  </w:r>
                </w:p>
              </w:tc>
              <w:tc>
                <w:tcPr>
                  <w:tcW w:w="586" w:type="pct"/>
                  <w:vMerge w:val="restart"/>
                  <w:vAlign w:val="center"/>
                </w:tcPr>
                <w:p w14:paraId="54F0A2DF">
                  <w:pPr>
                    <w:jc w:val="center"/>
                    <w:rPr>
                      <w:spacing w:val="6"/>
                      <w:sz w:val="18"/>
                      <w:szCs w:val="18"/>
                    </w:rPr>
                  </w:pPr>
                  <w:r>
                    <w:rPr>
                      <w:rFonts w:hint="eastAsia"/>
                      <w:spacing w:val="6"/>
                      <w:sz w:val="18"/>
                      <w:szCs w:val="18"/>
                    </w:rPr>
                    <w:t>70/1</w:t>
                  </w:r>
                </w:p>
              </w:tc>
              <w:tc>
                <w:tcPr>
                  <w:tcW w:w="360" w:type="pct"/>
                  <w:vMerge w:val="continue"/>
                  <w:vAlign w:val="center"/>
                </w:tcPr>
                <w:p w14:paraId="3E2D6D57">
                  <w:pPr>
                    <w:jc w:val="center"/>
                    <w:rPr>
                      <w:spacing w:val="6"/>
                      <w:sz w:val="18"/>
                      <w:szCs w:val="18"/>
                    </w:rPr>
                  </w:pPr>
                </w:p>
              </w:tc>
              <w:tc>
                <w:tcPr>
                  <w:tcW w:w="226" w:type="pct"/>
                  <w:vMerge w:val="restart"/>
                  <w:vAlign w:val="center"/>
                </w:tcPr>
                <w:p w14:paraId="4749CCFB">
                  <w:pPr>
                    <w:jc w:val="center"/>
                    <w:rPr>
                      <w:spacing w:val="6"/>
                      <w:sz w:val="18"/>
                      <w:szCs w:val="18"/>
                    </w:rPr>
                  </w:pPr>
                  <w:r>
                    <w:rPr>
                      <w:rFonts w:hint="eastAsia"/>
                      <w:spacing w:val="6"/>
                      <w:sz w:val="18"/>
                      <w:szCs w:val="18"/>
                    </w:rPr>
                    <w:t>6</w:t>
                  </w:r>
                </w:p>
              </w:tc>
              <w:tc>
                <w:tcPr>
                  <w:tcW w:w="293" w:type="pct"/>
                  <w:vMerge w:val="restart"/>
                  <w:vAlign w:val="center"/>
                </w:tcPr>
                <w:p w14:paraId="15003A3E">
                  <w:pPr>
                    <w:jc w:val="center"/>
                    <w:rPr>
                      <w:spacing w:val="6"/>
                      <w:sz w:val="18"/>
                      <w:szCs w:val="18"/>
                    </w:rPr>
                  </w:pPr>
                  <w:r>
                    <w:rPr>
                      <w:rFonts w:hint="eastAsia"/>
                      <w:spacing w:val="6"/>
                      <w:sz w:val="18"/>
                      <w:szCs w:val="18"/>
                    </w:rPr>
                    <w:t>-22</w:t>
                  </w:r>
                </w:p>
              </w:tc>
              <w:tc>
                <w:tcPr>
                  <w:tcW w:w="235" w:type="pct"/>
                  <w:vMerge w:val="restart"/>
                  <w:vAlign w:val="center"/>
                </w:tcPr>
                <w:p w14:paraId="4A7BE2F2">
                  <w:pPr>
                    <w:jc w:val="center"/>
                    <w:rPr>
                      <w:spacing w:val="6"/>
                      <w:sz w:val="18"/>
                      <w:szCs w:val="18"/>
                    </w:rPr>
                  </w:pPr>
                  <w:r>
                    <w:rPr>
                      <w:rFonts w:hint="eastAsia"/>
                      <w:spacing w:val="6"/>
                      <w:sz w:val="18"/>
                      <w:szCs w:val="18"/>
                    </w:rPr>
                    <w:t>1.2</w:t>
                  </w:r>
                </w:p>
              </w:tc>
              <w:tc>
                <w:tcPr>
                  <w:tcW w:w="293" w:type="pct"/>
                  <w:vAlign w:val="center"/>
                </w:tcPr>
                <w:p w14:paraId="77D2FBB9">
                  <w:pPr>
                    <w:jc w:val="center"/>
                    <w:rPr>
                      <w:spacing w:val="6"/>
                      <w:sz w:val="18"/>
                      <w:szCs w:val="18"/>
                    </w:rPr>
                  </w:pPr>
                  <w:r>
                    <w:rPr>
                      <w:sz w:val="18"/>
                      <w:szCs w:val="18"/>
                    </w:rPr>
                    <w:t>东</w:t>
                  </w:r>
                </w:p>
              </w:tc>
              <w:tc>
                <w:tcPr>
                  <w:tcW w:w="293" w:type="pct"/>
                  <w:vAlign w:val="center"/>
                </w:tcPr>
                <w:p w14:paraId="37003B16">
                  <w:pPr>
                    <w:jc w:val="center"/>
                    <w:rPr>
                      <w:spacing w:val="6"/>
                      <w:sz w:val="18"/>
                      <w:szCs w:val="18"/>
                    </w:rPr>
                  </w:pPr>
                  <w:r>
                    <w:rPr>
                      <w:rFonts w:hint="eastAsia"/>
                      <w:spacing w:val="6"/>
                      <w:sz w:val="18"/>
                      <w:szCs w:val="18"/>
                    </w:rPr>
                    <w:t>13</w:t>
                  </w:r>
                </w:p>
              </w:tc>
              <w:tc>
                <w:tcPr>
                  <w:tcW w:w="410" w:type="pct"/>
                  <w:vAlign w:val="center"/>
                </w:tcPr>
                <w:p w14:paraId="0484EE21">
                  <w:pPr>
                    <w:jc w:val="center"/>
                    <w:rPr>
                      <w:spacing w:val="6"/>
                      <w:sz w:val="18"/>
                      <w:szCs w:val="18"/>
                    </w:rPr>
                  </w:pPr>
                  <w:r>
                    <w:rPr>
                      <w:rFonts w:hint="eastAsia"/>
                      <w:spacing w:val="6"/>
                      <w:sz w:val="18"/>
                      <w:szCs w:val="18"/>
                    </w:rPr>
                    <w:t>47.7</w:t>
                  </w:r>
                </w:p>
              </w:tc>
              <w:tc>
                <w:tcPr>
                  <w:tcW w:w="293" w:type="pct"/>
                  <w:vMerge w:val="restart"/>
                  <w:vAlign w:val="center"/>
                </w:tcPr>
                <w:p w14:paraId="50911CF5">
                  <w:pPr>
                    <w:jc w:val="center"/>
                    <w:rPr>
                      <w:spacing w:val="6"/>
                      <w:sz w:val="18"/>
                      <w:szCs w:val="18"/>
                    </w:rPr>
                  </w:pPr>
                  <w:r>
                    <w:rPr>
                      <w:rFonts w:hint="eastAsia"/>
                      <w:spacing w:val="6"/>
                      <w:sz w:val="18"/>
                      <w:szCs w:val="18"/>
                    </w:rPr>
                    <w:t>8h</w:t>
                  </w:r>
                </w:p>
              </w:tc>
              <w:tc>
                <w:tcPr>
                  <w:tcW w:w="353" w:type="pct"/>
                  <w:vMerge w:val="restart"/>
                  <w:vAlign w:val="center"/>
                </w:tcPr>
                <w:p w14:paraId="41001A68">
                  <w:pPr>
                    <w:jc w:val="center"/>
                    <w:rPr>
                      <w:spacing w:val="6"/>
                      <w:sz w:val="18"/>
                      <w:szCs w:val="18"/>
                    </w:rPr>
                  </w:pPr>
                  <w:r>
                    <w:rPr>
                      <w:rFonts w:hint="eastAsia"/>
                      <w:spacing w:val="6"/>
                      <w:sz w:val="18"/>
                      <w:szCs w:val="18"/>
                    </w:rPr>
                    <w:t>15</w:t>
                  </w:r>
                </w:p>
              </w:tc>
              <w:tc>
                <w:tcPr>
                  <w:tcW w:w="365" w:type="pct"/>
                  <w:vAlign w:val="center"/>
                </w:tcPr>
                <w:p w14:paraId="1E189C8B">
                  <w:pPr>
                    <w:jc w:val="center"/>
                    <w:rPr>
                      <w:spacing w:val="6"/>
                      <w:sz w:val="18"/>
                      <w:szCs w:val="18"/>
                    </w:rPr>
                  </w:pPr>
                  <w:r>
                    <w:rPr>
                      <w:rFonts w:hint="eastAsia"/>
                      <w:spacing w:val="6"/>
                      <w:sz w:val="18"/>
                      <w:szCs w:val="18"/>
                    </w:rPr>
                    <w:t>32.7</w:t>
                  </w:r>
                </w:p>
              </w:tc>
              <w:tc>
                <w:tcPr>
                  <w:tcW w:w="297" w:type="pct"/>
                  <w:vAlign w:val="center"/>
                </w:tcPr>
                <w:p w14:paraId="23A4AE6B">
                  <w:pPr>
                    <w:jc w:val="center"/>
                    <w:rPr>
                      <w:sz w:val="18"/>
                      <w:szCs w:val="18"/>
                    </w:rPr>
                  </w:pPr>
                  <w:r>
                    <w:rPr>
                      <w:rFonts w:hint="eastAsia"/>
                      <w:sz w:val="18"/>
                      <w:szCs w:val="18"/>
                    </w:rPr>
                    <w:t>1</w:t>
                  </w:r>
                </w:p>
              </w:tc>
            </w:tr>
            <w:tr w14:paraId="3B7AC1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70BFCC22">
                  <w:pPr>
                    <w:jc w:val="center"/>
                    <w:rPr>
                      <w:spacing w:val="6"/>
                      <w:sz w:val="18"/>
                      <w:szCs w:val="18"/>
                    </w:rPr>
                  </w:pPr>
                </w:p>
              </w:tc>
              <w:tc>
                <w:tcPr>
                  <w:tcW w:w="284" w:type="pct"/>
                  <w:vMerge w:val="continue"/>
                  <w:vAlign w:val="center"/>
                </w:tcPr>
                <w:p w14:paraId="6576E837">
                  <w:pPr>
                    <w:jc w:val="center"/>
                    <w:rPr>
                      <w:spacing w:val="6"/>
                      <w:sz w:val="18"/>
                      <w:szCs w:val="18"/>
                    </w:rPr>
                  </w:pPr>
                </w:p>
              </w:tc>
              <w:tc>
                <w:tcPr>
                  <w:tcW w:w="361" w:type="pct"/>
                  <w:vMerge w:val="continue"/>
                  <w:vAlign w:val="center"/>
                </w:tcPr>
                <w:p w14:paraId="4BE8853D">
                  <w:pPr>
                    <w:jc w:val="center"/>
                    <w:rPr>
                      <w:spacing w:val="6"/>
                      <w:sz w:val="18"/>
                      <w:szCs w:val="18"/>
                    </w:rPr>
                  </w:pPr>
                </w:p>
              </w:tc>
              <w:tc>
                <w:tcPr>
                  <w:tcW w:w="175" w:type="pct"/>
                  <w:vMerge w:val="continue"/>
                  <w:vAlign w:val="center"/>
                </w:tcPr>
                <w:p w14:paraId="0F96402F">
                  <w:pPr>
                    <w:jc w:val="center"/>
                    <w:rPr>
                      <w:spacing w:val="6"/>
                      <w:sz w:val="18"/>
                      <w:szCs w:val="18"/>
                    </w:rPr>
                  </w:pPr>
                </w:p>
              </w:tc>
              <w:tc>
                <w:tcPr>
                  <w:tcW w:w="586" w:type="pct"/>
                  <w:vMerge w:val="continue"/>
                  <w:vAlign w:val="center"/>
                </w:tcPr>
                <w:p w14:paraId="7B2956D4">
                  <w:pPr>
                    <w:jc w:val="center"/>
                    <w:rPr>
                      <w:spacing w:val="6"/>
                      <w:sz w:val="18"/>
                      <w:szCs w:val="18"/>
                    </w:rPr>
                  </w:pPr>
                </w:p>
              </w:tc>
              <w:tc>
                <w:tcPr>
                  <w:tcW w:w="360" w:type="pct"/>
                  <w:vMerge w:val="continue"/>
                  <w:vAlign w:val="center"/>
                </w:tcPr>
                <w:p w14:paraId="4FE5E88C">
                  <w:pPr>
                    <w:jc w:val="center"/>
                    <w:rPr>
                      <w:spacing w:val="6"/>
                      <w:sz w:val="18"/>
                      <w:szCs w:val="18"/>
                    </w:rPr>
                  </w:pPr>
                </w:p>
              </w:tc>
              <w:tc>
                <w:tcPr>
                  <w:tcW w:w="226" w:type="pct"/>
                  <w:vMerge w:val="continue"/>
                  <w:vAlign w:val="center"/>
                </w:tcPr>
                <w:p w14:paraId="4D71108F">
                  <w:pPr>
                    <w:jc w:val="center"/>
                    <w:rPr>
                      <w:spacing w:val="6"/>
                      <w:sz w:val="18"/>
                      <w:szCs w:val="18"/>
                    </w:rPr>
                  </w:pPr>
                </w:p>
              </w:tc>
              <w:tc>
                <w:tcPr>
                  <w:tcW w:w="293" w:type="pct"/>
                  <w:vMerge w:val="continue"/>
                  <w:vAlign w:val="center"/>
                </w:tcPr>
                <w:p w14:paraId="1D85799A">
                  <w:pPr>
                    <w:jc w:val="center"/>
                    <w:rPr>
                      <w:spacing w:val="6"/>
                      <w:sz w:val="18"/>
                      <w:szCs w:val="18"/>
                    </w:rPr>
                  </w:pPr>
                </w:p>
              </w:tc>
              <w:tc>
                <w:tcPr>
                  <w:tcW w:w="235" w:type="pct"/>
                  <w:vMerge w:val="continue"/>
                  <w:vAlign w:val="center"/>
                </w:tcPr>
                <w:p w14:paraId="3336C08D">
                  <w:pPr>
                    <w:jc w:val="center"/>
                    <w:rPr>
                      <w:spacing w:val="6"/>
                      <w:sz w:val="18"/>
                      <w:szCs w:val="18"/>
                    </w:rPr>
                  </w:pPr>
                </w:p>
              </w:tc>
              <w:tc>
                <w:tcPr>
                  <w:tcW w:w="293" w:type="pct"/>
                  <w:vAlign w:val="center"/>
                </w:tcPr>
                <w:p w14:paraId="3F78964D">
                  <w:pPr>
                    <w:jc w:val="center"/>
                    <w:rPr>
                      <w:spacing w:val="6"/>
                      <w:sz w:val="18"/>
                      <w:szCs w:val="18"/>
                    </w:rPr>
                  </w:pPr>
                  <w:r>
                    <w:rPr>
                      <w:spacing w:val="6"/>
                      <w:sz w:val="18"/>
                      <w:szCs w:val="18"/>
                    </w:rPr>
                    <w:t>南</w:t>
                  </w:r>
                </w:p>
              </w:tc>
              <w:tc>
                <w:tcPr>
                  <w:tcW w:w="293" w:type="pct"/>
                  <w:vAlign w:val="center"/>
                </w:tcPr>
                <w:p w14:paraId="4A31CA5E">
                  <w:pPr>
                    <w:jc w:val="center"/>
                    <w:rPr>
                      <w:spacing w:val="6"/>
                      <w:sz w:val="18"/>
                      <w:szCs w:val="18"/>
                    </w:rPr>
                  </w:pPr>
                  <w:r>
                    <w:rPr>
                      <w:rFonts w:hint="eastAsia"/>
                      <w:spacing w:val="6"/>
                      <w:sz w:val="18"/>
                      <w:szCs w:val="18"/>
                    </w:rPr>
                    <w:t>33</w:t>
                  </w:r>
                </w:p>
              </w:tc>
              <w:tc>
                <w:tcPr>
                  <w:tcW w:w="410" w:type="pct"/>
                  <w:vAlign w:val="center"/>
                </w:tcPr>
                <w:p w14:paraId="5B94329F">
                  <w:pPr>
                    <w:jc w:val="center"/>
                    <w:rPr>
                      <w:spacing w:val="6"/>
                      <w:sz w:val="18"/>
                      <w:szCs w:val="18"/>
                    </w:rPr>
                  </w:pPr>
                  <w:r>
                    <w:rPr>
                      <w:rFonts w:hint="eastAsia"/>
                      <w:spacing w:val="6"/>
                      <w:sz w:val="18"/>
                      <w:szCs w:val="18"/>
                    </w:rPr>
                    <w:t>39.6</w:t>
                  </w:r>
                </w:p>
              </w:tc>
              <w:tc>
                <w:tcPr>
                  <w:tcW w:w="293" w:type="pct"/>
                  <w:vMerge w:val="continue"/>
                  <w:vAlign w:val="center"/>
                </w:tcPr>
                <w:p w14:paraId="23B7A8D6">
                  <w:pPr>
                    <w:jc w:val="center"/>
                    <w:rPr>
                      <w:spacing w:val="6"/>
                      <w:sz w:val="18"/>
                      <w:szCs w:val="18"/>
                    </w:rPr>
                  </w:pPr>
                </w:p>
              </w:tc>
              <w:tc>
                <w:tcPr>
                  <w:tcW w:w="353" w:type="pct"/>
                  <w:vMerge w:val="continue"/>
                  <w:vAlign w:val="center"/>
                </w:tcPr>
                <w:p w14:paraId="27BB3E9B">
                  <w:pPr>
                    <w:jc w:val="center"/>
                    <w:rPr>
                      <w:spacing w:val="6"/>
                      <w:sz w:val="18"/>
                      <w:szCs w:val="18"/>
                    </w:rPr>
                  </w:pPr>
                </w:p>
              </w:tc>
              <w:tc>
                <w:tcPr>
                  <w:tcW w:w="365" w:type="pct"/>
                  <w:vAlign w:val="center"/>
                </w:tcPr>
                <w:p w14:paraId="6FE9170F">
                  <w:pPr>
                    <w:jc w:val="center"/>
                    <w:rPr>
                      <w:spacing w:val="6"/>
                      <w:sz w:val="18"/>
                      <w:szCs w:val="18"/>
                    </w:rPr>
                  </w:pPr>
                  <w:r>
                    <w:rPr>
                      <w:rFonts w:hint="eastAsia"/>
                      <w:spacing w:val="6"/>
                      <w:sz w:val="18"/>
                      <w:szCs w:val="18"/>
                    </w:rPr>
                    <w:t>24.6</w:t>
                  </w:r>
                </w:p>
              </w:tc>
              <w:tc>
                <w:tcPr>
                  <w:tcW w:w="297" w:type="pct"/>
                  <w:vAlign w:val="center"/>
                </w:tcPr>
                <w:p w14:paraId="70E5BFB3">
                  <w:pPr>
                    <w:jc w:val="center"/>
                    <w:rPr>
                      <w:sz w:val="18"/>
                      <w:szCs w:val="18"/>
                    </w:rPr>
                  </w:pPr>
                  <w:r>
                    <w:rPr>
                      <w:rFonts w:hint="eastAsia"/>
                      <w:sz w:val="18"/>
                      <w:szCs w:val="18"/>
                    </w:rPr>
                    <w:t>1</w:t>
                  </w:r>
                </w:p>
              </w:tc>
            </w:tr>
            <w:tr w14:paraId="29AEDA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2457515F">
                  <w:pPr>
                    <w:jc w:val="center"/>
                    <w:rPr>
                      <w:spacing w:val="6"/>
                      <w:sz w:val="18"/>
                      <w:szCs w:val="18"/>
                    </w:rPr>
                  </w:pPr>
                </w:p>
              </w:tc>
              <w:tc>
                <w:tcPr>
                  <w:tcW w:w="284" w:type="pct"/>
                  <w:vMerge w:val="continue"/>
                  <w:vAlign w:val="center"/>
                </w:tcPr>
                <w:p w14:paraId="00DC0984">
                  <w:pPr>
                    <w:jc w:val="center"/>
                    <w:rPr>
                      <w:spacing w:val="6"/>
                      <w:sz w:val="18"/>
                      <w:szCs w:val="18"/>
                    </w:rPr>
                  </w:pPr>
                </w:p>
              </w:tc>
              <w:tc>
                <w:tcPr>
                  <w:tcW w:w="361" w:type="pct"/>
                  <w:vMerge w:val="continue"/>
                  <w:vAlign w:val="center"/>
                </w:tcPr>
                <w:p w14:paraId="519747FF">
                  <w:pPr>
                    <w:jc w:val="center"/>
                    <w:rPr>
                      <w:spacing w:val="6"/>
                      <w:sz w:val="18"/>
                      <w:szCs w:val="18"/>
                    </w:rPr>
                  </w:pPr>
                </w:p>
              </w:tc>
              <w:tc>
                <w:tcPr>
                  <w:tcW w:w="175" w:type="pct"/>
                  <w:vMerge w:val="continue"/>
                  <w:vAlign w:val="center"/>
                </w:tcPr>
                <w:p w14:paraId="3FBD8FAE">
                  <w:pPr>
                    <w:jc w:val="center"/>
                    <w:rPr>
                      <w:spacing w:val="6"/>
                      <w:sz w:val="18"/>
                      <w:szCs w:val="18"/>
                    </w:rPr>
                  </w:pPr>
                </w:p>
              </w:tc>
              <w:tc>
                <w:tcPr>
                  <w:tcW w:w="586" w:type="pct"/>
                  <w:vMerge w:val="continue"/>
                  <w:vAlign w:val="center"/>
                </w:tcPr>
                <w:p w14:paraId="41301E54">
                  <w:pPr>
                    <w:jc w:val="center"/>
                    <w:rPr>
                      <w:spacing w:val="6"/>
                      <w:sz w:val="18"/>
                      <w:szCs w:val="18"/>
                    </w:rPr>
                  </w:pPr>
                </w:p>
              </w:tc>
              <w:tc>
                <w:tcPr>
                  <w:tcW w:w="360" w:type="pct"/>
                  <w:vMerge w:val="continue"/>
                  <w:vAlign w:val="center"/>
                </w:tcPr>
                <w:p w14:paraId="79F84C9F">
                  <w:pPr>
                    <w:jc w:val="center"/>
                    <w:rPr>
                      <w:spacing w:val="6"/>
                      <w:sz w:val="18"/>
                      <w:szCs w:val="18"/>
                    </w:rPr>
                  </w:pPr>
                </w:p>
              </w:tc>
              <w:tc>
                <w:tcPr>
                  <w:tcW w:w="226" w:type="pct"/>
                  <w:vMerge w:val="continue"/>
                  <w:vAlign w:val="center"/>
                </w:tcPr>
                <w:p w14:paraId="43816F34">
                  <w:pPr>
                    <w:jc w:val="center"/>
                    <w:rPr>
                      <w:spacing w:val="6"/>
                      <w:sz w:val="18"/>
                      <w:szCs w:val="18"/>
                    </w:rPr>
                  </w:pPr>
                </w:p>
              </w:tc>
              <w:tc>
                <w:tcPr>
                  <w:tcW w:w="293" w:type="pct"/>
                  <w:vMerge w:val="continue"/>
                  <w:vAlign w:val="center"/>
                </w:tcPr>
                <w:p w14:paraId="297CBD32">
                  <w:pPr>
                    <w:jc w:val="center"/>
                    <w:rPr>
                      <w:spacing w:val="6"/>
                      <w:sz w:val="18"/>
                      <w:szCs w:val="18"/>
                    </w:rPr>
                  </w:pPr>
                </w:p>
              </w:tc>
              <w:tc>
                <w:tcPr>
                  <w:tcW w:w="235" w:type="pct"/>
                  <w:vMerge w:val="continue"/>
                  <w:vAlign w:val="center"/>
                </w:tcPr>
                <w:p w14:paraId="1E839003">
                  <w:pPr>
                    <w:jc w:val="center"/>
                    <w:rPr>
                      <w:spacing w:val="6"/>
                      <w:sz w:val="18"/>
                      <w:szCs w:val="18"/>
                    </w:rPr>
                  </w:pPr>
                </w:p>
              </w:tc>
              <w:tc>
                <w:tcPr>
                  <w:tcW w:w="293" w:type="pct"/>
                  <w:vAlign w:val="center"/>
                </w:tcPr>
                <w:p w14:paraId="12AFC0FC">
                  <w:pPr>
                    <w:jc w:val="center"/>
                    <w:rPr>
                      <w:spacing w:val="6"/>
                      <w:sz w:val="18"/>
                      <w:szCs w:val="18"/>
                    </w:rPr>
                  </w:pPr>
                  <w:r>
                    <w:rPr>
                      <w:spacing w:val="6"/>
                      <w:sz w:val="18"/>
                      <w:szCs w:val="18"/>
                    </w:rPr>
                    <w:t>西</w:t>
                  </w:r>
                </w:p>
              </w:tc>
              <w:tc>
                <w:tcPr>
                  <w:tcW w:w="293" w:type="pct"/>
                  <w:vAlign w:val="center"/>
                </w:tcPr>
                <w:p w14:paraId="37F4CC52">
                  <w:pPr>
                    <w:jc w:val="center"/>
                    <w:rPr>
                      <w:spacing w:val="6"/>
                      <w:sz w:val="18"/>
                      <w:szCs w:val="18"/>
                    </w:rPr>
                  </w:pPr>
                  <w:r>
                    <w:rPr>
                      <w:rFonts w:hint="eastAsia"/>
                      <w:spacing w:val="6"/>
                      <w:sz w:val="18"/>
                      <w:szCs w:val="18"/>
                    </w:rPr>
                    <w:t>34</w:t>
                  </w:r>
                </w:p>
              </w:tc>
              <w:tc>
                <w:tcPr>
                  <w:tcW w:w="410" w:type="pct"/>
                  <w:vAlign w:val="center"/>
                </w:tcPr>
                <w:p w14:paraId="4751DCD6">
                  <w:pPr>
                    <w:jc w:val="center"/>
                    <w:rPr>
                      <w:spacing w:val="6"/>
                      <w:sz w:val="18"/>
                      <w:szCs w:val="18"/>
                    </w:rPr>
                  </w:pPr>
                  <w:r>
                    <w:rPr>
                      <w:rFonts w:hint="eastAsia"/>
                      <w:spacing w:val="6"/>
                      <w:sz w:val="18"/>
                      <w:szCs w:val="18"/>
                    </w:rPr>
                    <w:t>39.4</w:t>
                  </w:r>
                </w:p>
              </w:tc>
              <w:tc>
                <w:tcPr>
                  <w:tcW w:w="293" w:type="pct"/>
                  <w:vMerge w:val="continue"/>
                  <w:vAlign w:val="center"/>
                </w:tcPr>
                <w:p w14:paraId="086BFB1E">
                  <w:pPr>
                    <w:jc w:val="center"/>
                    <w:rPr>
                      <w:spacing w:val="6"/>
                      <w:sz w:val="18"/>
                      <w:szCs w:val="18"/>
                    </w:rPr>
                  </w:pPr>
                </w:p>
              </w:tc>
              <w:tc>
                <w:tcPr>
                  <w:tcW w:w="353" w:type="pct"/>
                  <w:vMerge w:val="continue"/>
                  <w:vAlign w:val="center"/>
                </w:tcPr>
                <w:p w14:paraId="5CE95C1E">
                  <w:pPr>
                    <w:jc w:val="center"/>
                    <w:rPr>
                      <w:spacing w:val="6"/>
                      <w:sz w:val="18"/>
                      <w:szCs w:val="18"/>
                    </w:rPr>
                  </w:pPr>
                </w:p>
              </w:tc>
              <w:tc>
                <w:tcPr>
                  <w:tcW w:w="365" w:type="pct"/>
                  <w:vAlign w:val="center"/>
                </w:tcPr>
                <w:p w14:paraId="00A34F0D">
                  <w:pPr>
                    <w:jc w:val="center"/>
                    <w:rPr>
                      <w:spacing w:val="6"/>
                      <w:sz w:val="18"/>
                      <w:szCs w:val="18"/>
                    </w:rPr>
                  </w:pPr>
                  <w:r>
                    <w:rPr>
                      <w:rFonts w:hint="eastAsia"/>
                      <w:spacing w:val="6"/>
                      <w:sz w:val="18"/>
                      <w:szCs w:val="18"/>
                    </w:rPr>
                    <w:t>24.4</w:t>
                  </w:r>
                </w:p>
              </w:tc>
              <w:tc>
                <w:tcPr>
                  <w:tcW w:w="297" w:type="pct"/>
                  <w:vAlign w:val="center"/>
                </w:tcPr>
                <w:p w14:paraId="34275782">
                  <w:pPr>
                    <w:jc w:val="center"/>
                    <w:rPr>
                      <w:sz w:val="18"/>
                      <w:szCs w:val="18"/>
                    </w:rPr>
                  </w:pPr>
                  <w:r>
                    <w:rPr>
                      <w:rFonts w:hint="eastAsia"/>
                      <w:sz w:val="18"/>
                      <w:szCs w:val="18"/>
                    </w:rPr>
                    <w:t>1</w:t>
                  </w:r>
                </w:p>
              </w:tc>
            </w:tr>
            <w:tr w14:paraId="789DA3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77EB7F5F">
                  <w:pPr>
                    <w:jc w:val="center"/>
                    <w:rPr>
                      <w:spacing w:val="6"/>
                      <w:sz w:val="18"/>
                      <w:szCs w:val="18"/>
                    </w:rPr>
                  </w:pPr>
                </w:p>
              </w:tc>
              <w:tc>
                <w:tcPr>
                  <w:tcW w:w="284" w:type="pct"/>
                  <w:vMerge w:val="continue"/>
                  <w:vAlign w:val="center"/>
                </w:tcPr>
                <w:p w14:paraId="174CBBF7">
                  <w:pPr>
                    <w:jc w:val="center"/>
                    <w:rPr>
                      <w:spacing w:val="6"/>
                      <w:sz w:val="18"/>
                      <w:szCs w:val="18"/>
                    </w:rPr>
                  </w:pPr>
                </w:p>
              </w:tc>
              <w:tc>
                <w:tcPr>
                  <w:tcW w:w="361" w:type="pct"/>
                  <w:vMerge w:val="continue"/>
                  <w:vAlign w:val="center"/>
                </w:tcPr>
                <w:p w14:paraId="3ED79B98">
                  <w:pPr>
                    <w:jc w:val="center"/>
                    <w:rPr>
                      <w:spacing w:val="6"/>
                      <w:sz w:val="18"/>
                      <w:szCs w:val="18"/>
                    </w:rPr>
                  </w:pPr>
                </w:p>
              </w:tc>
              <w:tc>
                <w:tcPr>
                  <w:tcW w:w="175" w:type="pct"/>
                  <w:vMerge w:val="continue"/>
                  <w:vAlign w:val="center"/>
                </w:tcPr>
                <w:p w14:paraId="6CA4769A">
                  <w:pPr>
                    <w:jc w:val="center"/>
                    <w:rPr>
                      <w:spacing w:val="6"/>
                      <w:sz w:val="18"/>
                      <w:szCs w:val="18"/>
                    </w:rPr>
                  </w:pPr>
                </w:p>
              </w:tc>
              <w:tc>
                <w:tcPr>
                  <w:tcW w:w="586" w:type="pct"/>
                  <w:vMerge w:val="continue"/>
                  <w:vAlign w:val="center"/>
                </w:tcPr>
                <w:p w14:paraId="37F6CC98">
                  <w:pPr>
                    <w:jc w:val="center"/>
                    <w:rPr>
                      <w:spacing w:val="6"/>
                      <w:sz w:val="18"/>
                      <w:szCs w:val="18"/>
                    </w:rPr>
                  </w:pPr>
                </w:p>
              </w:tc>
              <w:tc>
                <w:tcPr>
                  <w:tcW w:w="360" w:type="pct"/>
                  <w:vMerge w:val="continue"/>
                  <w:vAlign w:val="center"/>
                </w:tcPr>
                <w:p w14:paraId="3D7F20A2">
                  <w:pPr>
                    <w:jc w:val="center"/>
                    <w:rPr>
                      <w:spacing w:val="6"/>
                      <w:sz w:val="18"/>
                      <w:szCs w:val="18"/>
                    </w:rPr>
                  </w:pPr>
                </w:p>
              </w:tc>
              <w:tc>
                <w:tcPr>
                  <w:tcW w:w="226" w:type="pct"/>
                  <w:vMerge w:val="continue"/>
                  <w:vAlign w:val="center"/>
                </w:tcPr>
                <w:p w14:paraId="26C3A16F">
                  <w:pPr>
                    <w:jc w:val="center"/>
                    <w:rPr>
                      <w:spacing w:val="6"/>
                      <w:sz w:val="18"/>
                      <w:szCs w:val="18"/>
                    </w:rPr>
                  </w:pPr>
                </w:p>
              </w:tc>
              <w:tc>
                <w:tcPr>
                  <w:tcW w:w="293" w:type="pct"/>
                  <w:vMerge w:val="continue"/>
                  <w:vAlign w:val="center"/>
                </w:tcPr>
                <w:p w14:paraId="76D4A29B">
                  <w:pPr>
                    <w:jc w:val="center"/>
                    <w:rPr>
                      <w:spacing w:val="6"/>
                      <w:sz w:val="18"/>
                      <w:szCs w:val="18"/>
                    </w:rPr>
                  </w:pPr>
                </w:p>
              </w:tc>
              <w:tc>
                <w:tcPr>
                  <w:tcW w:w="235" w:type="pct"/>
                  <w:vMerge w:val="continue"/>
                  <w:vAlign w:val="center"/>
                </w:tcPr>
                <w:p w14:paraId="7C9E42A1">
                  <w:pPr>
                    <w:jc w:val="center"/>
                    <w:rPr>
                      <w:spacing w:val="6"/>
                      <w:sz w:val="18"/>
                      <w:szCs w:val="18"/>
                    </w:rPr>
                  </w:pPr>
                </w:p>
              </w:tc>
              <w:tc>
                <w:tcPr>
                  <w:tcW w:w="293" w:type="pct"/>
                  <w:vAlign w:val="center"/>
                </w:tcPr>
                <w:p w14:paraId="11DD9655">
                  <w:pPr>
                    <w:jc w:val="center"/>
                    <w:rPr>
                      <w:spacing w:val="6"/>
                      <w:sz w:val="18"/>
                      <w:szCs w:val="18"/>
                    </w:rPr>
                  </w:pPr>
                  <w:r>
                    <w:rPr>
                      <w:spacing w:val="6"/>
                      <w:sz w:val="18"/>
                      <w:szCs w:val="18"/>
                    </w:rPr>
                    <w:t>北</w:t>
                  </w:r>
                </w:p>
              </w:tc>
              <w:tc>
                <w:tcPr>
                  <w:tcW w:w="293" w:type="pct"/>
                  <w:vAlign w:val="center"/>
                </w:tcPr>
                <w:p w14:paraId="4A51292B">
                  <w:pPr>
                    <w:jc w:val="center"/>
                    <w:rPr>
                      <w:spacing w:val="6"/>
                      <w:sz w:val="18"/>
                      <w:szCs w:val="18"/>
                    </w:rPr>
                  </w:pPr>
                  <w:r>
                    <w:rPr>
                      <w:rFonts w:hint="eastAsia"/>
                      <w:spacing w:val="6"/>
                      <w:sz w:val="18"/>
                      <w:szCs w:val="18"/>
                    </w:rPr>
                    <w:t>80</w:t>
                  </w:r>
                </w:p>
              </w:tc>
              <w:tc>
                <w:tcPr>
                  <w:tcW w:w="410" w:type="pct"/>
                  <w:vAlign w:val="center"/>
                </w:tcPr>
                <w:p w14:paraId="0B4AAC96">
                  <w:pPr>
                    <w:jc w:val="center"/>
                    <w:rPr>
                      <w:spacing w:val="6"/>
                      <w:sz w:val="18"/>
                      <w:szCs w:val="18"/>
                    </w:rPr>
                  </w:pPr>
                  <w:r>
                    <w:rPr>
                      <w:rFonts w:hint="eastAsia"/>
                      <w:spacing w:val="6"/>
                      <w:sz w:val="18"/>
                      <w:szCs w:val="18"/>
                    </w:rPr>
                    <w:t>31.9</w:t>
                  </w:r>
                </w:p>
              </w:tc>
              <w:tc>
                <w:tcPr>
                  <w:tcW w:w="293" w:type="pct"/>
                  <w:vMerge w:val="continue"/>
                  <w:vAlign w:val="center"/>
                </w:tcPr>
                <w:p w14:paraId="2EC94230">
                  <w:pPr>
                    <w:jc w:val="center"/>
                    <w:rPr>
                      <w:spacing w:val="6"/>
                      <w:sz w:val="18"/>
                      <w:szCs w:val="18"/>
                    </w:rPr>
                  </w:pPr>
                </w:p>
              </w:tc>
              <w:tc>
                <w:tcPr>
                  <w:tcW w:w="353" w:type="pct"/>
                  <w:vMerge w:val="continue"/>
                  <w:vAlign w:val="center"/>
                </w:tcPr>
                <w:p w14:paraId="2EB5CFB7">
                  <w:pPr>
                    <w:jc w:val="center"/>
                    <w:rPr>
                      <w:spacing w:val="6"/>
                      <w:sz w:val="18"/>
                      <w:szCs w:val="18"/>
                    </w:rPr>
                  </w:pPr>
                </w:p>
              </w:tc>
              <w:tc>
                <w:tcPr>
                  <w:tcW w:w="365" w:type="pct"/>
                  <w:vAlign w:val="center"/>
                </w:tcPr>
                <w:p w14:paraId="07657C0D">
                  <w:pPr>
                    <w:jc w:val="center"/>
                    <w:rPr>
                      <w:spacing w:val="6"/>
                      <w:sz w:val="18"/>
                      <w:szCs w:val="18"/>
                    </w:rPr>
                  </w:pPr>
                  <w:r>
                    <w:rPr>
                      <w:rFonts w:hint="eastAsia"/>
                      <w:spacing w:val="6"/>
                      <w:sz w:val="18"/>
                      <w:szCs w:val="18"/>
                    </w:rPr>
                    <w:t>16.9</w:t>
                  </w:r>
                </w:p>
              </w:tc>
              <w:tc>
                <w:tcPr>
                  <w:tcW w:w="297" w:type="pct"/>
                  <w:vAlign w:val="center"/>
                </w:tcPr>
                <w:p w14:paraId="04802F64">
                  <w:pPr>
                    <w:jc w:val="center"/>
                    <w:rPr>
                      <w:sz w:val="18"/>
                      <w:szCs w:val="18"/>
                    </w:rPr>
                  </w:pPr>
                  <w:r>
                    <w:rPr>
                      <w:rFonts w:hint="eastAsia"/>
                      <w:sz w:val="18"/>
                      <w:szCs w:val="18"/>
                    </w:rPr>
                    <w:t>1</w:t>
                  </w:r>
                </w:p>
              </w:tc>
            </w:tr>
            <w:tr w14:paraId="159E51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restart"/>
                  <w:vAlign w:val="center"/>
                </w:tcPr>
                <w:p w14:paraId="544ABF11">
                  <w:pPr>
                    <w:jc w:val="center"/>
                    <w:rPr>
                      <w:spacing w:val="6"/>
                      <w:sz w:val="18"/>
                      <w:szCs w:val="18"/>
                    </w:rPr>
                  </w:pPr>
                  <w:r>
                    <w:rPr>
                      <w:rFonts w:hint="eastAsia"/>
                      <w:spacing w:val="6"/>
                      <w:sz w:val="18"/>
                      <w:szCs w:val="18"/>
                    </w:rPr>
                    <w:t>10</w:t>
                  </w:r>
                </w:p>
              </w:tc>
              <w:tc>
                <w:tcPr>
                  <w:tcW w:w="284" w:type="pct"/>
                  <w:vMerge w:val="continue"/>
                  <w:vAlign w:val="center"/>
                </w:tcPr>
                <w:p w14:paraId="630B0C95">
                  <w:pPr>
                    <w:jc w:val="center"/>
                    <w:rPr>
                      <w:spacing w:val="6"/>
                      <w:sz w:val="18"/>
                      <w:szCs w:val="18"/>
                    </w:rPr>
                  </w:pPr>
                </w:p>
              </w:tc>
              <w:tc>
                <w:tcPr>
                  <w:tcW w:w="361" w:type="pct"/>
                  <w:vMerge w:val="restart"/>
                  <w:vAlign w:val="center"/>
                </w:tcPr>
                <w:p w14:paraId="6BCBC449">
                  <w:pPr>
                    <w:jc w:val="center"/>
                    <w:rPr>
                      <w:spacing w:val="6"/>
                      <w:sz w:val="18"/>
                      <w:szCs w:val="18"/>
                    </w:rPr>
                  </w:pPr>
                  <w:r>
                    <w:rPr>
                      <w:rFonts w:hint="eastAsia"/>
                      <w:spacing w:val="6"/>
                      <w:sz w:val="18"/>
                      <w:szCs w:val="18"/>
                    </w:rPr>
                    <w:t>铝框</w:t>
                  </w:r>
                  <w:r>
                    <w:rPr>
                      <w:spacing w:val="6"/>
                      <w:sz w:val="18"/>
                      <w:szCs w:val="18"/>
                    </w:rPr>
                    <w:t>输送机</w:t>
                  </w:r>
                </w:p>
              </w:tc>
              <w:tc>
                <w:tcPr>
                  <w:tcW w:w="175" w:type="pct"/>
                  <w:vMerge w:val="restart"/>
                  <w:vAlign w:val="center"/>
                </w:tcPr>
                <w:p w14:paraId="5BA628CB">
                  <w:pPr>
                    <w:jc w:val="center"/>
                    <w:rPr>
                      <w:spacing w:val="6"/>
                      <w:sz w:val="18"/>
                      <w:szCs w:val="18"/>
                    </w:rPr>
                  </w:pPr>
                  <w:r>
                    <w:rPr>
                      <w:rFonts w:hint="eastAsia"/>
                      <w:spacing w:val="6"/>
                      <w:sz w:val="18"/>
                      <w:szCs w:val="18"/>
                    </w:rPr>
                    <w:t>/</w:t>
                  </w:r>
                </w:p>
              </w:tc>
              <w:tc>
                <w:tcPr>
                  <w:tcW w:w="586" w:type="pct"/>
                  <w:vMerge w:val="restart"/>
                  <w:vAlign w:val="center"/>
                </w:tcPr>
                <w:p w14:paraId="21EDE07F">
                  <w:pPr>
                    <w:jc w:val="center"/>
                    <w:rPr>
                      <w:spacing w:val="6"/>
                      <w:sz w:val="18"/>
                      <w:szCs w:val="18"/>
                    </w:rPr>
                  </w:pPr>
                  <w:r>
                    <w:rPr>
                      <w:rFonts w:hint="eastAsia"/>
                      <w:spacing w:val="6"/>
                      <w:sz w:val="18"/>
                      <w:szCs w:val="18"/>
                    </w:rPr>
                    <w:t>70/1</w:t>
                  </w:r>
                </w:p>
              </w:tc>
              <w:tc>
                <w:tcPr>
                  <w:tcW w:w="360" w:type="pct"/>
                  <w:vMerge w:val="continue"/>
                  <w:vAlign w:val="center"/>
                </w:tcPr>
                <w:p w14:paraId="6B6E0F99">
                  <w:pPr>
                    <w:jc w:val="center"/>
                    <w:rPr>
                      <w:spacing w:val="6"/>
                      <w:sz w:val="18"/>
                      <w:szCs w:val="18"/>
                    </w:rPr>
                  </w:pPr>
                </w:p>
              </w:tc>
              <w:tc>
                <w:tcPr>
                  <w:tcW w:w="226" w:type="pct"/>
                  <w:vMerge w:val="restart"/>
                  <w:vAlign w:val="center"/>
                </w:tcPr>
                <w:p w14:paraId="1D7A766C">
                  <w:pPr>
                    <w:jc w:val="center"/>
                    <w:rPr>
                      <w:spacing w:val="6"/>
                      <w:sz w:val="18"/>
                      <w:szCs w:val="18"/>
                    </w:rPr>
                  </w:pPr>
                  <w:r>
                    <w:rPr>
                      <w:rFonts w:hint="eastAsia"/>
                      <w:spacing w:val="6"/>
                      <w:sz w:val="18"/>
                      <w:szCs w:val="18"/>
                    </w:rPr>
                    <w:t>6</w:t>
                  </w:r>
                </w:p>
              </w:tc>
              <w:tc>
                <w:tcPr>
                  <w:tcW w:w="293" w:type="pct"/>
                  <w:vMerge w:val="restart"/>
                  <w:vAlign w:val="center"/>
                </w:tcPr>
                <w:p w14:paraId="6DFFF9BC">
                  <w:pPr>
                    <w:jc w:val="center"/>
                    <w:rPr>
                      <w:spacing w:val="6"/>
                      <w:sz w:val="18"/>
                      <w:szCs w:val="18"/>
                    </w:rPr>
                  </w:pPr>
                  <w:r>
                    <w:rPr>
                      <w:rFonts w:hint="eastAsia"/>
                      <w:spacing w:val="6"/>
                      <w:sz w:val="18"/>
                      <w:szCs w:val="18"/>
                    </w:rPr>
                    <w:t>-25</w:t>
                  </w:r>
                </w:p>
              </w:tc>
              <w:tc>
                <w:tcPr>
                  <w:tcW w:w="235" w:type="pct"/>
                  <w:vMerge w:val="restart"/>
                  <w:vAlign w:val="center"/>
                </w:tcPr>
                <w:p w14:paraId="31B4E070">
                  <w:pPr>
                    <w:jc w:val="center"/>
                    <w:rPr>
                      <w:spacing w:val="6"/>
                      <w:sz w:val="18"/>
                      <w:szCs w:val="18"/>
                    </w:rPr>
                  </w:pPr>
                  <w:r>
                    <w:rPr>
                      <w:rFonts w:hint="eastAsia"/>
                      <w:spacing w:val="6"/>
                      <w:sz w:val="18"/>
                      <w:szCs w:val="18"/>
                    </w:rPr>
                    <w:t>1.2</w:t>
                  </w:r>
                </w:p>
              </w:tc>
              <w:tc>
                <w:tcPr>
                  <w:tcW w:w="293" w:type="pct"/>
                  <w:vAlign w:val="center"/>
                </w:tcPr>
                <w:p w14:paraId="1783A280">
                  <w:pPr>
                    <w:jc w:val="center"/>
                    <w:rPr>
                      <w:spacing w:val="6"/>
                      <w:sz w:val="18"/>
                      <w:szCs w:val="18"/>
                    </w:rPr>
                  </w:pPr>
                  <w:r>
                    <w:rPr>
                      <w:sz w:val="18"/>
                      <w:szCs w:val="18"/>
                    </w:rPr>
                    <w:t>东</w:t>
                  </w:r>
                </w:p>
              </w:tc>
              <w:tc>
                <w:tcPr>
                  <w:tcW w:w="293" w:type="pct"/>
                  <w:vAlign w:val="center"/>
                </w:tcPr>
                <w:p w14:paraId="29D361E5">
                  <w:pPr>
                    <w:jc w:val="center"/>
                    <w:rPr>
                      <w:spacing w:val="6"/>
                      <w:sz w:val="18"/>
                      <w:szCs w:val="18"/>
                    </w:rPr>
                  </w:pPr>
                  <w:r>
                    <w:rPr>
                      <w:rFonts w:hint="eastAsia"/>
                      <w:spacing w:val="6"/>
                      <w:sz w:val="18"/>
                      <w:szCs w:val="18"/>
                    </w:rPr>
                    <w:t>13</w:t>
                  </w:r>
                </w:p>
              </w:tc>
              <w:tc>
                <w:tcPr>
                  <w:tcW w:w="410" w:type="pct"/>
                  <w:vAlign w:val="center"/>
                </w:tcPr>
                <w:p w14:paraId="77FAC2FD">
                  <w:pPr>
                    <w:jc w:val="center"/>
                    <w:rPr>
                      <w:spacing w:val="6"/>
                      <w:sz w:val="18"/>
                      <w:szCs w:val="18"/>
                    </w:rPr>
                  </w:pPr>
                  <w:r>
                    <w:rPr>
                      <w:rFonts w:hint="eastAsia"/>
                      <w:spacing w:val="6"/>
                      <w:sz w:val="18"/>
                      <w:szCs w:val="18"/>
                    </w:rPr>
                    <w:t>47.7</w:t>
                  </w:r>
                </w:p>
              </w:tc>
              <w:tc>
                <w:tcPr>
                  <w:tcW w:w="293" w:type="pct"/>
                  <w:vMerge w:val="restart"/>
                  <w:vAlign w:val="center"/>
                </w:tcPr>
                <w:p w14:paraId="7D176601">
                  <w:pPr>
                    <w:jc w:val="center"/>
                    <w:rPr>
                      <w:spacing w:val="6"/>
                      <w:sz w:val="18"/>
                      <w:szCs w:val="18"/>
                    </w:rPr>
                  </w:pPr>
                  <w:r>
                    <w:rPr>
                      <w:rFonts w:hint="eastAsia"/>
                      <w:spacing w:val="6"/>
                      <w:sz w:val="18"/>
                      <w:szCs w:val="18"/>
                    </w:rPr>
                    <w:t>8h</w:t>
                  </w:r>
                </w:p>
              </w:tc>
              <w:tc>
                <w:tcPr>
                  <w:tcW w:w="353" w:type="pct"/>
                  <w:vMerge w:val="restart"/>
                  <w:vAlign w:val="center"/>
                </w:tcPr>
                <w:p w14:paraId="3FA36350">
                  <w:pPr>
                    <w:jc w:val="center"/>
                    <w:rPr>
                      <w:spacing w:val="6"/>
                      <w:sz w:val="18"/>
                      <w:szCs w:val="18"/>
                    </w:rPr>
                  </w:pPr>
                  <w:r>
                    <w:rPr>
                      <w:rFonts w:hint="eastAsia"/>
                      <w:spacing w:val="6"/>
                      <w:sz w:val="18"/>
                      <w:szCs w:val="18"/>
                    </w:rPr>
                    <w:t>15</w:t>
                  </w:r>
                </w:p>
              </w:tc>
              <w:tc>
                <w:tcPr>
                  <w:tcW w:w="365" w:type="pct"/>
                  <w:vAlign w:val="center"/>
                </w:tcPr>
                <w:p w14:paraId="30695865">
                  <w:pPr>
                    <w:jc w:val="center"/>
                    <w:rPr>
                      <w:spacing w:val="6"/>
                      <w:sz w:val="18"/>
                      <w:szCs w:val="18"/>
                    </w:rPr>
                  </w:pPr>
                  <w:r>
                    <w:rPr>
                      <w:rFonts w:hint="eastAsia"/>
                      <w:spacing w:val="6"/>
                      <w:sz w:val="18"/>
                      <w:szCs w:val="18"/>
                    </w:rPr>
                    <w:t>32.7</w:t>
                  </w:r>
                </w:p>
              </w:tc>
              <w:tc>
                <w:tcPr>
                  <w:tcW w:w="297" w:type="pct"/>
                  <w:vAlign w:val="center"/>
                </w:tcPr>
                <w:p w14:paraId="0F3D1EDE">
                  <w:pPr>
                    <w:jc w:val="center"/>
                    <w:rPr>
                      <w:sz w:val="18"/>
                      <w:szCs w:val="18"/>
                    </w:rPr>
                  </w:pPr>
                  <w:r>
                    <w:rPr>
                      <w:rFonts w:hint="eastAsia"/>
                      <w:sz w:val="18"/>
                      <w:szCs w:val="18"/>
                    </w:rPr>
                    <w:t>1</w:t>
                  </w:r>
                </w:p>
              </w:tc>
            </w:tr>
            <w:tr w14:paraId="3247C0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250396E2">
                  <w:pPr>
                    <w:jc w:val="center"/>
                    <w:rPr>
                      <w:spacing w:val="6"/>
                      <w:sz w:val="18"/>
                      <w:szCs w:val="18"/>
                    </w:rPr>
                  </w:pPr>
                </w:p>
              </w:tc>
              <w:tc>
                <w:tcPr>
                  <w:tcW w:w="284" w:type="pct"/>
                  <w:vMerge w:val="continue"/>
                  <w:vAlign w:val="center"/>
                </w:tcPr>
                <w:p w14:paraId="4193C85B">
                  <w:pPr>
                    <w:jc w:val="center"/>
                    <w:rPr>
                      <w:spacing w:val="6"/>
                      <w:sz w:val="18"/>
                      <w:szCs w:val="18"/>
                    </w:rPr>
                  </w:pPr>
                </w:p>
              </w:tc>
              <w:tc>
                <w:tcPr>
                  <w:tcW w:w="361" w:type="pct"/>
                  <w:vMerge w:val="continue"/>
                  <w:vAlign w:val="center"/>
                </w:tcPr>
                <w:p w14:paraId="1A259DA9">
                  <w:pPr>
                    <w:jc w:val="center"/>
                    <w:rPr>
                      <w:spacing w:val="6"/>
                      <w:sz w:val="18"/>
                      <w:szCs w:val="18"/>
                    </w:rPr>
                  </w:pPr>
                </w:p>
              </w:tc>
              <w:tc>
                <w:tcPr>
                  <w:tcW w:w="175" w:type="pct"/>
                  <w:vMerge w:val="continue"/>
                  <w:vAlign w:val="center"/>
                </w:tcPr>
                <w:p w14:paraId="36E51CC7">
                  <w:pPr>
                    <w:jc w:val="center"/>
                    <w:rPr>
                      <w:spacing w:val="6"/>
                      <w:sz w:val="18"/>
                      <w:szCs w:val="18"/>
                    </w:rPr>
                  </w:pPr>
                </w:p>
              </w:tc>
              <w:tc>
                <w:tcPr>
                  <w:tcW w:w="586" w:type="pct"/>
                  <w:vMerge w:val="continue"/>
                  <w:vAlign w:val="center"/>
                </w:tcPr>
                <w:p w14:paraId="054EF04A">
                  <w:pPr>
                    <w:jc w:val="center"/>
                    <w:rPr>
                      <w:spacing w:val="6"/>
                      <w:sz w:val="18"/>
                      <w:szCs w:val="18"/>
                    </w:rPr>
                  </w:pPr>
                </w:p>
              </w:tc>
              <w:tc>
                <w:tcPr>
                  <w:tcW w:w="360" w:type="pct"/>
                  <w:vMerge w:val="continue"/>
                  <w:vAlign w:val="center"/>
                </w:tcPr>
                <w:p w14:paraId="7704E328">
                  <w:pPr>
                    <w:jc w:val="center"/>
                    <w:rPr>
                      <w:spacing w:val="6"/>
                      <w:sz w:val="18"/>
                      <w:szCs w:val="18"/>
                    </w:rPr>
                  </w:pPr>
                </w:p>
              </w:tc>
              <w:tc>
                <w:tcPr>
                  <w:tcW w:w="226" w:type="pct"/>
                  <w:vMerge w:val="continue"/>
                  <w:vAlign w:val="center"/>
                </w:tcPr>
                <w:p w14:paraId="5AF0205C">
                  <w:pPr>
                    <w:jc w:val="center"/>
                    <w:rPr>
                      <w:spacing w:val="6"/>
                      <w:sz w:val="18"/>
                      <w:szCs w:val="18"/>
                    </w:rPr>
                  </w:pPr>
                </w:p>
              </w:tc>
              <w:tc>
                <w:tcPr>
                  <w:tcW w:w="293" w:type="pct"/>
                  <w:vMerge w:val="continue"/>
                  <w:vAlign w:val="center"/>
                </w:tcPr>
                <w:p w14:paraId="3989B16A">
                  <w:pPr>
                    <w:jc w:val="center"/>
                    <w:rPr>
                      <w:spacing w:val="6"/>
                      <w:sz w:val="18"/>
                      <w:szCs w:val="18"/>
                    </w:rPr>
                  </w:pPr>
                </w:p>
              </w:tc>
              <w:tc>
                <w:tcPr>
                  <w:tcW w:w="235" w:type="pct"/>
                  <w:vMerge w:val="continue"/>
                  <w:vAlign w:val="center"/>
                </w:tcPr>
                <w:p w14:paraId="2ABBFA18">
                  <w:pPr>
                    <w:jc w:val="center"/>
                    <w:rPr>
                      <w:spacing w:val="6"/>
                      <w:sz w:val="18"/>
                      <w:szCs w:val="18"/>
                    </w:rPr>
                  </w:pPr>
                </w:p>
              </w:tc>
              <w:tc>
                <w:tcPr>
                  <w:tcW w:w="293" w:type="pct"/>
                  <w:vAlign w:val="center"/>
                </w:tcPr>
                <w:p w14:paraId="529D043B">
                  <w:pPr>
                    <w:jc w:val="center"/>
                    <w:rPr>
                      <w:spacing w:val="6"/>
                      <w:sz w:val="18"/>
                      <w:szCs w:val="18"/>
                    </w:rPr>
                  </w:pPr>
                  <w:r>
                    <w:rPr>
                      <w:spacing w:val="6"/>
                      <w:sz w:val="18"/>
                      <w:szCs w:val="18"/>
                    </w:rPr>
                    <w:t>南</w:t>
                  </w:r>
                </w:p>
              </w:tc>
              <w:tc>
                <w:tcPr>
                  <w:tcW w:w="293" w:type="pct"/>
                  <w:vAlign w:val="center"/>
                </w:tcPr>
                <w:p w14:paraId="195A58A4">
                  <w:pPr>
                    <w:jc w:val="center"/>
                    <w:rPr>
                      <w:spacing w:val="6"/>
                      <w:sz w:val="18"/>
                      <w:szCs w:val="18"/>
                    </w:rPr>
                  </w:pPr>
                  <w:r>
                    <w:rPr>
                      <w:rFonts w:hint="eastAsia"/>
                      <w:spacing w:val="6"/>
                      <w:sz w:val="18"/>
                      <w:szCs w:val="18"/>
                    </w:rPr>
                    <w:t>30</w:t>
                  </w:r>
                </w:p>
              </w:tc>
              <w:tc>
                <w:tcPr>
                  <w:tcW w:w="410" w:type="pct"/>
                  <w:vAlign w:val="center"/>
                </w:tcPr>
                <w:p w14:paraId="3823B842">
                  <w:pPr>
                    <w:jc w:val="center"/>
                    <w:rPr>
                      <w:spacing w:val="6"/>
                      <w:sz w:val="18"/>
                      <w:szCs w:val="18"/>
                    </w:rPr>
                  </w:pPr>
                  <w:r>
                    <w:rPr>
                      <w:rFonts w:hint="eastAsia"/>
                      <w:spacing w:val="6"/>
                      <w:sz w:val="18"/>
                      <w:szCs w:val="18"/>
                    </w:rPr>
                    <w:t>40.5</w:t>
                  </w:r>
                </w:p>
              </w:tc>
              <w:tc>
                <w:tcPr>
                  <w:tcW w:w="293" w:type="pct"/>
                  <w:vMerge w:val="continue"/>
                  <w:vAlign w:val="center"/>
                </w:tcPr>
                <w:p w14:paraId="426A5779">
                  <w:pPr>
                    <w:jc w:val="center"/>
                    <w:rPr>
                      <w:spacing w:val="6"/>
                      <w:sz w:val="18"/>
                      <w:szCs w:val="18"/>
                    </w:rPr>
                  </w:pPr>
                </w:p>
              </w:tc>
              <w:tc>
                <w:tcPr>
                  <w:tcW w:w="353" w:type="pct"/>
                  <w:vMerge w:val="continue"/>
                  <w:vAlign w:val="center"/>
                </w:tcPr>
                <w:p w14:paraId="73871EF8">
                  <w:pPr>
                    <w:jc w:val="center"/>
                    <w:rPr>
                      <w:spacing w:val="6"/>
                      <w:sz w:val="18"/>
                      <w:szCs w:val="18"/>
                    </w:rPr>
                  </w:pPr>
                </w:p>
              </w:tc>
              <w:tc>
                <w:tcPr>
                  <w:tcW w:w="365" w:type="pct"/>
                  <w:vAlign w:val="center"/>
                </w:tcPr>
                <w:p w14:paraId="2DD96E63">
                  <w:pPr>
                    <w:jc w:val="center"/>
                    <w:rPr>
                      <w:spacing w:val="6"/>
                      <w:sz w:val="18"/>
                      <w:szCs w:val="18"/>
                    </w:rPr>
                  </w:pPr>
                  <w:r>
                    <w:rPr>
                      <w:rFonts w:hint="eastAsia"/>
                      <w:spacing w:val="6"/>
                      <w:sz w:val="18"/>
                      <w:szCs w:val="18"/>
                    </w:rPr>
                    <w:t>25.5</w:t>
                  </w:r>
                </w:p>
              </w:tc>
              <w:tc>
                <w:tcPr>
                  <w:tcW w:w="297" w:type="pct"/>
                  <w:vAlign w:val="center"/>
                </w:tcPr>
                <w:p w14:paraId="4D6B9CFD">
                  <w:pPr>
                    <w:jc w:val="center"/>
                    <w:rPr>
                      <w:sz w:val="18"/>
                      <w:szCs w:val="18"/>
                    </w:rPr>
                  </w:pPr>
                  <w:r>
                    <w:rPr>
                      <w:rFonts w:hint="eastAsia"/>
                      <w:sz w:val="18"/>
                      <w:szCs w:val="18"/>
                    </w:rPr>
                    <w:t>1</w:t>
                  </w:r>
                </w:p>
              </w:tc>
            </w:tr>
            <w:tr w14:paraId="50B4AA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1B9EADE7">
                  <w:pPr>
                    <w:jc w:val="center"/>
                    <w:rPr>
                      <w:spacing w:val="6"/>
                      <w:sz w:val="18"/>
                      <w:szCs w:val="18"/>
                    </w:rPr>
                  </w:pPr>
                </w:p>
              </w:tc>
              <w:tc>
                <w:tcPr>
                  <w:tcW w:w="284" w:type="pct"/>
                  <w:vMerge w:val="continue"/>
                  <w:vAlign w:val="center"/>
                </w:tcPr>
                <w:p w14:paraId="18F36B74">
                  <w:pPr>
                    <w:jc w:val="center"/>
                    <w:rPr>
                      <w:spacing w:val="6"/>
                      <w:sz w:val="18"/>
                      <w:szCs w:val="18"/>
                    </w:rPr>
                  </w:pPr>
                </w:p>
              </w:tc>
              <w:tc>
                <w:tcPr>
                  <w:tcW w:w="361" w:type="pct"/>
                  <w:vMerge w:val="continue"/>
                  <w:vAlign w:val="center"/>
                </w:tcPr>
                <w:p w14:paraId="3B7F5A77">
                  <w:pPr>
                    <w:jc w:val="center"/>
                    <w:rPr>
                      <w:spacing w:val="6"/>
                      <w:sz w:val="18"/>
                      <w:szCs w:val="18"/>
                    </w:rPr>
                  </w:pPr>
                </w:p>
              </w:tc>
              <w:tc>
                <w:tcPr>
                  <w:tcW w:w="175" w:type="pct"/>
                  <w:vMerge w:val="continue"/>
                  <w:vAlign w:val="center"/>
                </w:tcPr>
                <w:p w14:paraId="5B6985D6">
                  <w:pPr>
                    <w:jc w:val="center"/>
                    <w:rPr>
                      <w:spacing w:val="6"/>
                      <w:sz w:val="18"/>
                      <w:szCs w:val="18"/>
                    </w:rPr>
                  </w:pPr>
                </w:p>
              </w:tc>
              <w:tc>
                <w:tcPr>
                  <w:tcW w:w="586" w:type="pct"/>
                  <w:vMerge w:val="continue"/>
                  <w:vAlign w:val="center"/>
                </w:tcPr>
                <w:p w14:paraId="00E0C940">
                  <w:pPr>
                    <w:jc w:val="center"/>
                    <w:rPr>
                      <w:spacing w:val="6"/>
                      <w:sz w:val="18"/>
                      <w:szCs w:val="18"/>
                    </w:rPr>
                  </w:pPr>
                </w:p>
              </w:tc>
              <w:tc>
                <w:tcPr>
                  <w:tcW w:w="360" w:type="pct"/>
                  <w:vMerge w:val="continue"/>
                  <w:vAlign w:val="center"/>
                </w:tcPr>
                <w:p w14:paraId="736197AA">
                  <w:pPr>
                    <w:jc w:val="center"/>
                    <w:rPr>
                      <w:spacing w:val="6"/>
                      <w:sz w:val="18"/>
                      <w:szCs w:val="18"/>
                    </w:rPr>
                  </w:pPr>
                </w:p>
              </w:tc>
              <w:tc>
                <w:tcPr>
                  <w:tcW w:w="226" w:type="pct"/>
                  <w:vMerge w:val="continue"/>
                  <w:vAlign w:val="center"/>
                </w:tcPr>
                <w:p w14:paraId="77A8673A">
                  <w:pPr>
                    <w:jc w:val="center"/>
                    <w:rPr>
                      <w:spacing w:val="6"/>
                      <w:sz w:val="18"/>
                      <w:szCs w:val="18"/>
                    </w:rPr>
                  </w:pPr>
                </w:p>
              </w:tc>
              <w:tc>
                <w:tcPr>
                  <w:tcW w:w="293" w:type="pct"/>
                  <w:vMerge w:val="continue"/>
                  <w:vAlign w:val="center"/>
                </w:tcPr>
                <w:p w14:paraId="5F214EB8">
                  <w:pPr>
                    <w:jc w:val="center"/>
                    <w:rPr>
                      <w:spacing w:val="6"/>
                      <w:sz w:val="18"/>
                      <w:szCs w:val="18"/>
                    </w:rPr>
                  </w:pPr>
                </w:p>
              </w:tc>
              <w:tc>
                <w:tcPr>
                  <w:tcW w:w="235" w:type="pct"/>
                  <w:vMerge w:val="continue"/>
                  <w:vAlign w:val="center"/>
                </w:tcPr>
                <w:p w14:paraId="7134E441">
                  <w:pPr>
                    <w:jc w:val="center"/>
                    <w:rPr>
                      <w:spacing w:val="6"/>
                      <w:sz w:val="18"/>
                      <w:szCs w:val="18"/>
                    </w:rPr>
                  </w:pPr>
                </w:p>
              </w:tc>
              <w:tc>
                <w:tcPr>
                  <w:tcW w:w="293" w:type="pct"/>
                  <w:vAlign w:val="center"/>
                </w:tcPr>
                <w:p w14:paraId="2840C7EB">
                  <w:pPr>
                    <w:jc w:val="center"/>
                    <w:rPr>
                      <w:spacing w:val="6"/>
                      <w:sz w:val="18"/>
                      <w:szCs w:val="18"/>
                    </w:rPr>
                  </w:pPr>
                  <w:r>
                    <w:rPr>
                      <w:spacing w:val="6"/>
                      <w:sz w:val="18"/>
                      <w:szCs w:val="18"/>
                    </w:rPr>
                    <w:t>西</w:t>
                  </w:r>
                </w:p>
              </w:tc>
              <w:tc>
                <w:tcPr>
                  <w:tcW w:w="293" w:type="pct"/>
                  <w:vAlign w:val="center"/>
                </w:tcPr>
                <w:p w14:paraId="485DFB95">
                  <w:pPr>
                    <w:jc w:val="center"/>
                    <w:rPr>
                      <w:spacing w:val="6"/>
                      <w:sz w:val="18"/>
                      <w:szCs w:val="18"/>
                    </w:rPr>
                  </w:pPr>
                  <w:r>
                    <w:rPr>
                      <w:rFonts w:hint="eastAsia"/>
                      <w:spacing w:val="6"/>
                      <w:sz w:val="18"/>
                      <w:szCs w:val="18"/>
                    </w:rPr>
                    <w:t>34</w:t>
                  </w:r>
                </w:p>
              </w:tc>
              <w:tc>
                <w:tcPr>
                  <w:tcW w:w="410" w:type="pct"/>
                  <w:vAlign w:val="center"/>
                </w:tcPr>
                <w:p w14:paraId="5BAE8E7E">
                  <w:pPr>
                    <w:jc w:val="center"/>
                    <w:rPr>
                      <w:spacing w:val="6"/>
                      <w:sz w:val="18"/>
                      <w:szCs w:val="18"/>
                    </w:rPr>
                  </w:pPr>
                  <w:r>
                    <w:rPr>
                      <w:rFonts w:hint="eastAsia"/>
                      <w:spacing w:val="6"/>
                      <w:sz w:val="18"/>
                      <w:szCs w:val="18"/>
                    </w:rPr>
                    <w:t>39.4</w:t>
                  </w:r>
                </w:p>
              </w:tc>
              <w:tc>
                <w:tcPr>
                  <w:tcW w:w="293" w:type="pct"/>
                  <w:vMerge w:val="continue"/>
                  <w:vAlign w:val="center"/>
                </w:tcPr>
                <w:p w14:paraId="4768A41E">
                  <w:pPr>
                    <w:jc w:val="center"/>
                    <w:rPr>
                      <w:spacing w:val="6"/>
                      <w:sz w:val="18"/>
                      <w:szCs w:val="18"/>
                    </w:rPr>
                  </w:pPr>
                </w:p>
              </w:tc>
              <w:tc>
                <w:tcPr>
                  <w:tcW w:w="353" w:type="pct"/>
                  <w:vMerge w:val="continue"/>
                  <w:vAlign w:val="center"/>
                </w:tcPr>
                <w:p w14:paraId="3CC2D418">
                  <w:pPr>
                    <w:jc w:val="center"/>
                    <w:rPr>
                      <w:spacing w:val="6"/>
                      <w:sz w:val="18"/>
                      <w:szCs w:val="18"/>
                    </w:rPr>
                  </w:pPr>
                </w:p>
              </w:tc>
              <w:tc>
                <w:tcPr>
                  <w:tcW w:w="365" w:type="pct"/>
                  <w:vAlign w:val="center"/>
                </w:tcPr>
                <w:p w14:paraId="3959301C">
                  <w:pPr>
                    <w:jc w:val="center"/>
                    <w:rPr>
                      <w:spacing w:val="6"/>
                      <w:sz w:val="18"/>
                      <w:szCs w:val="18"/>
                    </w:rPr>
                  </w:pPr>
                  <w:r>
                    <w:rPr>
                      <w:rFonts w:hint="eastAsia"/>
                      <w:spacing w:val="6"/>
                      <w:sz w:val="18"/>
                      <w:szCs w:val="18"/>
                    </w:rPr>
                    <w:t>24.4</w:t>
                  </w:r>
                </w:p>
              </w:tc>
              <w:tc>
                <w:tcPr>
                  <w:tcW w:w="297" w:type="pct"/>
                  <w:vAlign w:val="center"/>
                </w:tcPr>
                <w:p w14:paraId="182027B1">
                  <w:pPr>
                    <w:jc w:val="center"/>
                    <w:rPr>
                      <w:sz w:val="18"/>
                      <w:szCs w:val="18"/>
                    </w:rPr>
                  </w:pPr>
                  <w:r>
                    <w:rPr>
                      <w:rFonts w:hint="eastAsia"/>
                      <w:sz w:val="18"/>
                      <w:szCs w:val="18"/>
                    </w:rPr>
                    <w:t>1</w:t>
                  </w:r>
                </w:p>
              </w:tc>
            </w:tr>
            <w:tr w14:paraId="2DA312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6DF29B6E">
                  <w:pPr>
                    <w:jc w:val="center"/>
                    <w:rPr>
                      <w:spacing w:val="6"/>
                      <w:sz w:val="18"/>
                      <w:szCs w:val="18"/>
                    </w:rPr>
                  </w:pPr>
                </w:p>
              </w:tc>
              <w:tc>
                <w:tcPr>
                  <w:tcW w:w="284" w:type="pct"/>
                  <w:vMerge w:val="continue"/>
                  <w:vAlign w:val="center"/>
                </w:tcPr>
                <w:p w14:paraId="58F4D6AC">
                  <w:pPr>
                    <w:jc w:val="center"/>
                    <w:rPr>
                      <w:spacing w:val="6"/>
                      <w:sz w:val="18"/>
                      <w:szCs w:val="18"/>
                    </w:rPr>
                  </w:pPr>
                </w:p>
              </w:tc>
              <w:tc>
                <w:tcPr>
                  <w:tcW w:w="361" w:type="pct"/>
                  <w:vMerge w:val="continue"/>
                  <w:vAlign w:val="center"/>
                </w:tcPr>
                <w:p w14:paraId="55792A19">
                  <w:pPr>
                    <w:jc w:val="center"/>
                    <w:rPr>
                      <w:spacing w:val="6"/>
                      <w:sz w:val="18"/>
                      <w:szCs w:val="18"/>
                    </w:rPr>
                  </w:pPr>
                </w:p>
              </w:tc>
              <w:tc>
                <w:tcPr>
                  <w:tcW w:w="175" w:type="pct"/>
                  <w:vMerge w:val="continue"/>
                  <w:vAlign w:val="center"/>
                </w:tcPr>
                <w:p w14:paraId="52A60D52">
                  <w:pPr>
                    <w:jc w:val="center"/>
                    <w:rPr>
                      <w:spacing w:val="6"/>
                      <w:sz w:val="18"/>
                      <w:szCs w:val="18"/>
                    </w:rPr>
                  </w:pPr>
                </w:p>
              </w:tc>
              <w:tc>
                <w:tcPr>
                  <w:tcW w:w="586" w:type="pct"/>
                  <w:vMerge w:val="continue"/>
                  <w:vAlign w:val="center"/>
                </w:tcPr>
                <w:p w14:paraId="2A1C7DAE">
                  <w:pPr>
                    <w:jc w:val="center"/>
                    <w:rPr>
                      <w:spacing w:val="6"/>
                      <w:sz w:val="18"/>
                      <w:szCs w:val="18"/>
                    </w:rPr>
                  </w:pPr>
                </w:p>
              </w:tc>
              <w:tc>
                <w:tcPr>
                  <w:tcW w:w="360" w:type="pct"/>
                  <w:vMerge w:val="continue"/>
                  <w:vAlign w:val="center"/>
                </w:tcPr>
                <w:p w14:paraId="3FABE33B">
                  <w:pPr>
                    <w:jc w:val="center"/>
                    <w:rPr>
                      <w:spacing w:val="6"/>
                      <w:sz w:val="18"/>
                      <w:szCs w:val="18"/>
                    </w:rPr>
                  </w:pPr>
                </w:p>
              </w:tc>
              <w:tc>
                <w:tcPr>
                  <w:tcW w:w="226" w:type="pct"/>
                  <w:vMerge w:val="continue"/>
                  <w:vAlign w:val="center"/>
                </w:tcPr>
                <w:p w14:paraId="5D628FBB">
                  <w:pPr>
                    <w:jc w:val="center"/>
                    <w:rPr>
                      <w:spacing w:val="6"/>
                      <w:sz w:val="18"/>
                      <w:szCs w:val="18"/>
                    </w:rPr>
                  </w:pPr>
                </w:p>
              </w:tc>
              <w:tc>
                <w:tcPr>
                  <w:tcW w:w="293" w:type="pct"/>
                  <w:vMerge w:val="continue"/>
                  <w:vAlign w:val="center"/>
                </w:tcPr>
                <w:p w14:paraId="64FDD463">
                  <w:pPr>
                    <w:jc w:val="center"/>
                    <w:rPr>
                      <w:spacing w:val="6"/>
                      <w:sz w:val="18"/>
                      <w:szCs w:val="18"/>
                    </w:rPr>
                  </w:pPr>
                </w:p>
              </w:tc>
              <w:tc>
                <w:tcPr>
                  <w:tcW w:w="235" w:type="pct"/>
                  <w:vMerge w:val="continue"/>
                  <w:vAlign w:val="center"/>
                </w:tcPr>
                <w:p w14:paraId="6947B8C2">
                  <w:pPr>
                    <w:jc w:val="center"/>
                    <w:rPr>
                      <w:spacing w:val="6"/>
                      <w:sz w:val="18"/>
                      <w:szCs w:val="18"/>
                    </w:rPr>
                  </w:pPr>
                </w:p>
              </w:tc>
              <w:tc>
                <w:tcPr>
                  <w:tcW w:w="293" w:type="pct"/>
                  <w:vAlign w:val="center"/>
                </w:tcPr>
                <w:p w14:paraId="14735A1A">
                  <w:pPr>
                    <w:jc w:val="center"/>
                    <w:rPr>
                      <w:spacing w:val="6"/>
                      <w:sz w:val="18"/>
                      <w:szCs w:val="18"/>
                    </w:rPr>
                  </w:pPr>
                  <w:r>
                    <w:rPr>
                      <w:spacing w:val="6"/>
                      <w:sz w:val="18"/>
                      <w:szCs w:val="18"/>
                    </w:rPr>
                    <w:t>北</w:t>
                  </w:r>
                </w:p>
              </w:tc>
              <w:tc>
                <w:tcPr>
                  <w:tcW w:w="293" w:type="pct"/>
                  <w:vAlign w:val="center"/>
                </w:tcPr>
                <w:p w14:paraId="5B824227">
                  <w:pPr>
                    <w:jc w:val="center"/>
                    <w:rPr>
                      <w:spacing w:val="6"/>
                      <w:sz w:val="18"/>
                      <w:szCs w:val="18"/>
                    </w:rPr>
                  </w:pPr>
                  <w:r>
                    <w:rPr>
                      <w:rFonts w:hint="eastAsia"/>
                      <w:spacing w:val="6"/>
                      <w:sz w:val="18"/>
                      <w:szCs w:val="18"/>
                    </w:rPr>
                    <w:t>83</w:t>
                  </w:r>
                </w:p>
              </w:tc>
              <w:tc>
                <w:tcPr>
                  <w:tcW w:w="410" w:type="pct"/>
                  <w:vAlign w:val="center"/>
                </w:tcPr>
                <w:p w14:paraId="7F03F917">
                  <w:pPr>
                    <w:jc w:val="center"/>
                    <w:rPr>
                      <w:spacing w:val="6"/>
                      <w:sz w:val="18"/>
                      <w:szCs w:val="18"/>
                    </w:rPr>
                  </w:pPr>
                  <w:r>
                    <w:rPr>
                      <w:rFonts w:hint="eastAsia"/>
                      <w:spacing w:val="6"/>
                      <w:sz w:val="18"/>
                      <w:szCs w:val="18"/>
                    </w:rPr>
                    <w:t>31.6</w:t>
                  </w:r>
                </w:p>
              </w:tc>
              <w:tc>
                <w:tcPr>
                  <w:tcW w:w="293" w:type="pct"/>
                  <w:vMerge w:val="continue"/>
                  <w:vAlign w:val="center"/>
                </w:tcPr>
                <w:p w14:paraId="663EC67B">
                  <w:pPr>
                    <w:jc w:val="center"/>
                    <w:rPr>
                      <w:spacing w:val="6"/>
                      <w:sz w:val="18"/>
                      <w:szCs w:val="18"/>
                    </w:rPr>
                  </w:pPr>
                </w:p>
              </w:tc>
              <w:tc>
                <w:tcPr>
                  <w:tcW w:w="353" w:type="pct"/>
                  <w:vMerge w:val="continue"/>
                  <w:vAlign w:val="center"/>
                </w:tcPr>
                <w:p w14:paraId="6996138F">
                  <w:pPr>
                    <w:jc w:val="center"/>
                    <w:rPr>
                      <w:spacing w:val="6"/>
                      <w:sz w:val="18"/>
                      <w:szCs w:val="18"/>
                    </w:rPr>
                  </w:pPr>
                </w:p>
              </w:tc>
              <w:tc>
                <w:tcPr>
                  <w:tcW w:w="365" w:type="pct"/>
                  <w:vAlign w:val="center"/>
                </w:tcPr>
                <w:p w14:paraId="30CFEF36">
                  <w:pPr>
                    <w:jc w:val="center"/>
                    <w:rPr>
                      <w:spacing w:val="6"/>
                      <w:sz w:val="18"/>
                      <w:szCs w:val="18"/>
                    </w:rPr>
                  </w:pPr>
                  <w:r>
                    <w:rPr>
                      <w:rFonts w:hint="eastAsia"/>
                      <w:spacing w:val="6"/>
                      <w:sz w:val="18"/>
                      <w:szCs w:val="18"/>
                    </w:rPr>
                    <w:t>16.6</w:t>
                  </w:r>
                </w:p>
              </w:tc>
              <w:tc>
                <w:tcPr>
                  <w:tcW w:w="297" w:type="pct"/>
                  <w:vAlign w:val="center"/>
                </w:tcPr>
                <w:p w14:paraId="39D0465F">
                  <w:pPr>
                    <w:jc w:val="center"/>
                    <w:rPr>
                      <w:sz w:val="18"/>
                      <w:szCs w:val="18"/>
                    </w:rPr>
                  </w:pPr>
                  <w:r>
                    <w:rPr>
                      <w:rFonts w:hint="eastAsia"/>
                      <w:sz w:val="18"/>
                      <w:szCs w:val="18"/>
                    </w:rPr>
                    <w:t>1</w:t>
                  </w:r>
                </w:p>
              </w:tc>
            </w:tr>
            <w:tr w14:paraId="5A54F4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restart"/>
                  <w:vAlign w:val="center"/>
                </w:tcPr>
                <w:p w14:paraId="169B86E1">
                  <w:pPr>
                    <w:jc w:val="center"/>
                    <w:rPr>
                      <w:spacing w:val="6"/>
                      <w:sz w:val="18"/>
                      <w:szCs w:val="18"/>
                    </w:rPr>
                  </w:pPr>
                  <w:r>
                    <w:rPr>
                      <w:rFonts w:hint="eastAsia"/>
                      <w:spacing w:val="6"/>
                      <w:sz w:val="18"/>
                      <w:szCs w:val="18"/>
                    </w:rPr>
                    <w:t>11</w:t>
                  </w:r>
                </w:p>
              </w:tc>
              <w:tc>
                <w:tcPr>
                  <w:tcW w:w="284" w:type="pct"/>
                  <w:vMerge w:val="continue"/>
                  <w:vAlign w:val="center"/>
                </w:tcPr>
                <w:p w14:paraId="5F555030">
                  <w:pPr>
                    <w:jc w:val="center"/>
                    <w:rPr>
                      <w:spacing w:val="6"/>
                      <w:sz w:val="18"/>
                      <w:szCs w:val="18"/>
                    </w:rPr>
                  </w:pPr>
                </w:p>
              </w:tc>
              <w:tc>
                <w:tcPr>
                  <w:tcW w:w="361" w:type="pct"/>
                  <w:vMerge w:val="restart"/>
                  <w:vAlign w:val="center"/>
                </w:tcPr>
                <w:p w14:paraId="7DE29A0F">
                  <w:pPr>
                    <w:jc w:val="center"/>
                    <w:rPr>
                      <w:spacing w:val="6"/>
                      <w:sz w:val="18"/>
                      <w:szCs w:val="18"/>
                    </w:rPr>
                  </w:pPr>
                  <w:r>
                    <w:rPr>
                      <w:spacing w:val="6"/>
                      <w:sz w:val="18"/>
                      <w:szCs w:val="18"/>
                    </w:rPr>
                    <w:t>水泵</w:t>
                  </w:r>
                  <w:r>
                    <w:rPr>
                      <w:rFonts w:hint="eastAsia"/>
                      <w:spacing w:val="6"/>
                      <w:sz w:val="18"/>
                      <w:szCs w:val="18"/>
                    </w:rPr>
                    <w:t>1</w:t>
                  </w:r>
                </w:p>
              </w:tc>
              <w:tc>
                <w:tcPr>
                  <w:tcW w:w="175" w:type="pct"/>
                  <w:vMerge w:val="restart"/>
                  <w:vAlign w:val="center"/>
                </w:tcPr>
                <w:p w14:paraId="0BFD86FC">
                  <w:pPr>
                    <w:jc w:val="center"/>
                    <w:rPr>
                      <w:spacing w:val="6"/>
                      <w:sz w:val="18"/>
                      <w:szCs w:val="18"/>
                    </w:rPr>
                  </w:pPr>
                  <w:r>
                    <w:rPr>
                      <w:rFonts w:hint="eastAsia"/>
                      <w:spacing w:val="6"/>
                      <w:sz w:val="18"/>
                      <w:szCs w:val="18"/>
                    </w:rPr>
                    <w:t>/</w:t>
                  </w:r>
                </w:p>
              </w:tc>
              <w:tc>
                <w:tcPr>
                  <w:tcW w:w="586" w:type="pct"/>
                  <w:vMerge w:val="restart"/>
                  <w:vAlign w:val="center"/>
                </w:tcPr>
                <w:p w14:paraId="2C1A2772">
                  <w:pPr>
                    <w:jc w:val="center"/>
                    <w:rPr>
                      <w:spacing w:val="6"/>
                      <w:sz w:val="18"/>
                      <w:szCs w:val="18"/>
                    </w:rPr>
                  </w:pPr>
                  <w:r>
                    <w:rPr>
                      <w:rFonts w:hint="eastAsia"/>
                      <w:spacing w:val="6"/>
                      <w:sz w:val="18"/>
                      <w:szCs w:val="18"/>
                    </w:rPr>
                    <w:t>75/1</w:t>
                  </w:r>
                </w:p>
              </w:tc>
              <w:tc>
                <w:tcPr>
                  <w:tcW w:w="360" w:type="pct"/>
                  <w:vMerge w:val="continue"/>
                  <w:vAlign w:val="center"/>
                </w:tcPr>
                <w:p w14:paraId="147FF0CA">
                  <w:pPr>
                    <w:jc w:val="center"/>
                    <w:rPr>
                      <w:spacing w:val="6"/>
                      <w:sz w:val="18"/>
                      <w:szCs w:val="18"/>
                    </w:rPr>
                  </w:pPr>
                </w:p>
              </w:tc>
              <w:tc>
                <w:tcPr>
                  <w:tcW w:w="226" w:type="pct"/>
                  <w:vMerge w:val="restart"/>
                  <w:vAlign w:val="center"/>
                </w:tcPr>
                <w:p w14:paraId="5C5800F5">
                  <w:pPr>
                    <w:jc w:val="center"/>
                    <w:rPr>
                      <w:spacing w:val="6"/>
                      <w:sz w:val="18"/>
                      <w:szCs w:val="18"/>
                    </w:rPr>
                  </w:pPr>
                  <w:r>
                    <w:rPr>
                      <w:rFonts w:hint="eastAsia"/>
                      <w:spacing w:val="6"/>
                      <w:sz w:val="18"/>
                      <w:szCs w:val="18"/>
                    </w:rPr>
                    <w:t>13</w:t>
                  </w:r>
                </w:p>
              </w:tc>
              <w:tc>
                <w:tcPr>
                  <w:tcW w:w="293" w:type="pct"/>
                  <w:vMerge w:val="restart"/>
                  <w:vAlign w:val="center"/>
                </w:tcPr>
                <w:p w14:paraId="4C14FA25">
                  <w:pPr>
                    <w:jc w:val="center"/>
                    <w:rPr>
                      <w:spacing w:val="6"/>
                      <w:sz w:val="18"/>
                      <w:szCs w:val="18"/>
                    </w:rPr>
                  </w:pPr>
                  <w:r>
                    <w:rPr>
                      <w:rFonts w:hint="eastAsia"/>
                      <w:spacing w:val="6"/>
                      <w:sz w:val="18"/>
                      <w:szCs w:val="18"/>
                    </w:rPr>
                    <w:t>36</w:t>
                  </w:r>
                </w:p>
              </w:tc>
              <w:tc>
                <w:tcPr>
                  <w:tcW w:w="235" w:type="pct"/>
                  <w:vMerge w:val="restart"/>
                  <w:vAlign w:val="center"/>
                </w:tcPr>
                <w:p w14:paraId="616CD6AB">
                  <w:pPr>
                    <w:jc w:val="center"/>
                    <w:rPr>
                      <w:spacing w:val="6"/>
                      <w:sz w:val="18"/>
                      <w:szCs w:val="18"/>
                    </w:rPr>
                  </w:pPr>
                  <w:r>
                    <w:rPr>
                      <w:rFonts w:hint="eastAsia"/>
                      <w:spacing w:val="6"/>
                      <w:sz w:val="18"/>
                      <w:szCs w:val="18"/>
                    </w:rPr>
                    <w:t>1.2</w:t>
                  </w:r>
                </w:p>
              </w:tc>
              <w:tc>
                <w:tcPr>
                  <w:tcW w:w="293" w:type="pct"/>
                  <w:vAlign w:val="center"/>
                </w:tcPr>
                <w:p w14:paraId="377C696F">
                  <w:pPr>
                    <w:jc w:val="center"/>
                    <w:rPr>
                      <w:spacing w:val="6"/>
                      <w:sz w:val="18"/>
                      <w:szCs w:val="18"/>
                    </w:rPr>
                  </w:pPr>
                  <w:r>
                    <w:rPr>
                      <w:sz w:val="18"/>
                      <w:szCs w:val="18"/>
                    </w:rPr>
                    <w:t>东</w:t>
                  </w:r>
                </w:p>
              </w:tc>
              <w:tc>
                <w:tcPr>
                  <w:tcW w:w="293" w:type="pct"/>
                  <w:vAlign w:val="center"/>
                </w:tcPr>
                <w:p w14:paraId="1E00EFDE">
                  <w:pPr>
                    <w:jc w:val="center"/>
                    <w:rPr>
                      <w:spacing w:val="6"/>
                      <w:sz w:val="18"/>
                      <w:szCs w:val="18"/>
                    </w:rPr>
                  </w:pPr>
                  <w:r>
                    <w:rPr>
                      <w:rFonts w:hint="eastAsia"/>
                      <w:spacing w:val="6"/>
                      <w:sz w:val="18"/>
                      <w:szCs w:val="18"/>
                    </w:rPr>
                    <w:t>12</w:t>
                  </w:r>
                </w:p>
              </w:tc>
              <w:tc>
                <w:tcPr>
                  <w:tcW w:w="410" w:type="pct"/>
                  <w:vAlign w:val="center"/>
                </w:tcPr>
                <w:p w14:paraId="472297FB">
                  <w:pPr>
                    <w:jc w:val="center"/>
                    <w:rPr>
                      <w:spacing w:val="6"/>
                      <w:sz w:val="18"/>
                      <w:szCs w:val="18"/>
                    </w:rPr>
                  </w:pPr>
                  <w:r>
                    <w:rPr>
                      <w:rFonts w:hint="eastAsia"/>
                      <w:spacing w:val="6"/>
                      <w:sz w:val="18"/>
                      <w:szCs w:val="18"/>
                    </w:rPr>
                    <w:t>53.4</w:t>
                  </w:r>
                </w:p>
              </w:tc>
              <w:tc>
                <w:tcPr>
                  <w:tcW w:w="293" w:type="pct"/>
                  <w:vMerge w:val="restart"/>
                  <w:vAlign w:val="center"/>
                </w:tcPr>
                <w:p w14:paraId="4E791B3A">
                  <w:pPr>
                    <w:jc w:val="center"/>
                    <w:rPr>
                      <w:spacing w:val="6"/>
                      <w:sz w:val="18"/>
                      <w:szCs w:val="18"/>
                    </w:rPr>
                  </w:pPr>
                  <w:r>
                    <w:rPr>
                      <w:rFonts w:hint="eastAsia"/>
                      <w:spacing w:val="6"/>
                      <w:sz w:val="18"/>
                      <w:szCs w:val="18"/>
                    </w:rPr>
                    <w:t>8h</w:t>
                  </w:r>
                </w:p>
              </w:tc>
              <w:tc>
                <w:tcPr>
                  <w:tcW w:w="353" w:type="pct"/>
                  <w:vMerge w:val="restart"/>
                  <w:vAlign w:val="center"/>
                </w:tcPr>
                <w:p w14:paraId="78C6D792">
                  <w:pPr>
                    <w:jc w:val="center"/>
                    <w:rPr>
                      <w:spacing w:val="6"/>
                      <w:sz w:val="18"/>
                      <w:szCs w:val="18"/>
                    </w:rPr>
                  </w:pPr>
                  <w:r>
                    <w:rPr>
                      <w:rFonts w:hint="eastAsia"/>
                      <w:spacing w:val="6"/>
                      <w:sz w:val="18"/>
                      <w:szCs w:val="18"/>
                    </w:rPr>
                    <w:t>15</w:t>
                  </w:r>
                </w:p>
              </w:tc>
              <w:tc>
                <w:tcPr>
                  <w:tcW w:w="365" w:type="pct"/>
                  <w:vAlign w:val="center"/>
                </w:tcPr>
                <w:p w14:paraId="2E78D0F6">
                  <w:pPr>
                    <w:jc w:val="center"/>
                    <w:rPr>
                      <w:spacing w:val="6"/>
                      <w:sz w:val="18"/>
                      <w:szCs w:val="18"/>
                    </w:rPr>
                  </w:pPr>
                  <w:r>
                    <w:rPr>
                      <w:rFonts w:hint="eastAsia"/>
                      <w:spacing w:val="6"/>
                      <w:sz w:val="18"/>
                      <w:szCs w:val="18"/>
                    </w:rPr>
                    <w:t>38.4</w:t>
                  </w:r>
                </w:p>
              </w:tc>
              <w:tc>
                <w:tcPr>
                  <w:tcW w:w="297" w:type="pct"/>
                  <w:vAlign w:val="center"/>
                </w:tcPr>
                <w:p w14:paraId="3F4B3404">
                  <w:pPr>
                    <w:jc w:val="center"/>
                    <w:rPr>
                      <w:sz w:val="18"/>
                      <w:szCs w:val="18"/>
                    </w:rPr>
                  </w:pPr>
                  <w:r>
                    <w:rPr>
                      <w:rFonts w:hint="eastAsia"/>
                      <w:sz w:val="18"/>
                      <w:szCs w:val="18"/>
                    </w:rPr>
                    <w:t>1</w:t>
                  </w:r>
                </w:p>
              </w:tc>
            </w:tr>
            <w:tr w14:paraId="245166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52685404">
                  <w:pPr>
                    <w:jc w:val="center"/>
                    <w:rPr>
                      <w:spacing w:val="6"/>
                      <w:sz w:val="18"/>
                      <w:szCs w:val="18"/>
                    </w:rPr>
                  </w:pPr>
                </w:p>
              </w:tc>
              <w:tc>
                <w:tcPr>
                  <w:tcW w:w="284" w:type="pct"/>
                  <w:vMerge w:val="continue"/>
                  <w:vAlign w:val="center"/>
                </w:tcPr>
                <w:p w14:paraId="1C208135">
                  <w:pPr>
                    <w:jc w:val="center"/>
                    <w:rPr>
                      <w:spacing w:val="6"/>
                      <w:sz w:val="18"/>
                      <w:szCs w:val="18"/>
                    </w:rPr>
                  </w:pPr>
                </w:p>
              </w:tc>
              <w:tc>
                <w:tcPr>
                  <w:tcW w:w="361" w:type="pct"/>
                  <w:vMerge w:val="continue"/>
                  <w:vAlign w:val="center"/>
                </w:tcPr>
                <w:p w14:paraId="55938790">
                  <w:pPr>
                    <w:jc w:val="center"/>
                    <w:rPr>
                      <w:spacing w:val="6"/>
                      <w:sz w:val="18"/>
                      <w:szCs w:val="18"/>
                    </w:rPr>
                  </w:pPr>
                </w:p>
              </w:tc>
              <w:tc>
                <w:tcPr>
                  <w:tcW w:w="175" w:type="pct"/>
                  <w:vMerge w:val="continue"/>
                  <w:vAlign w:val="center"/>
                </w:tcPr>
                <w:p w14:paraId="0F8CB091">
                  <w:pPr>
                    <w:jc w:val="center"/>
                    <w:rPr>
                      <w:spacing w:val="6"/>
                      <w:sz w:val="18"/>
                      <w:szCs w:val="18"/>
                    </w:rPr>
                  </w:pPr>
                </w:p>
              </w:tc>
              <w:tc>
                <w:tcPr>
                  <w:tcW w:w="586" w:type="pct"/>
                  <w:vMerge w:val="continue"/>
                  <w:vAlign w:val="center"/>
                </w:tcPr>
                <w:p w14:paraId="6C3BCC4C">
                  <w:pPr>
                    <w:jc w:val="center"/>
                    <w:rPr>
                      <w:spacing w:val="6"/>
                      <w:sz w:val="18"/>
                      <w:szCs w:val="18"/>
                    </w:rPr>
                  </w:pPr>
                </w:p>
              </w:tc>
              <w:tc>
                <w:tcPr>
                  <w:tcW w:w="360" w:type="pct"/>
                  <w:vMerge w:val="continue"/>
                  <w:vAlign w:val="center"/>
                </w:tcPr>
                <w:p w14:paraId="451BE9EE">
                  <w:pPr>
                    <w:jc w:val="center"/>
                    <w:rPr>
                      <w:spacing w:val="6"/>
                      <w:sz w:val="18"/>
                      <w:szCs w:val="18"/>
                    </w:rPr>
                  </w:pPr>
                </w:p>
              </w:tc>
              <w:tc>
                <w:tcPr>
                  <w:tcW w:w="226" w:type="pct"/>
                  <w:vMerge w:val="continue"/>
                  <w:vAlign w:val="center"/>
                </w:tcPr>
                <w:p w14:paraId="0FEEBC17">
                  <w:pPr>
                    <w:jc w:val="center"/>
                    <w:rPr>
                      <w:spacing w:val="6"/>
                      <w:sz w:val="18"/>
                      <w:szCs w:val="18"/>
                    </w:rPr>
                  </w:pPr>
                </w:p>
              </w:tc>
              <w:tc>
                <w:tcPr>
                  <w:tcW w:w="293" w:type="pct"/>
                  <w:vMerge w:val="continue"/>
                  <w:vAlign w:val="center"/>
                </w:tcPr>
                <w:p w14:paraId="6029C393">
                  <w:pPr>
                    <w:jc w:val="center"/>
                    <w:rPr>
                      <w:spacing w:val="6"/>
                      <w:sz w:val="18"/>
                      <w:szCs w:val="18"/>
                    </w:rPr>
                  </w:pPr>
                </w:p>
              </w:tc>
              <w:tc>
                <w:tcPr>
                  <w:tcW w:w="235" w:type="pct"/>
                  <w:vMerge w:val="continue"/>
                  <w:vAlign w:val="center"/>
                </w:tcPr>
                <w:p w14:paraId="25D3E60C">
                  <w:pPr>
                    <w:jc w:val="center"/>
                    <w:rPr>
                      <w:spacing w:val="6"/>
                      <w:sz w:val="18"/>
                      <w:szCs w:val="18"/>
                    </w:rPr>
                  </w:pPr>
                </w:p>
              </w:tc>
              <w:tc>
                <w:tcPr>
                  <w:tcW w:w="293" w:type="pct"/>
                  <w:vAlign w:val="center"/>
                </w:tcPr>
                <w:p w14:paraId="11B8C0BD">
                  <w:pPr>
                    <w:jc w:val="center"/>
                    <w:rPr>
                      <w:spacing w:val="6"/>
                      <w:sz w:val="18"/>
                      <w:szCs w:val="18"/>
                    </w:rPr>
                  </w:pPr>
                  <w:r>
                    <w:rPr>
                      <w:spacing w:val="6"/>
                      <w:sz w:val="18"/>
                      <w:szCs w:val="18"/>
                    </w:rPr>
                    <w:t>南</w:t>
                  </w:r>
                </w:p>
              </w:tc>
              <w:tc>
                <w:tcPr>
                  <w:tcW w:w="293" w:type="pct"/>
                  <w:vAlign w:val="center"/>
                </w:tcPr>
                <w:p w14:paraId="04B3E3A2">
                  <w:pPr>
                    <w:jc w:val="center"/>
                    <w:rPr>
                      <w:spacing w:val="6"/>
                      <w:sz w:val="18"/>
                      <w:szCs w:val="18"/>
                    </w:rPr>
                  </w:pPr>
                  <w:r>
                    <w:rPr>
                      <w:rFonts w:hint="eastAsia"/>
                      <w:spacing w:val="6"/>
                      <w:sz w:val="18"/>
                      <w:szCs w:val="18"/>
                    </w:rPr>
                    <w:t>97</w:t>
                  </w:r>
                </w:p>
              </w:tc>
              <w:tc>
                <w:tcPr>
                  <w:tcW w:w="410" w:type="pct"/>
                  <w:vAlign w:val="center"/>
                </w:tcPr>
                <w:p w14:paraId="2C558B3B">
                  <w:pPr>
                    <w:jc w:val="center"/>
                    <w:rPr>
                      <w:spacing w:val="6"/>
                      <w:sz w:val="18"/>
                      <w:szCs w:val="18"/>
                    </w:rPr>
                  </w:pPr>
                  <w:r>
                    <w:rPr>
                      <w:rFonts w:hint="eastAsia"/>
                      <w:spacing w:val="6"/>
                      <w:sz w:val="18"/>
                      <w:szCs w:val="18"/>
                    </w:rPr>
                    <w:t>35.3</w:t>
                  </w:r>
                </w:p>
              </w:tc>
              <w:tc>
                <w:tcPr>
                  <w:tcW w:w="293" w:type="pct"/>
                  <w:vMerge w:val="continue"/>
                  <w:vAlign w:val="center"/>
                </w:tcPr>
                <w:p w14:paraId="6F341CA8">
                  <w:pPr>
                    <w:jc w:val="center"/>
                    <w:rPr>
                      <w:spacing w:val="6"/>
                      <w:sz w:val="18"/>
                      <w:szCs w:val="18"/>
                    </w:rPr>
                  </w:pPr>
                </w:p>
              </w:tc>
              <w:tc>
                <w:tcPr>
                  <w:tcW w:w="353" w:type="pct"/>
                  <w:vMerge w:val="continue"/>
                  <w:vAlign w:val="center"/>
                </w:tcPr>
                <w:p w14:paraId="7E2E27AF">
                  <w:pPr>
                    <w:jc w:val="center"/>
                    <w:rPr>
                      <w:spacing w:val="6"/>
                      <w:sz w:val="18"/>
                      <w:szCs w:val="18"/>
                    </w:rPr>
                  </w:pPr>
                </w:p>
              </w:tc>
              <w:tc>
                <w:tcPr>
                  <w:tcW w:w="365" w:type="pct"/>
                  <w:vAlign w:val="center"/>
                </w:tcPr>
                <w:p w14:paraId="0A6B2B6A">
                  <w:pPr>
                    <w:jc w:val="center"/>
                    <w:rPr>
                      <w:spacing w:val="6"/>
                      <w:sz w:val="18"/>
                      <w:szCs w:val="18"/>
                    </w:rPr>
                  </w:pPr>
                  <w:r>
                    <w:rPr>
                      <w:rFonts w:hint="eastAsia"/>
                      <w:spacing w:val="6"/>
                      <w:sz w:val="18"/>
                      <w:szCs w:val="18"/>
                    </w:rPr>
                    <w:t>20.3</w:t>
                  </w:r>
                </w:p>
              </w:tc>
              <w:tc>
                <w:tcPr>
                  <w:tcW w:w="297" w:type="pct"/>
                  <w:vAlign w:val="center"/>
                </w:tcPr>
                <w:p w14:paraId="777A7F5B">
                  <w:pPr>
                    <w:jc w:val="center"/>
                    <w:rPr>
                      <w:sz w:val="18"/>
                      <w:szCs w:val="18"/>
                    </w:rPr>
                  </w:pPr>
                  <w:r>
                    <w:rPr>
                      <w:rFonts w:hint="eastAsia"/>
                      <w:sz w:val="18"/>
                      <w:szCs w:val="18"/>
                    </w:rPr>
                    <w:t>1</w:t>
                  </w:r>
                </w:p>
              </w:tc>
            </w:tr>
            <w:tr w14:paraId="45F1EB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7D3627AB">
                  <w:pPr>
                    <w:jc w:val="center"/>
                    <w:rPr>
                      <w:spacing w:val="6"/>
                      <w:sz w:val="18"/>
                      <w:szCs w:val="18"/>
                    </w:rPr>
                  </w:pPr>
                </w:p>
              </w:tc>
              <w:tc>
                <w:tcPr>
                  <w:tcW w:w="284" w:type="pct"/>
                  <w:vMerge w:val="continue"/>
                  <w:vAlign w:val="center"/>
                </w:tcPr>
                <w:p w14:paraId="56867065">
                  <w:pPr>
                    <w:jc w:val="center"/>
                    <w:rPr>
                      <w:spacing w:val="6"/>
                      <w:sz w:val="18"/>
                      <w:szCs w:val="18"/>
                    </w:rPr>
                  </w:pPr>
                </w:p>
              </w:tc>
              <w:tc>
                <w:tcPr>
                  <w:tcW w:w="361" w:type="pct"/>
                  <w:vMerge w:val="continue"/>
                  <w:vAlign w:val="center"/>
                </w:tcPr>
                <w:p w14:paraId="57665871">
                  <w:pPr>
                    <w:jc w:val="center"/>
                    <w:rPr>
                      <w:spacing w:val="6"/>
                      <w:sz w:val="18"/>
                      <w:szCs w:val="18"/>
                    </w:rPr>
                  </w:pPr>
                </w:p>
              </w:tc>
              <w:tc>
                <w:tcPr>
                  <w:tcW w:w="175" w:type="pct"/>
                  <w:vMerge w:val="continue"/>
                  <w:vAlign w:val="center"/>
                </w:tcPr>
                <w:p w14:paraId="5CC68081">
                  <w:pPr>
                    <w:jc w:val="center"/>
                    <w:rPr>
                      <w:spacing w:val="6"/>
                      <w:sz w:val="18"/>
                      <w:szCs w:val="18"/>
                    </w:rPr>
                  </w:pPr>
                </w:p>
              </w:tc>
              <w:tc>
                <w:tcPr>
                  <w:tcW w:w="586" w:type="pct"/>
                  <w:vMerge w:val="continue"/>
                  <w:vAlign w:val="center"/>
                </w:tcPr>
                <w:p w14:paraId="6A389464">
                  <w:pPr>
                    <w:jc w:val="center"/>
                    <w:rPr>
                      <w:spacing w:val="6"/>
                      <w:sz w:val="18"/>
                      <w:szCs w:val="18"/>
                    </w:rPr>
                  </w:pPr>
                </w:p>
              </w:tc>
              <w:tc>
                <w:tcPr>
                  <w:tcW w:w="360" w:type="pct"/>
                  <w:vMerge w:val="continue"/>
                  <w:vAlign w:val="center"/>
                </w:tcPr>
                <w:p w14:paraId="2887EB61">
                  <w:pPr>
                    <w:jc w:val="center"/>
                    <w:rPr>
                      <w:spacing w:val="6"/>
                      <w:sz w:val="18"/>
                      <w:szCs w:val="18"/>
                    </w:rPr>
                  </w:pPr>
                </w:p>
              </w:tc>
              <w:tc>
                <w:tcPr>
                  <w:tcW w:w="226" w:type="pct"/>
                  <w:vMerge w:val="continue"/>
                  <w:vAlign w:val="center"/>
                </w:tcPr>
                <w:p w14:paraId="1C5E78B0">
                  <w:pPr>
                    <w:jc w:val="center"/>
                    <w:rPr>
                      <w:spacing w:val="6"/>
                      <w:sz w:val="18"/>
                      <w:szCs w:val="18"/>
                    </w:rPr>
                  </w:pPr>
                </w:p>
              </w:tc>
              <w:tc>
                <w:tcPr>
                  <w:tcW w:w="293" w:type="pct"/>
                  <w:vMerge w:val="continue"/>
                  <w:vAlign w:val="center"/>
                </w:tcPr>
                <w:p w14:paraId="1143DE86">
                  <w:pPr>
                    <w:jc w:val="center"/>
                    <w:rPr>
                      <w:spacing w:val="6"/>
                      <w:sz w:val="18"/>
                      <w:szCs w:val="18"/>
                    </w:rPr>
                  </w:pPr>
                </w:p>
              </w:tc>
              <w:tc>
                <w:tcPr>
                  <w:tcW w:w="235" w:type="pct"/>
                  <w:vMerge w:val="continue"/>
                  <w:vAlign w:val="center"/>
                </w:tcPr>
                <w:p w14:paraId="5D49315D">
                  <w:pPr>
                    <w:jc w:val="center"/>
                    <w:rPr>
                      <w:spacing w:val="6"/>
                      <w:sz w:val="18"/>
                      <w:szCs w:val="18"/>
                    </w:rPr>
                  </w:pPr>
                </w:p>
              </w:tc>
              <w:tc>
                <w:tcPr>
                  <w:tcW w:w="293" w:type="pct"/>
                  <w:vAlign w:val="center"/>
                </w:tcPr>
                <w:p w14:paraId="1D9200C2">
                  <w:pPr>
                    <w:jc w:val="center"/>
                    <w:rPr>
                      <w:spacing w:val="6"/>
                      <w:sz w:val="18"/>
                      <w:szCs w:val="18"/>
                    </w:rPr>
                  </w:pPr>
                  <w:r>
                    <w:rPr>
                      <w:spacing w:val="6"/>
                      <w:sz w:val="18"/>
                      <w:szCs w:val="18"/>
                    </w:rPr>
                    <w:t>西</w:t>
                  </w:r>
                </w:p>
              </w:tc>
              <w:tc>
                <w:tcPr>
                  <w:tcW w:w="293" w:type="pct"/>
                  <w:vAlign w:val="center"/>
                </w:tcPr>
                <w:p w14:paraId="48F25045">
                  <w:pPr>
                    <w:jc w:val="center"/>
                    <w:rPr>
                      <w:spacing w:val="6"/>
                      <w:sz w:val="18"/>
                      <w:szCs w:val="18"/>
                    </w:rPr>
                  </w:pPr>
                  <w:r>
                    <w:rPr>
                      <w:rFonts w:hint="eastAsia"/>
                      <w:spacing w:val="6"/>
                      <w:sz w:val="18"/>
                      <w:szCs w:val="18"/>
                    </w:rPr>
                    <w:t>35</w:t>
                  </w:r>
                </w:p>
              </w:tc>
              <w:tc>
                <w:tcPr>
                  <w:tcW w:w="410" w:type="pct"/>
                  <w:vAlign w:val="center"/>
                </w:tcPr>
                <w:p w14:paraId="25E14CE5">
                  <w:pPr>
                    <w:jc w:val="center"/>
                    <w:rPr>
                      <w:spacing w:val="6"/>
                      <w:sz w:val="18"/>
                      <w:szCs w:val="18"/>
                    </w:rPr>
                  </w:pPr>
                  <w:r>
                    <w:rPr>
                      <w:rFonts w:hint="eastAsia"/>
                      <w:spacing w:val="6"/>
                      <w:sz w:val="18"/>
                      <w:szCs w:val="18"/>
                    </w:rPr>
                    <w:t>44.1</w:t>
                  </w:r>
                </w:p>
              </w:tc>
              <w:tc>
                <w:tcPr>
                  <w:tcW w:w="293" w:type="pct"/>
                  <w:vMerge w:val="continue"/>
                  <w:vAlign w:val="center"/>
                </w:tcPr>
                <w:p w14:paraId="77119D62">
                  <w:pPr>
                    <w:jc w:val="center"/>
                    <w:rPr>
                      <w:spacing w:val="6"/>
                      <w:sz w:val="18"/>
                      <w:szCs w:val="18"/>
                    </w:rPr>
                  </w:pPr>
                </w:p>
              </w:tc>
              <w:tc>
                <w:tcPr>
                  <w:tcW w:w="353" w:type="pct"/>
                  <w:vMerge w:val="continue"/>
                  <w:vAlign w:val="center"/>
                </w:tcPr>
                <w:p w14:paraId="401DFE2A">
                  <w:pPr>
                    <w:jc w:val="center"/>
                    <w:rPr>
                      <w:spacing w:val="6"/>
                      <w:sz w:val="18"/>
                      <w:szCs w:val="18"/>
                    </w:rPr>
                  </w:pPr>
                </w:p>
              </w:tc>
              <w:tc>
                <w:tcPr>
                  <w:tcW w:w="365" w:type="pct"/>
                  <w:vAlign w:val="center"/>
                </w:tcPr>
                <w:p w14:paraId="0E631A36">
                  <w:pPr>
                    <w:jc w:val="center"/>
                    <w:rPr>
                      <w:spacing w:val="6"/>
                      <w:sz w:val="18"/>
                      <w:szCs w:val="18"/>
                    </w:rPr>
                  </w:pPr>
                  <w:r>
                    <w:rPr>
                      <w:rFonts w:hint="eastAsia"/>
                      <w:spacing w:val="6"/>
                      <w:sz w:val="18"/>
                      <w:szCs w:val="18"/>
                    </w:rPr>
                    <w:t>29.1</w:t>
                  </w:r>
                </w:p>
              </w:tc>
              <w:tc>
                <w:tcPr>
                  <w:tcW w:w="297" w:type="pct"/>
                  <w:vAlign w:val="center"/>
                </w:tcPr>
                <w:p w14:paraId="7E0A3693">
                  <w:pPr>
                    <w:jc w:val="center"/>
                    <w:rPr>
                      <w:sz w:val="18"/>
                      <w:szCs w:val="18"/>
                    </w:rPr>
                  </w:pPr>
                  <w:r>
                    <w:rPr>
                      <w:rFonts w:hint="eastAsia"/>
                      <w:sz w:val="18"/>
                      <w:szCs w:val="18"/>
                    </w:rPr>
                    <w:t>1</w:t>
                  </w:r>
                </w:p>
              </w:tc>
            </w:tr>
            <w:tr w14:paraId="6EB47B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3F2D0CCC">
                  <w:pPr>
                    <w:jc w:val="center"/>
                    <w:rPr>
                      <w:spacing w:val="6"/>
                      <w:sz w:val="18"/>
                      <w:szCs w:val="18"/>
                    </w:rPr>
                  </w:pPr>
                </w:p>
              </w:tc>
              <w:tc>
                <w:tcPr>
                  <w:tcW w:w="284" w:type="pct"/>
                  <w:vMerge w:val="continue"/>
                  <w:vAlign w:val="center"/>
                </w:tcPr>
                <w:p w14:paraId="490DFA55">
                  <w:pPr>
                    <w:jc w:val="center"/>
                    <w:rPr>
                      <w:spacing w:val="6"/>
                      <w:sz w:val="18"/>
                      <w:szCs w:val="18"/>
                    </w:rPr>
                  </w:pPr>
                </w:p>
              </w:tc>
              <w:tc>
                <w:tcPr>
                  <w:tcW w:w="361" w:type="pct"/>
                  <w:vMerge w:val="continue"/>
                  <w:vAlign w:val="center"/>
                </w:tcPr>
                <w:p w14:paraId="082B4AA8">
                  <w:pPr>
                    <w:jc w:val="center"/>
                    <w:rPr>
                      <w:spacing w:val="6"/>
                      <w:sz w:val="18"/>
                      <w:szCs w:val="18"/>
                    </w:rPr>
                  </w:pPr>
                </w:p>
              </w:tc>
              <w:tc>
                <w:tcPr>
                  <w:tcW w:w="175" w:type="pct"/>
                  <w:vMerge w:val="continue"/>
                  <w:vAlign w:val="center"/>
                </w:tcPr>
                <w:p w14:paraId="07B7EE38">
                  <w:pPr>
                    <w:jc w:val="center"/>
                    <w:rPr>
                      <w:spacing w:val="6"/>
                      <w:sz w:val="18"/>
                      <w:szCs w:val="18"/>
                    </w:rPr>
                  </w:pPr>
                </w:p>
              </w:tc>
              <w:tc>
                <w:tcPr>
                  <w:tcW w:w="586" w:type="pct"/>
                  <w:vMerge w:val="continue"/>
                  <w:vAlign w:val="center"/>
                </w:tcPr>
                <w:p w14:paraId="4AD2A17E">
                  <w:pPr>
                    <w:jc w:val="center"/>
                    <w:rPr>
                      <w:spacing w:val="6"/>
                      <w:sz w:val="18"/>
                      <w:szCs w:val="18"/>
                    </w:rPr>
                  </w:pPr>
                </w:p>
              </w:tc>
              <w:tc>
                <w:tcPr>
                  <w:tcW w:w="360" w:type="pct"/>
                  <w:vMerge w:val="continue"/>
                  <w:vAlign w:val="center"/>
                </w:tcPr>
                <w:p w14:paraId="2F9B1071">
                  <w:pPr>
                    <w:jc w:val="center"/>
                    <w:rPr>
                      <w:spacing w:val="6"/>
                      <w:sz w:val="18"/>
                      <w:szCs w:val="18"/>
                    </w:rPr>
                  </w:pPr>
                </w:p>
              </w:tc>
              <w:tc>
                <w:tcPr>
                  <w:tcW w:w="226" w:type="pct"/>
                  <w:vMerge w:val="continue"/>
                  <w:vAlign w:val="center"/>
                </w:tcPr>
                <w:p w14:paraId="01AF723D">
                  <w:pPr>
                    <w:jc w:val="center"/>
                    <w:rPr>
                      <w:spacing w:val="6"/>
                      <w:sz w:val="18"/>
                      <w:szCs w:val="18"/>
                    </w:rPr>
                  </w:pPr>
                </w:p>
              </w:tc>
              <w:tc>
                <w:tcPr>
                  <w:tcW w:w="293" w:type="pct"/>
                  <w:vMerge w:val="continue"/>
                  <w:vAlign w:val="center"/>
                </w:tcPr>
                <w:p w14:paraId="3E107EA7">
                  <w:pPr>
                    <w:jc w:val="center"/>
                    <w:rPr>
                      <w:spacing w:val="6"/>
                      <w:sz w:val="18"/>
                      <w:szCs w:val="18"/>
                    </w:rPr>
                  </w:pPr>
                </w:p>
              </w:tc>
              <w:tc>
                <w:tcPr>
                  <w:tcW w:w="235" w:type="pct"/>
                  <w:vMerge w:val="continue"/>
                  <w:vAlign w:val="center"/>
                </w:tcPr>
                <w:p w14:paraId="278C593D">
                  <w:pPr>
                    <w:jc w:val="center"/>
                    <w:rPr>
                      <w:spacing w:val="6"/>
                      <w:sz w:val="18"/>
                      <w:szCs w:val="18"/>
                    </w:rPr>
                  </w:pPr>
                </w:p>
              </w:tc>
              <w:tc>
                <w:tcPr>
                  <w:tcW w:w="293" w:type="pct"/>
                  <w:vAlign w:val="center"/>
                </w:tcPr>
                <w:p w14:paraId="5F5E59C3">
                  <w:pPr>
                    <w:jc w:val="center"/>
                    <w:rPr>
                      <w:spacing w:val="6"/>
                      <w:sz w:val="18"/>
                      <w:szCs w:val="18"/>
                    </w:rPr>
                  </w:pPr>
                  <w:r>
                    <w:rPr>
                      <w:spacing w:val="6"/>
                      <w:sz w:val="18"/>
                      <w:szCs w:val="18"/>
                    </w:rPr>
                    <w:t>北</w:t>
                  </w:r>
                </w:p>
              </w:tc>
              <w:tc>
                <w:tcPr>
                  <w:tcW w:w="293" w:type="pct"/>
                  <w:vAlign w:val="center"/>
                </w:tcPr>
                <w:p w14:paraId="24416951">
                  <w:pPr>
                    <w:jc w:val="center"/>
                    <w:rPr>
                      <w:spacing w:val="6"/>
                      <w:sz w:val="18"/>
                      <w:szCs w:val="18"/>
                    </w:rPr>
                  </w:pPr>
                  <w:r>
                    <w:rPr>
                      <w:rFonts w:hint="eastAsia"/>
                      <w:spacing w:val="6"/>
                      <w:sz w:val="18"/>
                      <w:szCs w:val="18"/>
                    </w:rPr>
                    <w:t>16</w:t>
                  </w:r>
                </w:p>
              </w:tc>
              <w:tc>
                <w:tcPr>
                  <w:tcW w:w="410" w:type="pct"/>
                  <w:vAlign w:val="center"/>
                </w:tcPr>
                <w:p w14:paraId="7DA02ABE">
                  <w:pPr>
                    <w:jc w:val="center"/>
                    <w:rPr>
                      <w:spacing w:val="6"/>
                      <w:sz w:val="18"/>
                      <w:szCs w:val="18"/>
                    </w:rPr>
                  </w:pPr>
                  <w:r>
                    <w:rPr>
                      <w:rFonts w:hint="eastAsia"/>
                      <w:spacing w:val="6"/>
                      <w:sz w:val="18"/>
                      <w:szCs w:val="18"/>
                    </w:rPr>
                    <w:t>50.9</w:t>
                  </w:r>
                </w:p>
              </w:tc>
              <w:tc>
                <w:tcPr>
                  <w:tcW w:w="293" w:type="pct"/>
                  <w:vMerge w:val="continue"/>
                  <w:vAlign w:val="center"/>
                </w:tcPr>
                <w:p w14:paraId="5F97E07C">
                  <w:pPr>
                    <w:jc w:val="center"/>
                    <w:rPr>
                      <w:spacing w:val="6"/>
                      <w:sz w:val="18"/>
                      <w:szCs w:val="18"/>
                    </w:rPr>
                  </w:pPr>
                </w:p>
              </w:tc>
              <w:tc>
                <w:tcPr>
                  <w:tcW w:w="353" w:type="pct"/>
                  <w:vMerge w:val="continue"/>
                  <w:vAlign w:val="center"/>
                </w:tcPr>
                <w:p w14:paraId="0071BAF0">
                  <w:pPr>
                    <w:jc w:val="center"/>
                    <w:rPr>
                      <w:spacing w:val="6"/>
                      <w:sz w:val="18"/>
                      <w:szCs w:val="18"/>
                    </w:rPr>
                  </w:pPr>
                </w:p>
              </w:tc>
              <w:tc>
                <w:tcPr>
                  <w:tcW w:w="365" w:type="pct"/>
                  <w:vAlign w:val="center"/>
                </w:tcPr>
                <w:p w14:paraId="33FAA0DB">
                  <w:pPr>
                    <w:jc w:val="center"/>
                    <w:rPr>
                      <w:spacing w:val="6"/>
                      <w:sz w:val="18"/>
                      <w:szCs w:val="18"/>
                    </w:rPr>
                  </w:pPr>
                  <w:r>
                    <w:rPr>
                      <w:rFonts w:hint="eastAsia"/>
                      <w:spacing w:val="6"/>
                      <w:sz w:val="18"/>
                      <w:szCs w:val="18"/>
                    </w:rPr>
                    <w:t>35.9</w:t>
                  </w:r>
                </w:p>
              </w:tc>
              <w:tc>
                <w:tcPr>
                  <w:tcW w:w="297" w:type="pct"/>
                  <w:vAlign w:val="center"/>
                </w:tcPr>
                <w:p w14:paraId="4E16D748">
                  <w:pPr>
                    <w:jc w:val="center"/>
                    <w:rPr>
                      <w:sz w:val="18"/>
                      <w:szCs w:val="18"/>
                    </w:rPr>
                  </w:pPr>
                  <w:r>
                    <w:rPr>
                      <w:rFonts w:hint="eastAsia"/>
                      <w:sz w:val="18"/>
                      <w:szCs w:val="18"/>
                    </w:rPr>
                    <w:t>1</w:t>
                  </w:r>
                </w:p>
              </w:tc>
            </w:tr>
            <w:tr w14:paraId="4DD143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restart"/>
                  <w:vAlign w:val="center"/>
                </w:tcPr>
                <w:p w14:paraId="14DCC5C2">
                  <w:pPr>
                    <w:jc w:val="center"/>
                    <w:rPr>
                      <w:spacing w:val="6"/>
                      <w:sz w:val="18"/>
                      <w:szCs w:val="18"/>
                    </w:rPr>
                  </w:pPr>
                  <w:r>
                    <w:rPr>
                      <w:rFonts w:hint="eastAsia"/>
                      <w:spacing w:val="6"/>
                      <w:sz w:val="18"/>
                      <w:szCs w:val="18"/>
                    </w:rPr>
                    <w:t>12</w:t>
                  </w:r>
                </w:p>
              </w:tc>
              <w:tc>
                <w:tcPr>
                  <w:tcW w:w="284" w:type="pct"/>
                  <w:vMerge w:val="continue"/>
                  <w:vAlign w:val="center"/>
                </w:tcPr>
                <w:p w14:paraId="3FC1A167">
                  <w:pPr>
                    <w:jc w:val="center"/>
                    <w:rPr>
                      <w:spacing w:val="6"/>
                      <w:sz w:val="18"/>
                      <w:szCs w:val="18"/>
                    </w:rPr>
                  </w:pPr>
                </w:p>
              </w:tc>
              <w:tc>
                <w:tcPr>
                  <w:tcW w:w="361" w:type="pct"/>
                  <w:vMerge w:val="restart"/>
                  <w:vAlign w:val="center"/>
                </w:tcPr>
                <w:p w14:paraId="757E577A">
                  <w:pPr>
                    <w:jc w:val="center"/>
                    <w:rPr>
                      <w:spacing w:val="6"/>
                      <w:sz w:val="18"/>
                      <w:szCs w:val="18"/>
                    </w:rPr>
                  </w:pPr>
                  <w:r>
                    <w:rPr>
                      <w:spacing w:val="6"/>
                      <w:sz w:val="18"/>
                      <w:szCs w:val="18"/>
                    </w:rPr>
                    <w:t>水泵</w:t>
                  </w:r>
                  <w:r>
                    <w:rPr>
                      <w:rFonts w:hint="eastAsia"/>
                      <w:spacing w:val="6"/>
                      <w:sz w:val="18"/>
                      <w:szCs w:val="18"/>
                    </w:rPr>
                    <w:t>2</w:t>
                  </w:r>
                </w:p>
              </w:tc>
              <w:tc>
                <w:tcPr>
                  <w:tcW w:w="175" w:type="pct"/>
                  <w:vMerge w:val="restart"/>
                  <w:vAlign w:val="center"/>
                </w:tcPr>
                <w:p w14:paraId="3FAF859C">
                  <w:pPr>
                    <w:jc w:val="center"/>
                    <w:rPr>
                      <w:spacing w:val="6"/>
                      <w:sz w:val="18"/>
                      <w:szCs w:val="18"/>
                    </w:rPr>
                  </w:pPr>
                  <w:r>
                    <w:rPr>
                      <w:rFonts w:hint="eastAsia"/>
                      <w:spacing w:val="6"/>
                      <w:sz w:val="18"/>
                      <w:szCs w:val="18"/>
                    </w:rPr>
                    <w:t>/</w:t>
                  </w:r>
                </w:p>
              </w:tc>
              <w:tc>
                <w:tcPr>
                  <w:tcW w:w="586" w:type="pct"/>
                  <w:vMerge w:val="restart"/>
                  <w:vAlign w:val="center"/>
                </w:tcPr>
                <w:p w14:paraId="6F42238B">
                  <w:pPr>
                    <w:jc w:val="center"/>
                    <w:rPr>
                      <w:spacing w:val="6"/>
                      <w:sz w:val="18"/>
                      <w:szCs w:val="18"/>
                    </w:rPr>
                  </w:pPr>
                  <w:r>
                    <w:rPr>
                      <w:rFonts w:hint="eastAsia"/>
                      <w:spacing w:val="6"/>
                      <w:sz w:val="18"/>
                      <w:szCs w:val="18"/>
                    </w:rPr>
                    <w:t>75/1</w:t>
                  </w:r>
                </w:p>
              </w:tc>
              <w:tc>
                <w:tcPr>
                  <w:tcW w:w="360" w:type="pct"/>
                  <w:vMerge w:val="continue"/>
                  <w:vAlign w:val="center"/>
                </w:tcPr>
                <w:p w14:paraId="1DFAD479">
                  <w:pPr>
                    <w:jc w:val="center"/>
                    <w:rPr>
                      <w:spacing w:val="6"/>
                      <w:sz w:val="18"/>
                      <w:szCs w:val="18"/>
                    </w:rPr>
                  </w:pPr>
                </w:p>
              </w:tc>
              <w:tc>
                <w:tcPr>
                  <w:tcW w:w="226" w:type="pct"/>
                  <w:vMerge w:val="restart"/>
                  <w:vAlign w:val="center"/>
                </w:tcPr>
                <w:p w14:paraId="47392325">
                  <w:pPr>
                    <w:jc w:val="center"/>
                    <w:rPr>
                      <w:spacing w:val="6"/>
                      <w:sz w:val="18"/>
                      <w:szCs w:val="18"/>
                    </w:rPr>
                  </w:pPr>
                  <w:r>
                    <w:rPr>
                      <w:rFonts w:hint="eastAsia"/>
                      <w:spacing w:val="6"/>
                      <w:sz w:val="18"/>
                      <w:szCs w:val="18"/>
                    </w:rPr>
                    <w:t>13</w:t>
                  </w:r>
                </w:p>
              </w:tc>
              <w:tc>
                <w:tcPr>
                  <w:tcW w:w="293" w:type="pct"/>
                  <w:vMerge w:val="restart"/>
                  <w:vAlign w:val="center"/>
                </w:tcPr>
                <w:p w14:paraId="533C8934">
                  <w:pPr>
                    <w:jc w:val="center"/>
                    <w:rPr>
                      <w:spacing w:val="6"/>
                      <w:sz w:val="18"/>
                      <w:szCs w:val="18"/>
                    </w:rPr>
                  </w:pPr>
                  <w:r>
                    <w:rPr>
                      <w:rFonts w:hint="eastAsia"/>
                      <w:spacing w:val="6"/>
                      <w:sz w:val="18"/>
                      <w:szCs w:val="18"/>
                    </w:rPr>
                    <w:t>35</w:t>
                  </w:r>
                </w:p>
              </w:tc>
              <w:tc>
                <w:tcPr>
                  <w:tcW w:w="235" w:type="pct"/>
                  <w:vMerge w:val="restart"/>
                  <w:vAlign w:val="center"/>
                </w:tcPr>
                <w:p w14:paraId="0B0A4583">
                  <w:pPr>
                    <w:jc w:val="center"/>
                    <w:rPr>
                      <w:spacing w:val="6"/>
                      <w:sz w:val="18"/>
                      <w:szCs w:val="18"/>
                    </w:rPr>
                  </w:pPr>
                  <w:r>
                    <w:rPr>
                      <w:rFonts w:hint="eastAsia"/>
                      <w:spacing w:val="6"/>
                      <w:sz w:val="18"/>
                      <w:szCs w:val="18"/>
                    </w:rPr>
                    <w:t>1.2</w:t>
                  </w:r>
                </w:p>
              </w:tc>
              <w:tc>
                <w:tcPr>
                  <w:tcW w:w="293" w:type="pct"/>
                  <w:vAlign w:val="center"/>
                </w:tcPr>
                <w:p w14:paraId="41E10CF9">
                  <w:pPr>
                    <w:jc w:val="center"/>
                    <w:rPr>
                      <w:spacing w:val="6"/>
                      <w:sz w:val="18"/>
                      <w:szCs w:val="18"/>
                    </w:rPr>
                  </w:pPr>
                  <w:r>
                    <w:rPr>
                      <w:sz w:val="18"/>
                      <w:szCs w:val="18"/>
                    </w:rPr>
                    <w:t>东</w:t>
                  </w:r>
                </w:p>
              </w:tc>
              <w:tc>
                <w:tcPr>
                  <w:tcW w:w="293" w:type="pct"/>
                  <w:vAlign w:val="center"/>
                </w:tcPr>
                <w:p w14:paraId="152671A0">
                  <w:pPr>
                    <w:jc w:val="center"/>
                    <w:rPr>
                      <w:spacing w:val="6"/>
                      <w:sz w:val="18"/>
                      <w:szCs w:val="18"/>
                    </w:rPr>
                  </w:pPr>
                  <w:r>
                    <w:rPr>
                      <w:rFonts w:hint="eastAsia"/>
                      <w:spacing w:val="6"/>
                      <w:sz w:val="18"/>
                      <w:szCs w:val="18"/>
                    </w:rPr>
                    <w:t>12</w:t>
                  </w:r>
                </w:p>
              </w:tc>
              <w:tc>
                <w:tcPr>
                  <w:tcW w:w="410" w:type="pct"/>
                  <w:vAlign w:val="center"/>
                </w:tcPr>
                <w:p w14:paraId="64EA21BA">
                  <w:pPr>
                    <w:jc w:val="center"/>
                    <w:rPr>
                      <w:spacing w:val="6"/>
                      <w:sz w:val="18"/>
                      <w:szCs w:val="18"/>
                    </w:rPr>
                  </w:pPr>
                  <w:r>
                    <w:rPr>
                      <w:rFonts w:hint="eastAsia"/>
                      <w:spacing w:val="6"/>
                      <w:sz w:val="18"/>
                      <w:szCs w:val="18"/>
                    </w:rPr>
                    <w:t>53.4</w:t>
                  </w:r>
                </w:p>
              </w:tc>
              <w:tc>
                <w:tcPr>
                  <w:tcW w:w="293" w:type="pct"/>
                  <w:vMerge w:val="restart"/>
                  <w:vAlign w:val="center"/>
                </w:tcPr>
                <w:p w14:paraId="4D91D761">
                  <w:pPr>
                    <w:jc w:val="center"/>
                    <w:rPr>
                      <w:spacing w:val="6"/>
                      <w:sz w:val="18"/>
                      <w:szCs w:val="18"/>
                    </w:rPr>
                  </w:pPr>
                  <w:r>
                    <w:rPr>
                      <w:rFonts w:hint="eastAsia"/>
                      <w:spacing w:val="6"/>
                      <w:sz w:val="18"/>
                      <w:szCs w:val="18"/>
                    </w:rPr>
                    <w:t>8h</w:t>
                  </w:r>
                </w:p>
              </w:tc>
              <w:tc>
                <w:tcPr>
                  <w:tcW w:w="353" w:type="pct"/>
                  <w:vMerge w:val="restart"/>
                  <w:vAlign w:val="center"/>
                </w:tcPr>
                <w:p w14:paraId="6B566EEE">
                  <w:pPr>
                    <w:jc w:val="center"/>
                    <w:rPr>
                      <w:spacing w:val="6"/>
                      <w:sz w:val="18"/>
                      <w:szCs w:val="18"/>
                    </w:rPr>
                  </w:pPr>
                  <w:r>
                    <w:rPr>
                      <w:rFonts w:hint="eastAsia"/>
                      <w:spacing w:val="6"/>
                      <w:sz w:val="18"/>
                      <w:szCs w:val="18"/>
                    </w:rPr>
                    <w:t>15</w:t>
                  </w:r>
                </w:p>
              </w:tc>
              <w:tc>
                <w:tcPr>
                  <w:tcW w:w="365" w:type="pct"/>
                  <w:vAlign w:val="center"/>
                </w:tcPr>
                <w:p w14:paraId="1A65578A">
                  <w:pPr>
                    <w:jc w:val="center"/>
                    <w:rPr>
                      <w:spacing w:val="6"/>
                      <w:sz w:val="18"/>
                      <w:szCs w:val="18"/>
                    </w:rPr>
                  </w:pPr>
                  <w:r>
                    <w:rPr>
                      <w:rFonts w:hint="eastAsia"/>
                      <w:spacing w:val="6"/>
                      <w:sz w:val="18"/>
                      <w:szCs w:val="18"/>
                    </w:rPr>
                    <w:t>38.4</w:t>
                  </w:r>
                </w:p>
              </w:tc>
              <w:tc>
                <w:tcPr>
                  <w:tcW w:w="297" w:type="pct"/>
                  <w:vAlign w:val="center"/>
                </w:tcPr>
                <w:p w14:paraId="54E041FF">
                  <w:pPr>
                    <w:jc w:val="center"/>
                    <w:rPr>
                      <w:sz w:val="18"/>
                      <w:szCs w:val="18"/>
                    </w:rPr>
                  </w:pPr>
                  <w:r>
                    <w:rPr>
                      <w:rFonts w:hint="eastAsia"/>
                      <w:sz w:val="18"/>
                      <w:szCs w:val="18"/>
                    </w:rPr>
                    <w:t>1</w:t>
                  </w:r>
                </w:p>
              </w:tc>
            </w:tr>
            <w:tr w14:paraId="76E990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15E6AA93">
                  <w:pPr>
                    <w:jc w:val="center"/>
                    <w:rPr>
                      <w:spacing w:val="6"/>
                      <w:sz w:val="18"/>
                      <w:szCs w:val="18"/>
                    </w:rPr>
                  </w:pPr>
                </w:p>
              </w:tc>
              <w:tc>
                <w:tcPr>
                  <w:tcW w:w="284" w:type="pct"/>
                  <w:vMerge w:val="continue"/>
                  <w:vAlign w:val="center"/>
                </w:tcPr>
                <w:p w14:paraId="576072D1">
                  <w:pPr>
                    <w:jc w:val="center"/>
                    <w:rPr>
                      <w:spacing w:val="6"/>
                      <w:sz w:val="18"/>
                      <w:szCs w:val="18"/>
                    </w:rPr>
                  </w:pPr>
                </w:p>
              </w:tc>
              <w:tc>
                <w:tcPr>
                  <w:tcW w:w="361" w:type="pct"/>
                  <w:vMerge w:val="continue"/>
                  <w:vAlign w:val="center"/>
                </w:tcPr>
                <w:p w14:paraId="52B0274F">
                  <w:pPr>
                    <w:jc w:val="center"/>
                    <w:rPr>
                      <w:spacing w:val="6"/>
                      <w:sz w:val="18"/>
                      <w:szCs w:val="18"/>
                    </w:rPr>
                  </w:pPr>
                </w:p>
              </w:tc>
              <w:tc>
                <w:tcPr>
                  <w:tcW w:w="175" w:type="pct"/>
                  <w:vMerge w:val="continue"/>
                  <w:vAlign w:val="center"/>
                </w:tcPr>
                <w:p w14:paraId="2B36D4DF">
                  <w:pPr>
                    <w:jc w:val="center"/>
                    <w:rPr>
                      <w:spacing w:val="6"/>
                      <w:sz w:val="18"/>
                      <w:szCs w:val="18"/>
                    </w:rPr>
                  </w:pPr>
                </w:p>
              </w:tc>
              <w:tc>
                <w:tcPr>
                  <w:tcW w:w="586" w:type="pct"/>
                  <w:vMerge w:val="continue"/>
                  <w:vAlign w:val="center"/>
                </w:tcPr>
                <w:p w14:paraId="1E2ED45F">
                  <w:pPr>
                    <w:jc w:val="center"/>
                    <w:rPr>
                      <w:spacing w:val="6"/>
                      <w:sz w:val="18"/>
                      <w:szCs w:val="18"/>
                    </w:rPr>
                  </w:pPr>
                </w:p>
              </w:tc>
              <w:tc>
                <w:tcPr>
                  <w:tcW w:w="360" w:type="pct"/>
                  <w:vMerge w:val="continue"/>
                  <w:vAlign w:val="center"/>
                </w:tcPr>
                <w:p w14:paraId="0EDB1C8B">
                  <w:pPr>
                    <w:jc w:val="center"/>
                    <w:rPr>
                      <w:spacing w:val="6"/>
                      <w:sz w:val="18"/>
                      <w:szCs w:val="18"/>
                    </w:rPr>
                  </w:pPr>
                </w:p>
              </w:tc>
              <w:tc>
                <w:tcPr>
                  <w:tcW w:w="226" w:type="pct"/>
                  <w:vMerge w:val="continue"/>
                  <w:vAlign w:val="center"/>
                </w:tcPr>
                <w:p w14:paraId="19A3D088">
                  <w:pPr>
                    <w:jc w:val="center"/>
                    <w:rPr>
                      <w:spacing w:val="6"/>
                      <w:sz w:val="18"/>
                      <w:szCs w:val="18"/>
                    </w:rPr>
                  </w:pPr>
                </w:p>
              </w:tc>
              <w:tc>
                <w:tcPr>
                  <w:tcW w:w="293" w:type="pct"/>
                  <w:vMerge w:val="continue"/>
                  <w:vAlign w:val="center"/>
                </w:tcPr>
                <w:p w14:paraId="43E9601C">
                  <w:pPr>
                    <w:jc w:val="center"/>
                    <w:rPr>
                      <w:spacing w:val="6"/>
                      <w:sz w:val="18"/>
                      <w:szCs w:val="18"/>
                    </w:rPr>
                  </w:pPr>
                </w:p>
              </w:tc>
              <w:tc>
                <w:tcPr>
                  <w:tcW w:w="235" w:type="pct"/>
                  <w:vMerge w:val="continue"/>
                  <w:vAlign w:val="center"/>
                </w:tcPr>
                <w:p w14:paraId="7F59A01A">
                  <w:pPr>
                    <w:jc w:val="center"/>
                    <w:rPr>
                      <w:spacing w:val="6"/>
                      <w:sz w:val="18"/>
                      <w:szCs w:val="18"/>
                    </w:rPr>
                  </w:pPr>
                </w:p>
              </w:tc>
              <w:tc>
                <w:tcPr>
                  <w:tcW w:w="293" w:type="pct"/>
                  <w:vAlign w:val="center"/>
                </w:tcPr>
                <w:p w14:paraId="7C123B97">
                  <w:pPr>
                    <w:jc w:val="center"/>
                    <w:rPr>
                      <w:spacing w:val="6"/>
                      <w:sz w:val="18"/>
                      <w:szCs w:val="18"/>
                    </w:rPr>
                  </w:pPr>
                  <w:r>
                    <w:rPr>
                      <w:spacing w:val="6"/>
                      <w:sz w:val="18"/>
                      <w:szCs w:val="18"/>
                    </w:rPr>
                    <w:t>南</w:t>
                  </w:r>
                </w:p>
              </w:tc>
              <w:tc>
                <w:tcPr>
                  <w:tcW w:w="293" w:type="pct"/>
                  <w:vAlign w:val="center"/>
                </w:tcPr>
                <w:p w14:paraId="329393BF">
                  <w:pPr>
                    <w:jc w:val="center"/>
                    <w:rPr>
                      <w:spacing w:val="6"/>
                      <w:sz w:val="18"/>
                      <w:szCs w:val="18"/>
                    </w:rPr>
                  </w:pPr>
                  <w:r>
                    <w:rPr>
                      <w:rFonts w:hint="eastAsia"/>
                      <w:spacing w:val="6"/>
                      <w:sz w:val="18"/>
                      <w:szCs w:val="18"/>
                    </w:rPr>
                    <w:t>96</w:t>
                  </w:r>
                </w:p>
              </w:tc>
              <w:tc>
                <w:tcPr>
                  <w:tcW w:w="410" w:type="pct"/>
                  <w:vAlign w:val="center"/>
                </w:tcPr>
                <w:p w14:paraId="37F8D43B">
                  <w:pPr>
                    <w:jc w:val="center"/>
                    <w:rPr>
                      <w:spacing w:val="6"/>
                      <w:sz w:val="18"/>
                      <w:szCs w:val="18"/>
                    </w:rPr>
                  </w:pPr>
                  <w:r>
                    <w:rPr>
                      <w:rFonts w:hint="eastAsia"/>
                      <w:spacing w:val="6"/>
                      <w:sz w:val="18"/>
                      <w:szCs w:val="18"/>
                    </w:rPr>
                    <w:t>35.4</w:t>
                  </w:r>
                </w:p>
              </w:tc>
              <w:tc>
                <w:tcPr>
                  <w:tcW w:w="293" w:type="pct"/>
                  <w:vMerge w:val="continue"/>
                  <w:vAlign w:val="center"/>
                </w:tcPr>
                <w:p w14:paraId="2AE7A691">
                  <w:pPr>
                    <w:jc w:val="center"/>
                    <w:rPr>
                      <w:spacing w:val="6"/>
                      <w:sz w:val="18"/>
                      <w:szCs w:val="18"/>
                    </w:rPr>
                  </w:pPr>
                </w:p>
              </w:tc>
              <w:tc>
                <w:tcPr>
                  <w:tcW w:w="353" w:type="pct"/>
                  <w:vMerge w:val="continue"/>
                  <w:vAlign w:val="center"/>
                </w:tcPr>
                <w:p w14:paraId="1D252714">
                  <w:pPr>
                    <w:jc w:val="center"/>
                    <w:rPr>
                      <w:spacing w:val="6"/>
                      <w:sz w:val="18"/>
                      <w:szCs w:val="18"/>
                    </w:rPr>
                  </w:pPr>
                </w:p>
              </w:tc>
              <w:tc>
                <w:tcPr>
                  <w:tcW w:w="365" w:type="pct"/>
                  <w:vAlign w:val="center"/>
                </w:tcPr>
                <w:p w14:paraId="5F094196">
                  <w:pPr>
                    <w:jc w:val="center"/>
                    <w:rPr>
                      <w:spacing w:val="6"/>
                      <w:sz w:val="18"/>
                      <w:szCs w:val="18"/>
                    </w:rPr>
                  </w:pPr>
                  <w:r>
                    <w:rPr>
                      <w:rFonts w:hint="eastAsia"/>
                      <w:spacing w:val="6"/>
                      <w:sz w:val="18"/>
                      <w:szCs w:val="18"/>
                    </w:rPr>
                    <w:t>20.4</w:t>
                  </w:r>
                </w:p>
              </w:tc>
              <w:tc>
                <w:tcPr>
                  <w:tcW w:w="297" w:type="pct"/>
                  <w:vAlign w:val="center"/>
                </w:tcPr>
                <w:p w14:paraId="4A78B628">
                  <w:pPr>
                    <w:jc w:val="center"/>
                    <w:rPr>
                      <w:sz w:val="18"/>
                      <w:szCs w:val="18"/>
                    </w:rPr>
                  </w:pPr>
                  <w:r>
                    <w:rPr>
                      <w:rFonts w:hint="eastAsia"/>
                      <w:sz w:val="18"/>
                      <w:szCs w:val="18"/>
                    </w:rPr>
                    <w:t>1</w:t>
                  </w:r>
                </w:p>
              </w:tc>
            </w:tr>
            <w:tr w14:paraId="6A26C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25D0124D">
                  <w:pPr>
                    <w:jc w:val="center"/>
                    <w:rPr>
                      <w:spacing w:val="6"/>
                      <w:sz w:val="18"/>
                      <w:szCs w:val="18"/>
                    </w:rPr>
                  </w:pPr>
                </w:p>
              </w:tc>
              <w:tc>
                <w:tcPr>
                  <w:tcW w:w="284" w:type="pct"/>
                  <w:vMerge w:val="continue"/>
                  <w:vAlign w:val="center"/>
                </w:tcPr>
                <w:p w14:paraId="72F2ABF9">
                  <w:pPr>
                    <w:jc w:val="center"/>
                    <w:rPr>
                      <w:spacing w:val="6"/>
                      <w:sz w:val="18"/>
                      <w:szCs w:val="18"/>
                    </w:rPr>
                  </w:pPr>
                </w:p>
              </w:tc>
              <w:tc>
                <w:tcPr>
                  <w:tcW w:w="361" w:type="pct"/>
                  <w:vMerge w:val="continue"/>
                  <w:vAlign w:val="center"/>
                </w:tcPr>
                <w:p w14:paraId="3774BFDA">
                  <w:pPr>
                    <w:jc w:val="center"/>
                    <w:rPr>
                      <w:spacing w:val="6"/>
                      <w:sz w:val="18"/>
                      <w:szCs w:val="18"/>
                    </w:rPr>
                  </w:pPr>
                </w:p>
              </w:tc>
              <w:tc>
                <w:tcPr>
                  <w:tcW w:w="175" w:type="pct"/>
                  <w:vMerge w:val="continue"/>
                  <w:vAlign w:val="center"/>
                </w:tcPr>
                <w:p w14:paraId="70C86AD4">
                  <w:pPr>
                    <w:jc w:val="center"/>
                    <w:rPr>
                      <w:spacing w:val="6"/>
                      <w:sz w:val="18"/>
                      <w:szCs w:val="18"/>
                    </w:rPr>
                  </w:pPr>
                </w:p>
              </w:tc>
              <w:tc>
                <w:tcPr>
                  <w:tcW w:w="586" w:type="pct"/>
                  <w:vMerge w:val="continue"/>
                  <w:vAlign w:val="center"/>
                </w:tcPr>
                <w:p w14:paraId="1FEF10BA">
                  <w:pPr>
                    <w:jc w:val="center"/>
                    <w:rPr>
                      <w:spacing w:val="6"/>
                      <w:sz w:val="18"/>
                      <w:szCs w:val="18"/>
                    </w:rPr>
                  </w:pPr>
                </w:p>
              </w:tc>
              <w:tc>
                <w:tcPr>
                  <w:tcW w:w="360" w:type="pct"/>
                  <w:vMerge w:val="continue"/>
                  <w:vAlign w:val="center"/>
                </w:tcPr>
                <w:p w14:paraId="26A8FEED">
                  <w:pPr>
                    <w:jc w:val="center"/>
                    <w:rPr>
                      <w:spacing w:val="6"/>
                      <w:sz w:val="18"/>
                      <w:szCs w:val="18"/>
                    </w:rPr>
                  </w:pPr>
                </w:p>
              </w:tc>
              <w:tc>
                <w:tcPr>
                  <w:tcW w:w="226" w:type="pct"/>
                  <w:vMerge w:val="continue"/>
                  <w:vAlign w:val="center"/>
                </w:tcPr>
                <w:p w14:paraId="763EE6C1">
                  <w:pPr>
                    <w:jc w:val="center"/>
                    <w:rPr>
                      <w:spacing w:val="6"/>
                      <w:sz w:val="18"/>
                      <w:szCs w:val="18"/>
                    </w:rPr>
                  </w:pPr>
                </w:p>
              </w:tc>
              <w:tc>
                <w:tcPr>
                  <w:tcW w:w="293" w:type="pct"/>
                  <w:vMerge w:val="continue"/>
                  <w:vAlign w:val="center"/>
                </w:tcPr>
                <w:p w14:paraId="7E84685B">
                  <w:pPr>
                    <w:jc w:val="center"/>
                    <w:rPr>
                      <w:spacing w:val="6"/>
                      <w:sz w:val="18"/>
                      <w:szCs w:val="18"/>
                    </w:rPr>
                  </w:pPr>
                </w:p>
              </w:tc>
              <w:tc>
                <w:tcPr>
                  <w:tcW w:w="235" w:type="pct"/>
                  <w:vMerge w:val="continue"/>
                  <w:vAlign w:val="center"/>
                </w:tcPr>
                <w:p w14:paraId="14E53C08">
                  <w:pPr>
                    <w:jc w:val="center"/>
                    <w:rPr>
                      <w:spacing w:val="6"/>
                      <w:sz w:val="18"/>
                      <w:szCs w:val="18"/>
                    </w:rPr>
                  </w:pPr>
                </w:p>
              </w:tc>
              <w:tc>
                <w:tcPr>
                  <w:tcW w:w="293" w:type="pct"/>
                  <w:vAlign w:val="center"/>
                </w:tcPr>
                <w:p w14:paraId="020B6A18">
                  <w:pPr>
                    <w:jc w:val="center"/>
                    <w:rPr>
                      <w:spacing w:val="6"/>
                      <w:sz w:val="18"/>
                      <w:szCs w:val="18"/>
                    </w:rPr>
                  </w:pPr>
                  <w:r>
                    <w:rPr>
                      <w:spacing w:val="6"/>
                      <w:sz w:val="18"/>
                      <w:szCs w:val="18"/>
                    </w:rPr>
                    <w:t>西</w:t>
                  </w:r>
                </w:p>
              </w:tc>
              <w:tc>
                <w:tcPr>
                  <w:tcW w:w="293" w:type="pct"/>
                  <w:vAlign w:val="center"/>
                </w:tcPr>
                <w:p w14:paraId="03AF8D51">
                  <w:pPr>
                    <w:jc w:val="center"/>
                    <w:rPr>
                      <w:spacing w:val="6"/>
                      <w:sz w:val="18"/>
                      <w:szCs w:val="18"/>
                    </w:rPr>
                  </w:pPr>
                  <w:r>
                    <w:rPr>
                      <w:rFonts w:hint="eastAsia"/>
                      <w:spacing w:val="6"/>
                      <w:sz w:val="18"/>
                      <w:szCs w:val="18"/>
                    </w:rPr>
                    <w:t>35</w:t>
                  </w:r>
                </w:p>
              </w:tc>
              <w:tc>
                <w:tcPr>
                  <w:tcW w:w="410" w:type="pct"/>
                  <w:vAlign w:val="center"/>
                </w:tcPr>
                <w:p w14:paraId="464AAB77">
                  <w:pPr>
                    <w:jc w:val="center"/>
                    <w:rPr>
                      <w:spacing w:val="6"/>
                      <w:sz w:val="18"/>
                      <w:szCs w:val="18"/>
                    </w:rPr>
                  </w:pPr>
                  <w:r>
                    <w:rPr>
                      <w:rFonts w:hint="eastAsia"/>
                      <w:spacing w:val="6"/>
                      <w:sz w:val="18"/>
                      <w:szCs w:val="18"/>
                    </w:rPr>
                    <w:t>44.1</w:t>
                  </w:r>
                </w:p>
              </w:tc>
              <w:tc>
                <w:tcPr>
                  <w:tcW w:w="293" w:type="pct"/>
                  <w:vMerge w:val="continue"/>
                  <w:vAlign w:val="center"/>
                </w:tcPr>
                <w:p w14:paraId="340BBFFF">
                  <w:pPr>
                    <w:jc w:val="center"/>
                    <w:rPr>
                      <w:spacing w:val="6"/>
                      <w:sz w:val="18"/>
                      <w:szCs w:val="18"/>
                    </w:rPr>
                  </w:pPr>
                </w:p>
              </w:tc>
              <w:tc>
                <w:tcPr>
                  <w:tcW w:w="353" w:type="pct"/>
                  <w:vMerge w:val="continue"/>
                  <w:vAlign w:val="center"/>
                </w:tcPr>
                <w:p w14:paraId="3DDAC680">
                  <w:pPr>
                    <w:jc w:val="center"/>
                    <w:rPr>
                      <w:spacing w:val="6"/>
                      <w:sz w:val="18"/>
                      <w:szCs w:val="18"/>
                    </w:rPr>
                  </w:pPr>
                </w:p>
              </w:tc>
              <w:tc>
                <w:tcPr>
                  <w:tcW w:w="365" w:type="pct"/>
                  <w:vAlign w:val="center"/>
                </w:tcPr>
                <w:p w14:paraId="174C554A">
                  <w:pPr>
                    <w:jc w:val="center"/>
                    <w:rPr>
                      <w:spacing w:val="6"/>
                      <w:sz w:val="18"/>
                      <w:szCs w:val="18"/>
                    </w:rPr>
                  </w:pPr>
                  <w:r>
                    <w:rPr>
                      <w:rFonts w:hint="eastAsia"/>
                      <w:spacing w:val="6"/>
                      <w:sz w:val="18"/>
                      <w:szCs w:val="18"/>
                    </w:rPr>
                    <w:t>29.1</w:t>
                  </w:r>
                </w:p>
              </w:tc>
              <w:tc>
                <w:tcPr>
                  <w:tcW w:w="297" w:type="pct"/>
                  <w:vAlign w:val="center"/>
                </w:tcPr>
                <w:p w14:paraId="3E7CF12A">
                  <w:pPr>
                    <w:jc w:val="center"/>
                    <w:rPr>
                      <w:sz w:val="18"/>
                      <w:szCs w:val="18"/>
                    </w:rPr>
                  </w:pPr>
                  <w:r>
                    <w:rPr>
                      <w:rFonts w:hint="eastAsia"/>
                      <w:sz w:val="18"/>
                      <w:szCs w:val="18"/>
                    </w:rPr>
                    <w:t>1</w:t>
                  </w:r>
                </w:p>
              </w:tc>
            </w:tr>
            <w:tr w14:paraId="52BC86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76" w:type="pct"/>
                  <w:vMerge w:val="continue"/>
                  <w:vAlign w:val="center"/>
                </w:tcPr>
                <w:p w14:paraId="4DBC8C12">
                  <w:pPr>
                    <w:jc w:val="center"/>
                    <w:rPr>
                      <w:spacing w:val="6"/>
                      <w:sz w:val="18"/>
                      <w:szCs w:val="18"/>
                    </w:rPr>
                  </w:pPr>
                </w:p>
              </w:tc>
              <w:tc>
                <w:tcPr>
                  <w:tcW w:w="284" w:type="pct"/>
                  <w:vMerge w:val="continue"/>
                  <w:vAlign w:val="center"/>
                </w:tcPr>
                <w:p w14:paraId="55972995">
                  <w:pPr>
                    <w:jc w:val="center"/>
                    <w:rPr>
                      <w:spacing w:val="6"/>
                      <w:sz w:val="18"/>
                      <w:szCs w:val="18"/>
                    </w:rPr>
                  </w:pPr>
                </w:p>
              </w:tc>
              <w:tc>
                <w:tcPr>
                  <w:tcW w:w="361" w:type="pct"/>
                  <w:vMerge w:val="continue"/>
                  <w:vAlign w:val="center"/>
                </w:tcPr>
                <w:p w14:paraId="40660033">
                  <w:pPr>
                    <w:jc w:val="center"/>
                    <w:rPr>
                      <w:spacing w:val="6"/>
                      <w:sz w:val="18"/>
                      <w:szCs w:val="18"/>
                    </w:rPr>
                  </w:pPr>
                </w:p>
              </w:tc>
              <w:tc>
                <w:tcPr>
                  <w:tcW w:w="175" w:type="pct"/>
                  <w:vMerge w:val="continue"/>
                  <w:vAlign w:val="center"/>
                </w:tcPr>
                <w:p w14:paraId="1C52EAF8">
                  <w:pPr>
                    <w:jc w:val="center"/>
                    <w:rPr>
                      <w:spacing w:val="6"/>
                      <w:sz w:val="18"/>
                      <w:szCs w:val="18"/>
                    </w:rPr>
                  </w:pPr>
                </w:p>
              </w:tc>
              <w:tc>
                <w:tcPr>
                  <w:tcW w:w="586" w:type="pct"/>
                  <w:vMerge w:val="continue"/>
                  <w:vAlign w:val="center"/>
                </w:tcPr>
                <w:p w14:paraId="545C0A86">
                  <w:pPr>
                    <w:jc w:val="center"/>
                    <w:rPr>
                      <w:spacing w:val="6"/>
                      <w:sz w:val="18"/>
                      <w:szCs w:val="18"/>
                    </w:rPr>
                  </w:pPr>
                </w:p>
              </w:tc>
              <w:tc>
                <w:tcPr>
                  <w:tcW w:w="360" w:type="pct"/>
                  <w:vMerge w:val="continue"/>
                  <w:vAlign w:val="center"/>
                </w:tcPr>
                <w:p w14:paraId="09E3BB2C">
                  <w:pPr>
                    <w:jc w:val="center"/>
                    <w:rPr>
                      <w:spacing w:val="6"/>
                      <w:sz w:val="18"/>
                      <w:szCs w:val="18"/>
                    </w:rPr>
                  </w:pPr>
                </w:p>
              </w:tc>
              <w:tc>
                <w:tcPr>
                  <w:tcW w:w="226" w:type="pct"/>
                  <w:vMerge w:val="continue"/>
                  <w:vAlign w:val="center"/>
                </w:tcPr>
                <w:p w14:paraId="44998900">
                  <w:pPr>
                    <w:jc w:val="center"/>
                    <w:rPr>
                      <w:spacing w:val="6"/>
                      <w:sz w:val="18"/>
                      <w:szCs w:val="18"/>
                    </w:rPr>
                  </w:pPr>
                </w:p>
              </w:tc>
              <w:tc>
                <w:tcPr>
                  <w:tcW w:w="293" w:type="pct"/>
                  <w:vMerge w:val="continue"/>
                  <w:vAlign w:val="center"/>
                </w:tcPr>
                <w:p w14:paraId="3E7CBFF3">
                  <w:pPr>
                    <w:jc w:val="center"/>
                    <w:rPr>
                      <w:spacing w:val="6"/>
                      <w:sz w:val="18"/>
                      <w:szCs w:val="18"/>
                    </w:rPr>
                  </w:pPr>
                </w:p>
              </w:tc>
              <w:tc>
                <w:tcPr>
                  <w:tcW w:w="235" w:type="pct"/>
                  <w:vMerge w:val="continue"/>
                  <w:vAlign w:val="center"/>
                </w:tcPr>
                <w:p w14:paraId="0723AACE">
                  <w:pPr>
                    <w:jc w:val="center"/>
                    <w:rPr>
                      <w:spacing w:val="6"/>
                      <w:sz w:val="18"/>
                      <w:szCs w:val="18"/>
                    </w:rPr>
                  </w:pPr>
                </w:p>
              </w:tc>
              <w:tc>
                <w:tcPr>
                  <w:tcW w:w="293" w:type="pct"/>
                  <w:vAlign w:val="center"/>
                </w:tcPr>
                <w:p w14:paraId="58288264">
                  <w:pPr>
                    <w:jc w:val="center"/>
                    <w:rPr>
                      <w:spacing w:val="6"/>
                      <w:sz w:val="18"/>
                      <w:szCs w:val="18"/>
                    </w:rPr>
                  </w:pPr>
                  <w:r>
                    <w:rPr>
                      <w:spacing w:val="6"/>
                      <w:sz w:val="18"/>
                      <w:szCs w:val="18"/>
                    </w:rPr>
                    <w:t>北</w:t>
                  </w:r>
                </w:p>
              </w:tc>
              <w:tc>
                <w:tcPr>
                  <w:tcW w:w="293" w:type="pct"/>
                  <w:vAlign w:val="center"/>
                </w:tcPr>
                <w:p w14:paraId="04D20788">
                  <w:pPr>
                    <w:jc w:val="center"/>
                    <w:rPr>
                      <w:spacing w:val="6"/>
                      <w:sz w:val="18"/>
                      <w:szCs w:val="18"/>
                    </w:rPr>
                  </w:pPr>
                  <w:r>
                    <w:rPr>
                      <w:rFonts w:hint="eastAsia"/>
                      <w:spacing w:val="6"/>
                      <w:sz w:val="18"/>
                      <w:szCs w:val="18"/>
                    </w:rPr>
                    <w:t>17</w:t>
                  </w:r>
                </w:p>
              </w:tc>
              <w:tc>
                <w:tcPr>
                  <w:tcW w:w="410" w:type="pct"/>
                  <w:vAlign w:val="center"/>
                </w:tcPr>
                <w:p w14:paraId="3D0745B8">
                  <w:pPr>
                    <w:jc w:val="center"/>
                    <w:rPr>
                      <w:spacing w:val="6"/>
                      <w:sz w:val="18"/>
                      <w:szCs w:val="18"/>
                    </w:rPr>
                  </w:pPr>
                  <w:r>
                    <w:rPr>
                      <w:rFonts w:hint="eastAsia"/>
                      <w:spacing w:val="6"/>
                      <w:sz w:val="18"/>
                      <w:szCs w:val="18"/>
                    </w:rPr>
                    <w:t>50.4</w:t>
                  </w:r>
                </w:p>
              </w:tc>
              <w:tc>
                <w:tcPr>
                  <w:tcW w:w="293" w:type="pct"/>
                  <w:vMerge w:val="continue"/>
                  <w:vAlign w:val="center"/>
                </w:tcPr>
                <w:p w14:paraId="29925AC1">
                  <w:pPr>
                    <w:jc w:val="center"/>
                    <w:rPr>
                      <w:spacing w:val="6"/>
                      <w:sz w:val="18"/>
                      <w:szCs w:val="18"/>
                    </w:rPr>
                  </w:pPr>
                </w:p>
              </w:tc>
              <w:tc>
                <w:tcPr>
                  <w:tcW w:w="353" w:type="pct"/>
                  <w:vMerge w:val="continue"/>
                  <w:vAlign w:val="center"/>
                </w:tcPr>
                <w:p w14:paraId="00AEC2A5">
                  <w:pPr>
                    <w:jc w:val="center"/>
                    <w:rPr>
                      <w:spacing w:val="6"/>
                      <w:sz w:val="18"/>
                      <w:szCs w:val="18"/>
                    </w:rPr>
                  </w:pPr>
                </w:p>
              </w:tc>
              <w:tc>
                <w:tcPr>
                  <w:tcW w:w="365" w:type="pct"/>
                  <w:vAlign w:val="center"/>
                </w:tcPr>
                <w:p w14:paraId="0AD6E9B9">
                  <w:pPr>
                    <w:jc w:val="center"/>
                    <w:rPr>
                      <w:spacing w:val="6"/>
                      <w:sz w:val="18"/>
                      <w:szCs w:val="18"/>
                    </w:rPr>
                  </w:pPr>
                  <w:r>
                    <w:rPr>
                      <w:rFonts w:hint="eastAsia"/>
                      <w:spacing w:val="6"/>
                      <w:sz w:val="18"/>
                      <w:szCs w:val="18"/>
                    </w:rPr>
                    <w:t>35.4</w:t>
                  </w:r>
                </w:p>
              </w:tc>
              <w:tc>
                <w:tcPr>
                  <w:tcW w:w="297" w:type="pct"/>
                  <w:vAlign w:val="center"/>
                </w:tcPr>
                <w:p w14:paraId="7F09C0E8">
                  <w:pPr>
                    <w:jc w:val="center"/>
                    <w:rPr>
                      <w:sz w:val="18"/>
                      <w:szCs w:val="18"/>
                    </w:rPr>
                  </w:pPr>
                  <w:r>
                    <w:rPr>
                      <w:rFonts w:hint="eastAsia"/>
                      <w:sz w:val="18"/>
                      <w:szCs w:val="18"/>
                    </w:rPr>
                    <w:t>1</w:t>
                  </w:r>
                </w:p>
              </w:tc>
            </w:tr>
          </w:tbl>
          <w:p w14:paraId="4D29CB30">
            <w:pPr>
              <w:tabs>
                <w:tab w:val="left" w:pos="3398"/>
              </w:tabs>
              <w:spacing w:line="360" w:lineRule="auto"/>
              <w:rPr>
                <w:szCs w:val="21"/>
              </w:rPr>
            </w:pPr>
            <w:r>
              <w:rPr>
                <w:rFonts w:hint="eastAsia"/>
                <w:szCs w:val="21"/>
              </w:rPr>
              <w:t>注：表中坐标以项目厂房中心（E</w:t>
            </w:r>
            <w:r>
              <w:rPr>
                <w:szCs w:val="21"/>
              </w:rPr>
              <w:t>115.123021381°</w:t>
            </w:r>
            <w:r>
              <w:rPr>
                <w:rFonts w:hint="eastAsia"/>
                <w:szCs w:val="21"/>
              </w:rPr>
              <w:t>，N</w:t>
            </w:r>
            <w:r>
              <w:rPr>
                <w:szCs w:val="21"/>
              </w:rPr>
              <w:t>35.848465146°</w:t>
            </w:r>
            <w:r>
              <w:rPr>
                <w:rFonts w:hint="eastAsia"/>
                <w:szCs w:val="21"/>
              </w:rPr>
              <w:t>）为坐标原点，正东向为X轴正方向，正北向为Y轴正方向。</w:t>
            </w:r>
          </w:p>
          <w:p w14:paraId="136D6D91">
            <w:pPr>
              <w:tabs>
                <w:tab w:val="left" w:pos="3398"/>
              </w:tabs>
              <w:spacing w:line="360" w:lineRule="auto"/>
              <w:rPr>
                <w:szCs w:val="21"/>
              </w:rPr>
            </w:pPr>
          </w:p>
          <w:p w14:paraId="4CABAC59">
            <w:pPr>
              <w:tabs>
                <w:tab w:val="left" w:pos="3398"/>
              </w:tabs>
              <w:spacing w:line="360" w:lineRule="auto"/>
            </w:pPr>
          </w:p>
        </w:tc>
      </w:tr>
    </w:tbl>
    <w:p w14:paraId="44D9E435">
      <w:pPr>
        <w:adjustRightInd w:val="0"/>
        <w:snapToGrid w:val="0"/>
        <w:rPr>
          <w:rFonts w:ascii="宋体" w:hAnsi="宋体" w:cs="宋体"/>
          <w:bCs/>
          <w:szCs w:val="21"/>
        </w:rPr>
        <w:sectPr>
          <w:pgSz w:w="16840" w:h="11907" w:orient="landscape"/>
          <w:pgMar w:top="1531" w:right="2126" w:bottom="1531" w:left="1701" w:header="851" w:footer="1134" w:gutter="0"/>
          <w:cols w:space="720" w:num="1"/>
          <w:docGrid w:linePitch="312" w:charSpace="0"/>
        </w:sectPr>
      </w:pPr>
    </w:p>
    <w:tbl>
      <w:tblPr>
        <w:tblStyle w:val="3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309"/>
      </w:tblGrid>
      <w:tr w14:paraId="79060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0" w:hRule="atLeast"/>
          <w:jc w:val="center"/>
        </w:trPr>
        <w:tc>
          <w:tcPr>
            <w:tcW w:w="599" w:type="dxa"/>
            <w:tcMar>
              <w:left w:w="28" w:type="dxa"/>
              <w:right w:w="28" w:type="dxa"/>
            </w:tcMar>
            <w:vAlign w:val="center"/>
          </w:tcPr>
          <w:p w14:paraId="31966E0B">
            <w:pPr>
              <w:pStyle w:val="33"/>
            </w:pPr>
            <w:bookmarkStart w:id="52" w:name="_Toc157673452"/>
            <w:r>
              <w:rPr>
                <w:rFonts w:hint="eastAsia"/>
              </w:rPr>
              <w:t>营运期环境影响和保护措施</w:t>
            </w:r>
            <w:bookmarkEnd w:id="52"/>
          </w:p>
        </w:tc>
        <w:tc>
          <w:tcPr>
            <w:tcW w:w="8309" w:type="dxa"/>
            <w:vAlign w:val="center"/>
          </w:tcPr>
          <w:p w14:paraId="568E0F27">
            <w:pPr>
              <w:snapToGrid w:val="0"/>
              <w:spacing w:line="360" w:lineRule="auto"/>
              <w:ind w:firstLine="482" w:firstLineChars="200"/>
              <w:rPr>
                <w:b/>
                <w:sz w:val="24"/>
              </w:rPr>
            </w:pPr>
            <w:r>
              <w:rPr>
                <w:rFonts w:hint="eastAsia"/>
                <w:b/>
                <w:sz w:val="24"/>
              </w:rPr>
              <w:t>3.2预测模型</w:t>
            </w:r>
          </w:p>
          <w:p w14:paraId="0EF0C102">
            <w:pPr>
              <w:keepNext/>
              <w:adjustRightInd w:val="0"/>
              <w:snapToGrid w:val="0"/>
              <w:spacing w:line="360" w:lineRule="auto"/>
              <w:ind w:firstLine="480" w:firstLineChars="200"/>
              <w:rPr>
                <w:snapToGrid w:val="0"/>
                <w:kern w:val="0"/>
                <w:sz w:val="24"/>
              </w:rPr>
            </w:pPr>
            <w:r>
              <w:rPr>
                <w:snapToGrid w:val="0"/>
                <w:kern w:val="0"/>
                <w:sz w:val="24"/>
              </w:rPr>
              <w:t>项目四周厂界噪声</w:t>
            </w:r>
            <w:r>
              <w:rPr>
                <w:rFonts w:hint="eastAsia"/>
                <w:snapToGrid w:val="0"/>
                <w:kern w:val="0"/>
                <w:sz w:val="24"/>
              </w:rPr>
              <w:t>贡献值</w:t>
            </w:r>
            <w:r>
              <w:rPr>
                <w:snapToGrid w:val="0"/>
                <w:kern w:val="0"/>
                <w:sz w:val="24"/>
              </w:rPr>
              <w:t>采取《环境影响评价技术导则 声环境》（HJ/T2.4-2021）推荐模式进行预测。</w:t>
            </w:r>
            <w:r>
              <w:rPr>
                <w:rFonts w:hint="eastAsia"/>
                <w:snapToGrid w:val="0"/>
                <w:kern w:val="0"/>
                <w:sz w:val="24"/>
              </w:rPr>
              <w:t>工业声源有室外和室内两种声源，应分别计算。</w:t>
            </w:r>
          </w:p>
          <w:p w14:paraId="348A4E4E">
            <w:pPr>
              <w:spacing w:line="360" w:lineRule="auto"/>
              <w:ind w:firstLine="480" w:firstLineChars="200"/>
              <w:rPr>
                <w:sz w:val="24"/>
              </w:rPr>
            </w:pPr>
            <w:r>
              <w:rPr>
                <w:rFonts w:hint="eastAsia"/>
                <w:sz w:val="24"/>
              </w:rPr>
              <w:t>（1）户外声传播衰减包括几何发散（A</w:t>
            </w:r>
            <w:r>
              <w:rPr>
                <w:rFonts w:hint="eastAsia"/>
                <w:sz w:val="24"/>
                <w:vertAlign w:val="subscript"/>
              </w:rPr>
              <w:t>div</w:t>
            </w:r>
            <w:r>
              <w:rPr>
                <w:rFonts w:hint="eastAsia"/>
                <w:sz w:val="24"/>
              </w:rPr>
              <w:t>）、大气吸收（A</w:t>
            </w:r>
            <w:r>
              <w:rPr>
                <w:rFonts w:hint="eastAsia"/>
                <w:sz w:val="24"/>
                <w:vertAlign w:val="subscript"/>
              </w:rPr>
              <w:t>atm</w:t>
            </w:r>
            <w:r>
              <w:rPr>
                <w:rFonts w:hint="eastAsia"/>
                <w:sz w:val="24"/>
              </w:rPr>
              <w:t>）、地面效应（A</w:t>
            </w:r>
            <w:r>
              <w:rPr>
                <w:rFonts w:hint="eastAsia"/>
                <w:sz w:val="24"/>
                <w:vertAlign w:val="subscript"/>
              </w:rPr>
              <w:t>gr</w:t>
            </w:r>
            <w:r>
              <w:rPr>
                <w:rFonts w:hint="eastAsia"/>
                <w:sz w:val="24"/>
              </w:rPr>
              <w:t>）、障碍物屏蔽（A</w:t>
            </w:r>
            <w:r>
              <w:rPr>
                <w:rFonts w:hint="eastAsia"/>
                <w:sz w:val="24"/>
                <w:vertAlign w:val="subscript"/>
              </w:rPr>
              <w:t>bar</w:t>
            </w:r>
            <w:r>
              <w:rPr>
                <w:rFonts w:hint="eastAsia"/>
                <w:sz w:val="24"/>
              </w:rPr>
              <w:t>）、其他多方面效应（A</w:t>
            </w:r>
            <w:r>
              <w:rPr>
                <w:rFonts w:hint="eastAsia"/>
                <w:sz w:val="24"/>
                <w:vertAlign w:val="subscript"/>
              </w:rPr>
              <w:t>misc</w:t>
            </w:r>
            <w:r>
              <w:rPr>
                <w:rFonts w:hint="eastAsia"/>
                <w:sz w:val="24"/>
              </w:rPr>
              <w:t>）引起的衰减。</w:t>
            </w:r>
          </w:p>
          <w:p w14:paraId="6AB0944C">
            <w:pPr>
              <w:spacing w:line="360" w:lineRule="auto"/>
              <w:ind w:firstLine="480" w:firstLineChars="200"/>
              <w:rPr>
                <w:sz w:val="24"/>
              </w:rPr>
            </w:pPr>
            <w:r>
              <w:rPr>
                <w:rFonts w:hint="eastAsia"/>
                <w:sz w:val="24"/>
              </w:rPr>
              <w:t>L</w:t>
            </w:r>
            <w:r>
              <w:rPr>
                <w:rFonts w:hint="eastAsia"/>
                <w:sz w:val="24"/>
                <w:vertAlign w:val="subscript"/>
              </w:rPr>
              <w:t>p</w:t>
            </w:r>
            <w:r>
              <w:rPr>
                <w:rFonts w:hint="eastAsia"/>
                <w:sz w:val="24"/>
              </w:rPr>
              <w:t>(r)＝L</w:t>
            </w:r>
            <w:r>
              <w:rPr>
                <w:rFonts w:hint="eastAsia"/>
                <w:sz w:val="24"/>
                <w:vertAlign w:val="subscript"/>
              </w:rPr>
              <w:t>p</w:t>
            </w:r>
            <w:r>
              <w:rPr>
                <w:rFonts w:hint="eastAsia"/>
                <w:sz w:val="24"/>
              </w:rPr>
              <w:t>(r</w:t>
            </w:r>
            <w:r>
              <w:rPr>
                <w:rFonts w:hint="eastAsia"/>
                <w:sz w:val="24"/>
                <w:vertAlign w:val="subscript"/>
              </w:rPr>
              <w:t>0</w:t>
            </w:r>
            <w:r>
              <w:rPr>
                <w:rFonts w:hint="eastAsia"/>
                <w:sz w:val="24"/>
              </w:rPr>
              <w:t>)+D</w:t>
            </w:r>
            <w:r>
              <w:rPr>
                <w:rFonts w:hint="eastAsia"/>
                <w:sz w:val="24"/>
                <w:vertAlign w:val="subscript"/>
              </w:rPr>
              <w:t>C</w:t>
            </w:r>
            <w:r>
              <w:rPr>
                <w:rFonts w:hint="eastAsia"/>
                <w:sz w:val="24"/>
              </w:rPr>
              <w:t>－(A</w:t>
            </w:r>
            <w:r>
              <w:rPr>
                <w:rFonts w:hint="eastAsia"/>
                <w:sz w:val="24"/>
                <w:vertAlign w:val="subscript"/>
              </w:rPr>
              <w:t>div</w:t>
            </w:r>
            <w:r>
              <w:rPr>
                <w:rFonts w:hint="eastAsia"/>
                <w:sz w:val="24"/>
              </w:rPr>
              <w:t>＋A</w:t>
            </w:r>
            <w:r>
              <w:rPr>
                <w:rFonts w:hint="eastAsia"/>
                <w:sz w:val="24"/>
                <w:vertAlign w:val="subscript"/>
              </w:rPr>
              <w:t>atm</w:t>
            </w:r>
            <w:r>
              <w:rPr>
                <w:rFonts w:hint="eastAsia"/>
                <w:sz w:val="24"/>
              </w:rPr>
              <w:t>＋A</w:t>
            </w:r>
            <w:r>
              <w:rPr>
                <w:rFonts w:hint="eastAsia"/>
                <w:sz w:val="24"/>
                <w:vertAlign w:val="subscript"/>
              </w:rPr>
              <w:t>gr</w:t>
            </w:r>
            <w:r>
              <w:rPr>
                <w:rFonts w:hint="eastAsia"/>
                <w:sz w:val="24"/>
              </w:rPr>
              <w:t>＋A</w:t>
            </w:r>
            <w:r>
              <w:rPr>
                <w:rFonts w:hint="eastAsia"/>
                <w:sz w:val="24"/>
                <w:vertAlign w:val="subscript"/>
              </w:rPr>
              <w:t>bar</w:t>
            </w:r>
            <w:r>
              <w:rPr>
                <w:rFonts w:hint="eastAsia"/>
                <w:sz w:val="24"/>
              </w:rPr>
              <w:t>＋A</w:t>
            </w:r>
            <w:r>
              <w:rPr>
                <w:rFonts w:hint="eastAsia"/>
                <w:sz w:val="24"/>
                <w:vertAlign w:val="subscript"/>
              </w:rPr>
              <w:t>misc</w:t>
            </w:r>
            <w:r>
              <w:rPr>
                <w:rFonts w:hint="eastAsia"/>
                <w:sz w:val="24"/>
              </w:rPr>
              <w:t xml:space="preserve">) </w:t>
            </w:r>
          </w:p>
          <w:p w14:paraId="55339CFD">
            <w:pPr>
              <w:spacing w:line="360" w:lineRule="auto"/>
              <w:ind w:firstLine="480" w:firstLineChars="200"/>
              <w:rPr>
                <w:sz w:val="24"/>
              </w:rPr>
            </w:pPr>
            <w:r>
              <w:rPr>
                <w:rFonts w:hint="eastAsia"/>
                <w:sz w:val="24"/>
              </w:rPr>
              <w:t>式中：Lp(r)——预测点处声压级，dB；</w:t>
            </w:r>
          </w:p>
          <w:p w14:paraId="0782929B">
            <w:pPr>
              <w:spacing w:line="360" w:lineRule="auto"/>
              <w:ind w:firstLine="480" w:firstLineChars="200"/>
              <w:rPr>
                <w:sz w:val="24"/>
              </w:rPr>
            </w:pPr>
            <w:r>
              <w:rPr>
                <w:rFonts w:hint="eastAsia"/>
                <w:sz w:val="24"/>
              </w:rPr>
              <w:t>L</w:t>
            </w:r>
            <w:r>
              <w:rPr>
                <w:rFonts w:hint="eastAsia"/>
                <w:sz w:val="24"/>
                <w:vertAlign w:val="subscript"/>
              </w:rPr>
              <w:t>p</w:t>
            </w:r>
            <w:r>
              <w:rPr>
                <w:rFonts w:hint="eastAsia"/>
                <w:sz w:val="24"/>
              </w:rPr>
              <w:t>(r</w:t>
            </w:r>
            <w:r>
              <w:rPr>
                <w:rFonts w:hint="eastAsia"/>
                <w:sz w:val="24"/>
                <w:vertAlign w:val="subscript"/>
              </w:rPr>
              <w:t>0</w:t>
            </w:r>
            <w:r>
              <w:rPr>
                <w:rFonts w:hint="eastAsia"/>
                <w:sz w:val="24"/>
              </w:rPr>
              <w:t>)——参考位置r</w:t>
            </w:r>
            <w:r>
              <w:rPr>
                <w:rFonts w:hint="eastAsia"/>
                <w:sz w:val="24"/>
                <w:vertAlign w:val="subscript"/>
              </w:rPr>
              <w:t>0</w:t>
            </w:r>
            <w:r>
              <w:rPr>
                <w:rFonts w:hint="eastAsia"/>
                <w:sz w:val="24"/>
              </w:rPr>
              <w:t>处的声压级，dB；</w:t>
            </w:r>
          </w:p>
          <w:p w14:paraId="5F611521">
            <w:pPr>
              <w:spacing w:line="360" w:lineRule="auto"/>
              <w:ind w:firstLine="480" w:firstLineChars="200"/>
              <w:rPr>
                <w:sz w:val="24"/>
              </w:rPr>
            </w:pPr>
            <w:r>
              <w:rPr>
                <w:rFonts w:hint="eastAsia"/>
                <w:sz w:val="24"/>
              </w:rPr>
              <w:t>D</w:t>
            </w:r>
            <w:r>
              <w:rPr>
                <w:rFonts w:hint="eastAsia"/>
                <w:sz w:val="24"/>
                <w:vertAlign w:val="subscript"/>
              </w:rPr>
              <w:t>C</w:t>
            </w:r>
            <w:r>
              <w:rPr>
                <w:rFonts w:hint="eastAsia"/>
                <w:sz w:val="24"/>
              </w:rPr>
              <w:t>——指向性校正，它描述点声源的等效连续声压级与产生声功率级Lw的全向点声源在规定方向的声级的偏差程度，dB；</w:t>
            </w:r>
          </w:p>
          <w:p w14:paraId="7D1809C9">
            <w:pPr>
              <w:spacing w:line="360" w:lineRule="auto"/>
              <w:ind w:firstLine="480" w:firstLineChars="200"/>
              <w:rPr>
                <w:sz w:val="24"/>
              </w:rPr>
            </w:pPr>
            <w:r>
              <w:rPr>
                <w:rFonts w:hint="eastAsia"/>
                <w:sz w:val="24"/>
              </w:rPr>
              <w:t>A</w:t>
            </w:r>
            <w:r>
              <w:rPr>
                <w:rFonts w:hint="eastAsia"/>
                <w:sz w:val="24"/>
                <w:vertAlign w:val="subscript"/>
              </w:rPr>
              <w:t>div</w:t>
            </w:r>
            <w:r>
              <w:rPr>
                <w:rFonts w:hint="eastAsia"/>
                <w:sz w:val="24"/>
              </w:rPr>
              <w:t>——几何发散引起的衰减，dB；</w:t>
            </w:r>
          </w:p>
          <w:p w14:paraId="6C29A4E2">
            <w:pPr>
              <w:spacing w:line="360" w:lineRule="auto"/>
              <w:ind w:firstLine="480" w:firstLineChars="200"/>
              <w:rPr>
                <w:sz w:val="24"/>
              </w:rPr>
            </w:pPr>
            <w:r>
              <w:rPr>
                <w:rFonts w:hint="eastAsia"/>
                <w:sz w:val="24"/>
              </w:rPr>
              <w:t>A</w:t>
            </w:r>
            <w:r>
              <w:rPr>
                <w:rFonts w:hint="eastAsia"/>
                <w:sz w:val="24"/>
                <w:vertAlign w:val="subscript"/>
              </w:rPr>
              <w:t>atm</w:t>
            </w:r>
            <w:r>
              <w:rPr>
                <w:rFonts w:hint="eastAsia"/>
                <w:sz w:val="24"/>
              </w:rPr>
              <w:t>——大气吸收引起的衰减，dB；</w:t>
            </w:r>
          </w:p>
          <w:p w14:paraId="69D88598">
            <w:pPr>
              <w:spacing w:line="360" w:lineRule="auto"/>
              <w:ind w:firstLine="480" w:firstLineChars="200"/>
              <w:rPr>
                <w:sz w:val="24"/>
              </w:rPr>
            </w:pPr>
            <w:r>
              <w:rPr>
                <w:rFonts w:hint="eastAsia"/>
                <w:sz w:val="24"/>
              </w:rPr>
              <w:t>A</w:t>
            </w:r>
            <w:r>
              <w:rPr>
                <w:rFonts w:hint="eastAsia"/>
                <w:sz w:val="24"/>
                <w:vertAlign w:val="subscript"/>
              </w:rPr>
              <w:t>gr</w:t>
            </w:r>
            <w:r>
              <w:rPr>
                <w:rFonts w:hint="eastAsia"/>
                <w:sz w:val="24"/>
              </w:rPr>
              <w:t>——地面效应引起的衰减，dB；</w:t>
            </w:r>
          </w:p>
          <w:p w14:paraId="66D346D7">
            <w:pPr>
              <w:spacing w:line="360" w:lineRule="auto"/>
              <w:ind w:firstLine="480" w:firstLineChars="200"/>
              <w:rPr>
                <w:sz w:val="24"/>
              </w:rPr>
            </w:pPr>
            <w:r>
              <w:rPr>
                <w:rFonts w:hint="eastAsia"/>
                <w:sz w:val="24"/>
              </w:rPr>
              <w:t>A</w:t>
            </w:r>
            <w:r>
              <w:rPr>
                <w:rFonts w:hint="eastAsia"/>
                <w:sz w:val="24"/>
                <w:vertAlign w:val="subscript"/>
              </w:rPr>
              <w:t>bar</w:t>
            </w:r>
            <w:r>
              <w:rPr>
                <w:rFonts w:hint="eastAsia"/>
                <w:sz w:val="24"/>
              </w:rPr>
              <w:t>——障碍物屏蔽引起的衰减，dB；</w:t>
            </w:r>
          </w:p>
          <w:p w14:paraId="1CC62AC5">
            <w:pPr>
              <w:spacing w:line="360" w:lineRule="auto"/>
              <w:ind w:firstLine="480" w:firstLineChars="200"/>
              <w:rPr>
                <w:sz w:val="24"/>
              </w:rPr>
            </w:pPr>
            <w:r>
              <w:rPr>
                <w:rFonts w:hint="eastAsia"/>
                <w:sz w:val="24"/>
              </w:rPr>
              <w:t>A</w:t>
            </w:r>
            <w:r>
              <w:rPr>
                <w:rFonts w:hint="eastAsia"/>
                <w:sz w:val="24"/>
                <w:vertAlign w:val="subscript"/>
              </w:rPr>
              <w:t>misc</w:t>
            </w:r>
            <w:r>
              <w:rPr>
                <w:rFonts w:hint="eastAsia"/>
                <w:sz w:val="24"/>
              </w:rPr>
              <w:t>——其他多方面效应引起的衰减，dB。</w:t>
            </w:r>
          </w:p>
          <w:p w14:paraId="192A421C">
            <w:pPr>
              <w:spacing w:line="360" w:lineRule="auto"/>
              <w:ind w:firstLine="480" w:firstLineChars="200"/>
              <w:rPr>
                <w:sz w:val="24"/>
              </w:rPr>
            </w:pPr>
            <w:r>
              <w:rPr>
                <w:rFonts w:hint="eastAsia"/>
                <w:sz w:val="24"/>
              </w:rPr>
              <w:t>本工程只考虑几何发散衰减，按式（A.4）计算。</w:t>
            </w:r>
          </w:p>
          <w:p w14:paraId="2D94DF98">
            <w:pPr>
              <w:spacing w:line="360" w:lineRule="auto"/>
              <w:ind w:firstLine="480" w:firstLineChars="200"/>
              <w:jc w:val="center"/>
              <w:rPr>
                <w:sz w:val="24"/>
              </w:rPr>
            </w:pPr>
            <w:r>
              <w:rPr>
                <w:rFonts w:hint="eastAsia"/>
                <w:sz w:val="24"/>
              </w:rPr>
              <w:t>L</w:t>
            </w:r>
            <w:r>
              <w:rPr>
                <w:rFonts w:hint="eastAsia"/>
                <w:sz w:val="24"/>
                <w:vertAlign w:val="subscript"/>
              </w:rPr>
              <w:t>A</w:t>
            </w:r>
            <w:r>
              <w:rPr>
                <w:rFonts w:hint="eastAsia"/>
                <w:sz w:val="24"/>
              </w:rPr>
              <w:t>(r)=L</w:t>
            </w:r>
            <w:r>
              <w:rPr>
                <w:rFonts w:hint="eastAsia"/>
                <w:sz w:val="24"/>
                <w:vertAlign w:val="subscript"/>
              </w:rPr>
              <w:t>A</w:t>
            </w:r>
            <w:r>
              <w:rPr>
                <w:rFonts w:hint="eastAsia"/>
                <w:sz w:val="24"/>
              </w:rPr>
              <w:t>(r</w:t>
            </w:r>
            <w:r>
              <w:rPr>
                <w:rFonts w:hint="eastAsia"/>
                <w:sz w:val="24"/>
                <w:vertAlign w:val="subscript"/>
              </w:rPr>
              <w:t>0</w:t>
            </w:r>
            <w:r>
              <w:rPr>
                <w:rFonts w:hint="eastAsia"/>
                <w:sz w:val="24"/>
              </w:rPr>
              <w:t>)-A</w:t>
            </w:r>
            <w:r>
              <w:rPr>
                <w:rFonts w:hint="eastAsia"/>
                <w:sz w:val="24"/>
                <w:vertAlign w:val="subscript"/>
              </w:rPr>
              <w:t>div</w:t>
            </w:r>
          </w:p>
          <w:p w14:paraId="61ECF9A0">
            <w:pPr>
              <w:spacing w:line="360" w:lineRule="auto"/>
              <w:ind w:firstLine="480" w:firstLineChars="200"/>
              <w:rPr>
                <w:sz w:val="24"/>
              </w:rPr>
            </w:pPr>
            <w:r>
              <w:rPr>
                <w:rFonts w:hint="eastAsia"/>
                <w:sz w:val="24"/>
              </w:rPr>
              <w:t>式中：L</w:t>
            </w:r>
            <w:r>
              <w:rPr>
                <w:rFonts w:hint="eastAsia"/>
                <w:sz w:val="24"/>
                <w:vertAlign w:val="subscript"/>
              </w:rPr>
              <w:t>A</w:t>
            </w:r>
            <w:r>
              <w:rPr>
                <w:rFonts w:hint="eastAsia"/>
                <w:sz w:val="24"/>
              </w:rPr>
              <w:t>(r)——距声源r处的A声级，dB(A)；</w:t>
            </w:r>
          </w:p>
          <w:p w14:paraId="45270EAD">
            <w:pPr>
              <w:spacing w:line="360" w:lineRule="auto"/>
              <w:ind w:firstLine="480" w:firstLineChars="200"/>
              <w:rPr>
                <w:sz w:val="24"/>
              </w:rPr>
            </w:pPr>
            <w:r>
              <w:rPr>
                <w:rFonts w:hint="eastAsia"/>
                <w:sz w:val="24"/>
              </w:rPr>
              <w:t>L</w:t>
            </w:r>
            <w:r>
              <w:rPr>
                <w:rFonts w:hint="eastAsia"/>
                <w:sz w:val="24"/>
                <w:vertAlign w:val="subscript"/>
              </w:rPr>
              <w:t>A</w:t>
            </w:r>
            <w:r>
              <w:rPr>
                <w:rFonts w:hint="eastAsia"/>
                <w:sz w:val="24"/>
              </w:rPr>
              <w:t>(r</w:t>
            </w:r>
            <w:r>
              <w:rPr>
                <w:rFonts w:hint="eastAsia"/>
                <w:sz w:val="24"/>
                <w:vertAlign w:val="subscript"/>
              </w:rPr>
              <w:t>0</w:t>
            </w:r>
            <w:r>
              <w:rPr>
                <w:rFonts w:hint="eastAsia"/>
                <w:sz w:val="24"/>
              </w:rPr>
              <w:t>)——源强1m处的A声级，dB(A)；</w:t>
            </w:r>
          </w:p>
          <w:p w14:paraId="492C3BA0">
            <w:pPr>
              <w:spacing w:line="360" w:lineRule="auto"/>
              <w:ind w:firstLine="480" w:firstLineChars="200"/>
              <w:rPr>
                <w:sz w:val="24"/>
              </w:rPr>
            </w:pPr>
            <w:r>
              <w:rPr>
                <w:rFonts w:hint="eastAsia"/>
                <w:sz w:val="24"/>
              </w:rPr>
              <w:t>A</w:t>
            </w:r>
            <w:r>
              <w:rPr>
                <w:rFonts w:hint="eastAsia"/>
                <w:sz w:val="24"/>
                <w:vertAlign w:val="subscript"/>
              </w:rPr>
              <w:t>div</w:t>
            </w:r>
            <w:r>
              <w:rPr>
                <w:rFonts w:hint="eastAsia"/>
                <w:sz w:val="24"/>
              </w:rPr>
              <w:t>——几何发散引起的衰减，dB。</w:t>
            </w:r>
          </w:p>
          <w:p w14:paraId="7B681DE6">
            <w:pPr>
              <w:spacing w:line="360" w:lineRule="auto"/>
              <w:ind w:firstLine="480" w:firstLineChars="200"/>
              <w:rPr>
                <w:sz w:val="24"/>
              </w:rPr>
            </w:pPr>
            <w:r>
              <w:rPr>
                <w:rFonts w:hint="eastAsia"/>
                <w:sz w:val="24"/>
              </w:rPr>
              <w:t>将工程多声源叠加近似为1个点声源，则Adiv≈20lg（r/r0）。</w:t>
            </w:r>
          </w:p>
          <w:p w14:paraId="4893A774">
            <w:pPr>
              <w:snapToGrid w:val="0"/>
              <w:spacing w:line="360" w:lineRule="auto"/>
              <w:ind w:firstLine="480" w:firstLineChars="200"/>
              <w:rPr>
                <w:sz w:val="24"/>
              </w:rPr>
            </w:pPr>
            <w:r>
              <w:rPr>
                <w:rFonts w:hint="eastAsia"/>
                <w:sz w:val="24"/>
              </w:rPr>
              <w:t>（2）</w:t>
            </w:r>
            <w:r>
              <w:rPr>
                <w:sz w:val="24"/>
              </w:rPr>
              <w:t>室内声源采用室内声源噪声模式并换算成等效的室外声源：</w:t>
            </w:r>
          </w:p>
          <w:p w14:paraId="30645703">
            <w:pPr>
              <w:snapToGrid w:val="0"/>
              <w:spacing w:line="360" w:lineRule="auto"/>
              <w:jc w:val="center"/>
              <w:rPr>
                <w:sz w:val="24"/>
              </w:rPr>
            </w:pPr>
            <w:r>
              <w:rPr>
                <w:position w:val="-24"/>
                <w:sz w:val="24"/>
              </w:rPr>
              <w:object>
                <v:shape id="_x0000_i1026" o:spt="75" type="#_x0000_t75" style="height:31.25pt;width:125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p>
          <w:p w14:paraId="36541966">
            <w:pPr>
              <w:snapToGrid w:val="0"/>
              <w:spacing w:line="360" w:lineRule="auto"/>
              <w:jc w:val="center"/>
              <w:rPr>
                <w:sz w:val="24"/>
              </w:rPr>
            </w:pPr>
            <w:r>
              <w:rPr>
                <w:position w:val="-12"/>
                <w:sz w:val="24"/>
              </w:rPr>
              <w:object>
                <v:shape id="_x0000_i1027" o:spt="75" type="#_x0000_t75" style="height:18.35pt;width:129.05pt;" o:ole="t" filled="f" o:preferrelative="t" stroked="f" coordsize="21600,21600">
                  <v:path/>
                  <v:fill on="f" focussize="0,0"/>
                  <v:stroke on="f" joinstyle="miter"/>
                  <v:imagedata r:id="rId18" o:title=""/>
                  <o:lock v:ext="edit" aspectratio="t"/>
                  <w10:wrap type="none"/>
                  <w10:anchorlock/>
                </v:shape>
                <o:OLEObject Type="Embed" ProgID="Equation.DSMT4" ShapeID="_x0000_i1027" DrawAspect="Content" ObjectID="_1468075727" r:id="rId17">
                  <o:LockedField>false</o:LockedField>
                </o:OLEObject>
              </w:object>
            </w:r>
          </w:p>
          <w:p w14:paraId="04467AFF">
            <w:pPr>
              <w:snapToGrid w:val="0"/>
              <w:spacing w:line="360" w:lineRule="auto"/>
              <w:rPr>
                <w:sz w:val="24"/>
              </w:rPr>
            </w:pPr>
            <w:r>
              <w:rPr>
                <w:sz w:val="24"/>
              </w:rPr>
              <w:t>式中：L</w:t>
            </w:r>
            <w:r>
              <w:rPr>
                <w:sz w:val="24"/>
                <w:vertAlign w:val="subscript"/>
              </w:rPr>
              <w:t>n</w:t>
            </w:r>
            <w:r>
              <w:rPr>
                <w:iCs/>
                <w:sz w:val="24"/>
              </w:rPr>
              <w:t>——</w:t>
            </w:r>
            <w:r>
              <w:rPr>
                <w:sz w:val="24"/>
              </w:rPr>
              <w:t>室内靠近围护结构处产生的声压级，dB；</w:t>
            </w:r>
          </w:p>
          <w:p w14:paraId="7DF3D237">
            <w:pPr>
              <w:snapToGrid w:val="0"/>
              <w:spacing w:line="360" w:lineRule="auto"/>
              <w:ind w:firstLine="720"/>
              <w:rPr>
                <w:sz w:val="24"/>
              </w:rPr>
            </w:pPr>
            <w:r>
              <w:rPr>
                <w:sz w:val="24"/>
              </w:rPr>
              <w:t>L</w:t>
            </w:r>
            <w:r>
              <w:rPr>
                <w:sz w:val="24"/>
                <w:vertAlign w:val="subscript"/>
              </w:rPr>
              <w:t>W</w:t>
            </w:r>
            <w:r>
              <w:rPr>
                <w:iCs/>
                <w:sz w:val="24"/>
              </w:rPr>
              <w:t>——</w:t>
            </w:r>
            <w:r>
              <w:rPr>
                <w:sz w:val="24"/>
              </w:rPr>
              <w:t>室外靠近围护结构处产生的声压级，dB；</w:t>
            </w:r>
          </w:p>
          <w:p w14:paraId="328AE585">
            <w:pPr>
              <w:snapToGrid w:val="0"/>
              <w:spacing w:line="360" w:lineRule="auto"/>
              <w:ind w:firstLine="720"/>
              <w:rPr>
                <w:sz w:val="24"/>
              </w:rPr>
            </w:pPr>
            <w:r>
              <w:rPr>
                <w:sz w:val="24"/>
              </w:rPr>
              <w:t>L</w:t>
            </w:r>
            <w:r>
              <w:rPr>
                <w:sz w:val="24"/>
                <w:vertAlign w:val="subscript"/>
              </w:rPr>
              <w:t>e</w:t>
            </w:r>
            <w:r>
              <w:rPr>
                <w:iCs/>
                <w:sz w:val="24"/>
              </w:rPr>
              <w:t>——</w:t>
            </w:r>
            <w:r>
              <w:rPr>
                <w:sz w:val="24"/>
              </w:rPr>
              <w:t>声源的声压级，dB；</w:t>
            </w:r>
          </w:p>
          <w:p w14:paraId="4B00318E">
            <w:pPr>
              <w:snapToGrid w:val="0"/>
              <w:spacing w:line="360" w:lineRule="auto"/>
              <w:ind w:firstLine="720"/>
              <w:rPr>
                <w:sz w:val="24"/>
              </w:rPr>
            </w:pPr>
            <w:r>
              <w:rPr>
                <w:sz w:val="24"/>
              </w:rPr>
              <w:t>r</w:t>
            </w:r>
            <w:r>
              <w:rPr>
                <w:iCs/>
                <w:sz w:val="24"/>
              </w:rPr>
              <w:t>——</w:t>
            </w:r>
            <w:r>
              <w:rPr>
                <w:sz w:val="24"/>
              </w:rPr>
              <w:t>声源与室内靠近围护结构处的距离，m；</w:t>
            </w:r>
          </w:p>
          <w:p w14:paraId="0106D432">
            <w:pPr>
              <w:snapToGrid w:val="0"/>
              <w:spacing w:line="360" w:lineRule="auto"/>
              <w:ind w:firstLine="720"/>
              <w:rPr>
                <w:sz w:val="24"/>
              </w:rPr>
            </w:pPr>
            <w:r>
              <w:rPr>
                <w:sz w:val="24"/>
              </w:rPr>
              <w:t>R</w:t>
            </w:r>
            <w:r>
              <w:rPr>
                <w:iCs/>
                <w:sz w:val="24"/>
              </w:rPr>
              <w:t>——</w:t>
            </w:r>
            <w:r>
              <w:rPr>
                <w:sz w:val="24"/>
              </w:rPr>
              <w:t>房间常数，m</w:t>
            </w:r>
            <w:r>
              <w:rPr>
                <w:sz w:val="24"/>
                <w:vertAlign w:val="superscript"/>
              </w:rPr>
              <w:t>2</w:t>
            </w:r>
            <w:r>
              <w:rPr>
                <w:sz w:val="24"/>
              </w:rPr>
              <w:t>；</w:t>
            </w:r>
          </w:p>
          <w:p w14:paraId="49696372">
            <w:pPr>
              <w:snapToGrid w:val="0"/>
              <w:spacing w:line="360" w:lineRule="auto"/>
              <w:ind w:firstLine="720"/>
              <w:rPr>
                <w:sz w:val="24"/>
              </w:rPr>
            </w:pPr>
            <w:r>
              <w:rPr>
                <w:sz w:val="24"/>
              </w:rPr>
              <w:t>Q</w:t>
            </w:r>
            <w:r>
              <w:rPr>
                <w:iCs/>
                <w:sz w:val="24"/>
              </w:rPr>
              <w:t>——</w:t>
            </w:r>
            <w:r>
              <w:rPr>
                <w:sz w:val="24"/>
              </w:rPr>
              <w:t>方向性因子；</w:t>
            </w:r>
          </w:p>
          <w:p w14:paraId="7CBD43CA">
            <w:pPr>
              <w:snapToGrid w:val="0"/>
              <w:spacing w:line="360" w:lineRule="auto"/>
              <w:ind w:firstLine="720"/>
              <w:rPr>
                <w:sz w:val="24"/>
              </w:rPr>
            </w:pPr>
            <w:r>
              <w:rPr>
                <w:sz w:val="24"/>
              </w:rPr>
              <w:t>TL</w:t>
            </w:r>
            <w:r>
              <w:rPr>
                <w:iCs/>
                <w:sz w:val="24"/>
              </w:rPr>
              <w:t>——</w:t>
            </w:r>
            <w:r>
              <w:rPr>
                <w:sz w:val="24"/>
              </w:rPr>
              <w:t>围护结构的传输损失，dB；</w:t>
            </w:r>
          </w:p>
          <w:p w14:paraId="77BEBDC2">
            <w:pPr>
              <w:snapToGrid w:val="0"/>
              <w:spacing w:line="360" w:lineRule="auto"/>
              <w:ind w:firstLine="720"/>
              <w:rPr>
                <w:sz w:val="24"/>
              </w:rPr>
            </w:pPr>
            <w:r>
              <w:rPr>
                <w:sz w:val="24"/>
              </w:rPr>
              <w:t>S</w:t>
            </w:r>
            <w:r>
              <w:rPr>
                <w:iCs/>
                <w:sz w:val="24"/>
              </w:rPr>
              <w:t>——</w:t>
            </w:r>
            <w:r>
              <w:rPr>
                <w:sz w:val="24"/>
              </w:rPr>
              <w:t>透声面积，m</w:t>
            </w:r>
            <w:r>
              <w:rPr>
                <w:sz w:val="24"/>
                <w:vertAlign w:val="superscript"/>
              </w:rPr>
              <w:t>2</w:t>
            </w:r>
          </w:p>
          <w:p w14:paraId="0B421497">
            <w:pPr>
              <w:snapToGrid w:val="0"/>
              <w:spacing w:line="360" w:lineRule="auto"/>
              <w:ind w:firstLine="480" w:firstLineChars="200"/>
              <w:rPr>
                <w:sz w:val="24"/>
              </w:rPr>
            </w:pPr>
            <w:r>
              <w:rPr>
                <w:rFonts w:hint="eastAsia"/>
                <w:sz w:val="24"/>
              </w:rPr>
              <w:t>（3）</w:t>
            </w:r>
            <w:r>
              <w:rPr>
                <w:sz w:val="24"/>
              </w:rPr>
              <w:t>对两个以上多个声源同时存在时，其预测点总声压级采用下面公式：</w:t>
            </w:r>
          </w:p>
          <w:p w14:paraId="4EF6DFBF">
            <w:pPr>
              <w:snapToGrid w:val="0"/>
              <w:spacing w:line="360" w:lineRule="auto"/>
              <w:rPr>
                <w:sz w:val="24"/>
              </w:rPr>
            </w:pPr>
            <w:r>
              <w:rPr>
                <w:sz w:val="24"/>
              </w:rPr>
              <w:t xml:space="preserve">      Leq=10log(</w:t>
            </w:r>
            <w:r>
              <w:rPr>
                <w:sz w:val="24"/>
              </w:rPr>
              <w:sym w:font="Symbol" w:char="F0E5"/>
            </w:r>
            <w:r>
              <w:rPr>
                <w:sz w:val="24"/>
              </w:rPr>
              <w:t>10</w:t>
            </w:r>
            <w:r>
              <w:rPr>
                <w:sz w:val="24"/>
                <w:vertAlign w:val="superscript"/>
              </w:rPr>
              <w:t>0.1Li</w:t>
            </w:r>
            <w:r>
              <w:rPr>
                <w:sz w:val="24"/>
              </w:rPr>
              <w:t xml:space="preserve">) </w:t>
            </w:r>
          </w:p>
          <w:p w14:paraId="233F4396">
            <w:pPr>
              <w:snapToGrid w:val="0"/>
              <w:spacing w:line="360" w:lineRule="auto"/>
              <w:rPr>
                <w:sz w:val="24"/>
              </w:rPr>
            </w:pPr>
            <w:r>
              <w:rPr>
                <w:sz w:val="24"/>
              </w:rPr>
              <w:t>式中：Leq-----预测点的总等效声级，dB(A)；</w:t>
            </w:r>
          </w:p>
          <w:p w14:paraId="256E15F3">
            <w:pPr>
              <w:snapToGrid w:val="0"/>
              <w:spacing w:line="360" w:lineRule="auto"/>
              <w:rPr>
                <w:sz w:val="24"/>
              </w:rPr>
            </w:pPr>
            <w:r>
              <w:rPr>
                <w:sz w:val="24"/>
              </w:rPr>
              <w:t xml:space="preserve">      Li-----第i个声源对预测点的声级影响，dB(A)。</w:t>
            </w:r>
          </w:p>
          <w:p w14:paraId="0C4F3E3E">
            <w:pPr>
              <w:spacing w:line="360" w:lineRule="auto"/>
              <w:ind w:firstLine="482" w:firstLineChars="200"/>
              <w:jc w:val="left"/>
              <w:rPr>
                <w:b/>
                <w:sz w:val="24"/>
              </w:rPr>
            </w:pPr>
            <w:r>
              <w:rPr>
                <w:b/>
                <w:sz w:val="24"/>
              </w:rPr>
              <w:t>3.3预测结果与评价</w:t>
            </w:r>
          </w:p>
          <w:p w14:paraId="11FC5FDE">
            <w:pPr>
              <w:spacing w:line="360" w:lineRule="auto"/>
              <w:ind w:firstLine="480" w:firstLineChars="200"/>
              <w:jc w:val="left"/>
              <w:rPr>
                <w:sz w:val="24"/>
              </w:rPr>
            </w:pPr>
            <w:r>
              <w:rPr>
                <w:rFonts w:hint="eastAsia" w:ascii="宋体" w:hAnsi="宋体"/>
                <w:sz w:val="24"/>
              </w:rPr>
              <w:t>通过预测模型计算，本项目各厂界噪声贡献值</w:t>
            </w:r>
            <w:r>
              <w:rPr>
                <w:sz w:val="24"/>
              </w:rPr>
              <w:t>预测结果见下表。</w:t>
            </w:r>
          </w:p>
          <w:p w14:paraId="16637989">
            <w:pPr>
              <w:pStyle w:val="137"/>
              <w:numPr>
                <w:ilvl w:val="0"/>
                <w:numId w:val="7"/>
              </w:numPr>
              <w:adjustRightInd w:val="0"/>
              <w:snapToGrid w:val="0"/>
              <w:ind w:firstLineChars="0"/>
              <w:jc w:val="center"/>
              <w:rPr>
                <w:b/>
                <w:snapToGrid w:val="0"/>
                <w:kern w:val="0"/>
                <w:szCs w:val="21"/>
              </w:rPr>
            </w:pPr>
            <w:r>
              <w:rPr>
                <w:rFonts w:hint="eastAsia"/>
                <w:b/>
                <w:snapToGrid w:val="0"/>
                <w:kern w:val="0"/>
                <w:szCs w:val="21"/>
              </w:rPr>
              <w:t>本项目各厂界噪声预测结果一览表    单位：dB(A)</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209"/>
              <w:gridCol w:w="1162"/>
              <w:gridCol w:w="1150"/>
              <w:gridCol w:w="1263"/>
              <w:gridCol w:w="1385"/>
            </w:tblGrid>
            <w:tr w14:paraId="4103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13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B4F954">
                  <w:pPr>
                    <w:jc w:val="center"/>
                    <w:rPr>
                      <w:b/>
                      <w:szCs w:val="21"/>
                    </w:rPr>
                  </w:pPr>
                  <w:r>
                    <w:rPr>
                      <w:rFonts w:hint="eastAsia" w:cs="宋体"/>
                      <w:b/>
                      <w:szCs w:val="21"/>
                      <w:lang w:bidi="ar"/>
                    </w:rPr>
                    <w:t>预测方位</w:t>
                  </w:r>
                </w:p>
              </w:tc>
              <w:tc>
                <w:tcPr>
                  <w:tcW w:w="12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FBA9A5">
                  <w:pPr>
                    <w:jc w:val="center"/>
                    <w:rPr>
                      <w:szCs w:val="21"/>
                    </w:rPr>
                  </w:pPr>
                  <w:r>
                    <w:rPr>
                      <w:rFonts w:hint="eastAsia" w:cs="宋体"/>
                      <w:b/>
                      <w:szCs w:val="21"/>
                      <w:lang w:bidi="ar"/>
                    </w:rPr>
                    <w:t>时段</w:t>
                  </w:r>
                </w:p>
              </w:tc>
              <w:tc>
                <w:tcPr>
                  <w:tcW w:w="11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EB38C6">
                  <w:pPr>
                    <w:jc w:val="center"/>
                    <w:rPr>
                      <w:szCs w:val="21"/>
                    </w:rPr>
                  </w:pPr>
                  <w:r>
                    <w:rPr>
                      <w:rFonts w:hint="eastAsia" w:cs="宋体"/>
                      <w:b/>
                      <w:szCs w:val="21"/>
                      <w:lang w:bidi="ar"/>
                    </w:rPr>
                    <w:t>贡献值</w:t>
                  </w:r>
                </w:p>
              </w:tc>
              <w:tc>
                <w:tcPr>
                  <w:tcW w:w="11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318ECE">
                  <w:pPr>
                    <w:jc w:val="center"/>
                    <w:rPr>
                      <w:b/>
                      <w:szCs w:val="21"/>
                    </w:rPr>
                  </w:pPr>
                  <w:r>
                    <w:rPr>
                      <w:rFonts w:hint="eastAsia" w:cs="宋体"/>
                      <w:b/>
                      <w:szCs w:val="21"/>
                      <w:lang w:bidi="ar"/>
                    </w:rPr>
                    <w:t>预测值</w:t>
                  </w:r>
                </w:p>
              </w:tc>
              <w:tc>
                <w:tcPr>
                  <w:tcW w:w="12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A8F0B1">
                  <w:pPr>
                    <w:jc w:val="center"/>
                    <w:rPr>
                      <w:szCs w:val="21"/>
                    </w:rPr>
                  </w:pPr>
                  <w:r>
                    <w:rPr>
                      <w:rFonts w:hint="eastAsia" w:cs="宋体"/>
                      <w:b/>
                      <w:szCs w:val="21"/>
                      <w:lang w:bidi="ar"/>
                    </w:rPr>
                    <w:t>标准限值</w:t>
                  </w:r>
                </w:p>
              </w:tc>
              <w:tc>
                <w:tcPr>
                  <w:tcW w:w="13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CE2700">
                  <w:pPr>
                    <w:jc w:val="center"/>
                    <w:rPr>
                      <w:szCs w:val="21"/>
                    </w:rPr>
                  </w:pPr>
                  <w:r>
                    <w:rPr>
                      <w:rFonts w:hint="eastAsia" w:cs="宋体"/>
                      <w:b/>
                      <w:szCs w:val="21"/>
                      <w:lang w:bidi="ar"/>
                    </w:rPr>
                    <w:t>达标情况</w:t>
                  </w:r>
                </w:p>
              </w:tc>
            </w:tr>
            <w:tr w14:paraId="00FA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2A6061">
                  <w:pPr>
                    <w:rPr>
                      <w:sz w:val="20"/>
                      <w:szCs w:val="20"/>
                    </w:rPr>
                  </w:pPr>
                </w:p>
              </w:tc>
              <w:tc>
                <w:tcPr>
                  <w:tcW w:w="12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85E776">
                  <w:pPr>
                    <w:rPr>
                      <w:sz w:val="20"/>
                      <w:szCs w:val="20"/>
                    </w:rPr>
                  </w:pPr>
                </w:p>
              </w:tc>
              <w:tc>
                <w:tcPr>
                  <w:tcW w:w="11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62B437">
                  <w:pPr>
                    <w:rPr>
                      <w:sz w:val="20"/>
                      <w:szCs w:val="20"/>
                    </w:rPr>
                  </w:pPr>
                </w:p>
              </w:tc>
              <w:tc>
                <w:tcPr>
                  <w:tcW w:w="11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87B820">
                  <w:pPr>
                    <w:rPr>
                      <w:sz w:val="20"/>
                      <w:szCs w:val="20"/>
                    </w:rPr>
                  </w:pPr>
                </w:p>
              </w:tc>
              <w:tc>
                <w:tcPr>
                  <w:tcW w:w="12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1F6688">
                  <w:pPr>
                    <w:rPr>
                      <w:sz w:val="20"/>
                      <w:szCs w:val="20"/>
                    </w:rPr>
                  </w:pPr>
                </w:p>
              </w:tc>
              <w:tc>
                <w:tcPr>
                  <w:tcW w:w="13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0C1614">
                  <w:pPr>
                    <w:rPr>
                      <w:sz w:val="20"/>
                      <w:szCs w:val="20"/>
                    </w:rPr>
                  </w:pPr>
                </w:p>
              </w:tc>
            </w:tr>
            <w:tr w14:paraId="4B05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exact"/>
                <w:jc w:val="center"/>
              </w:trPr>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14:paraId="01E5CED8">
                  <w:pPr>
                    <w:jc w:val="center"/>
                    <w:rPr>
                      <w:szCs w:val="21"/>
                    </w:rPr>
                  </w:pPr>
                  <w:r>
                    <w:rPr>
                      <w:rFonts w:hint="eastAsia" w:cs="宋体"/>
                      <w:szCs w:val="21"/>
                      <w:lang w:bidi="ar"/>
                    </w:rPr>
                    <w:t>东厂界</w:t>
                  </w:r>
                </w:p>
              </w:tc>
              <w:tc>
                <w:tcPr>
                  <w:tcW w:w="1209" w:type="dxa"/>
                  <w:tcBorders>
                    <w:top w:val="single" w:color="auto" w:sz="4" w:space="0"/>
                    <w:left w:val="single" w:color="auto" w:sz="4" w:space="0"/>
                    <w:bottom w:val="single" w:color="auto" w:sz="4" w:space="0"/>
                    <w:right w:val="single" w:color="auto" w:sz="4" w:space="0"/>
                  </w:tcBorders>
                  <w:shd w:val="clear" w:color="auto" w:fill="auto"/>
                  <w:vAlign w:val="center"/>
                </w:tcPr>
                <w:p w14:paraId="61A046A7">
                  <w:pPr>
                    <w:jc w:val="center"/>
                    <w:rPr>
                      <w:szCs w:val="21"/>
                    </w:rPr>
                  </w:pPr>
                  <w:r>
                    <w:rPr>
                      <w:rFonts w:hint="eastAsia" w:cs="宋体"/>
                      <w:szCs w:val="21"/>
                      <w:lang w:bidi="ar"/>
                    </w:rPr>
                    <w:t>昼间</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14:paraId="415DC04F">
                  <w:pPr>
                    <w:jc w:val="center"/>
                    <w:rPr>
                      <w:szCs w:val="21"/>
                    </w:rPr>
                  </w:pPr>
                  <w:r>
                    <w:rPr>
                      <w:rFonts w:hint="eastAsia"/>
                      <w:szCs w:val="21"/>
                    </w:rPr>
                    <w:t>51.5</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03B070CA">
                  <w:pPr>
                    <w:jc w:val="center"/>
                    <w:rPr>
                      <w:szCs w:val="21"/>
                    </w:rPr>
                  </w:pPr>
                  <w:r>
                    <w:rPr>
                      <w:rFonts w:hint="eastAsia"/>
                      <w:szCs w:val="21"/>
                    </w:rPr>
                    <w:t>51.5</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26991B10">
                  <w:pPr>
                    <w:jc w:val="center"/>
                    <w:rPr>
                      <w:szCs w:val="21"/>
                    </w:rPr>
                  </w:pPr>
                  <w:r>
                    <w:rPr>
                      <w:szCs w:val="21"/>
                      <w:lang w:bidi="ar"/>
                    </w:rPr>
                    <w:t>65</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14:paraId="1E062BE1">
                  <w:pPr>
                    <w:jc w:val="center"/>
                    <w:rPr>
                      <w:szCs w:val="21"/>
                    </w:rPr>
                  </w:pPr>
                  <w:r>
                    <w:rPr>
                      <w:rFonts w:hint="eastAsia" w:cs="宋体"/>
                      <w:szCs w:val="21"/>
                      <w:lang w:bidi="ar"/>
                    </w:rPr>
                    <w:t>达标</w:t>
                  </w:r>
                </w:p>
              </w:tc>
            </w:tr>
            <w:tr w14:paraId="1DB5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exact"/>
                <w:jc w:val="center"/>
              </w:trPr>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14:paraId="3A05EBE5">
                  <w:pPr>
                    <w:jc w:val="center"/>
                    <w:rPr>
                      <w:szCs w:val="21"/>
                    </w:rPr>
                  </w:pPr>
                  <w:r>
                    <w:rPr>
                      <w:rFonts w:hint="eastAsia" w:cs="宋体"/>
                      <w:szCs w:val="21"/>
                      <w:lang w:bidi="ar"/>
                    </w:rPr>
                    <w:t>南厂界</w:t>
                  </w:r>
                </w:p>
              </w:tc>
              <w:tc>
                <w:tcPr>
                  <w:tcW w:w="1209" w:type="dxa"/>
                  <w:tcBorders>
                    <w:top w:val="single" w:color="auto" w:sz="4" w:space="0"/>
                    <w:left w:val="single" w:color="auto" w:sz="4" w:space="0"/>
                    <w:bottom w:val="single" w:color="auto" w:sz="4" w:space="0"/>
                    <w:right w:val="single" w:color="auto" w:sz="4" w:space="0"/>
                  </w:tcBorders>
                  <w:shd w:val="clear" w:color="auto" w:fill="auto"/>
                  <w:vAlign w:val="center"/>
                </w:tcPr>
                <w:p w14:paraId="5CE2AEDD">
                  <w:pPr>
                    <w:jc w:val="center"/>
                    <w:rPr>
                      <w:szCs w:val="21"/>
                    </w:rPr>
                  </w:pPr>
                  <w:r>
                    <w:rPr>
                      <w:rFonts w:hint="eastAsia" w:cs="宋体"/>
                      <w:szCs w:val="21"/>
                      <w:lang w:bidi="ar"/>
                    </w:rPr>
                    <w:t>昼间</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14:paraId="56BD40DB">
                  <w:pPr>
                    <w:jc w:val="center"/>
                    <w:rPr>
                      <w:szCs w:val="21"/>
                    </w:rPr>
                  </w:pPr>
                  <w:r>
                    <w:rPr>
                      <w:rFonts w:hint="eastAsia"/>
                      <w:szCs w:val="21"/>
                    </w:rPr>
                    <w:t>43.8</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51E7ED4E">
                  <w:pPr>
                    <w:jc w:val="center"/>
                    <w:rPr>
                      <w:szCs w:val="21"/>
                    </w:rPr>
                  </w:pPr>
                  <w:r>
                    <w:rPr>
                      <w:rFonts w:hint="eastAsia"/>
                      <w:szCs w:val="21"/>
                    </w:rPr>
                    <w:t>43.8</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2B66A3ED">
                  <w:pPr>
                    <w:jc w:val="center"/>
                    <w:rPr>
                      <w:szCs w:val="21"/>
                    </w:rPr>
                  </w:pPr>
                  <w:r>
                    <w:rPr>
                      <w:szCs w:val="21"/>
                      <w:lang w:bidi="ar"/>
                    </w:rPr>
                    <w:t>65</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14:paraId="45015421">
                  <w:pPr>
                    <w:jc w:val="center"/>
                    <w:rPr>
                      <w:szCs w:val="21"/>
                    </w:rPr>
                  </w:pPr>
                  <w:r>
                    <w:rPr>
                      <w:rFonts w:hint="eastAsia" w:cs="宋体"/>
                      <w:szCs w:val="21"/>
                      <w:lang w:bidi="ar"/>
                    </w:rPr>
                    <w:t>达标</w:t>
                  </w:r>
                </w:p>
              </w:tc>
            </w:tr>
            <w:tr w14:paraId="3170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exact"/>
                <w:jc w:val="center"/>
              </w:trPr>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14:paraId="77E3A115">
                  <w:pPr>
                    <w:jc w:val="center"/>
                    <w:rPr>
                      <w:szCs w:val="21"/>
                    </w:rPr>
                  </w:pPr>
                  <w:r>
                    <w:rPr>
                      <w:rFonts w:hint="eastAsia" w:cs="宋体"/>
                      <w:szCs w:val="21"/>
                      <w:lang w:bidi="ar"/>
                    </w:rPr>
                    <w:t>西厂界</w:t>
                  </w:r>
                </w:p>
              </w:tc>
              <w:tc>
                <w:tcPr>
                  <w:tcW w:w="1209" w:type="dxa"/>
                  <w:tcBorders>
                    <w:top w:val="single" w:color="auto" w:sz="4" w:space="0"/>
                    <w:left w:val="single" w:color="auto" w:sz="4" w:space="0"/>
                    <w:bottom w:val="single" w:color="auto" w:sz="4" w:space="0"/>
                    <w:right w:val="single" w:color="auto" w:sz="4" w:space="0"/>
                  </w:tcBorders>
                  <w:shd w:val="clear" w:color="auto" w:fill="auto"/>
                  <w:vAlign w:val="center"/>
                </w:tcPr>
                <w:p w14:paraId="53AE4B5E">
                  <w:pPr>
                    <w:jc w:val="center"/>
                    <w:rPr>
                      <w:szCs w:val="21"/>
                    </w:rPr>
                  </w:pPr>
                  <w:r>
                    <w:rPr>
                      <w:rFonts w:hint="eastAsia" w:cs="宋体"/>
                      <w:szCs w:val="21"/>
                      <w:lang w:bidi="ar"/>
                    </w:rPr>
                    <w:t>昼间</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14:paraId="68ECEE00">
                  <w:pPr>
                    <w:jc w:val="center"/>
                    <w:rPr>
                      <w:szCs w:val="21"/>
                    </w:rPr>
                  </w:pPr>
                  <w:r>
                    <w:rPr>
                      <w:rFonts w:hint="eastAsia"/>
                      <w:szCs w:val="21"/>
                    </w:rPr>
                    <w:t>52.9</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694E26AA">
                  <w:pPr>
                    <w:jc w:val="center"/>
                    <w:rPr>
                      <w:szCs w:val="21"/>
                    </w:rPr>
                  </w:pPr>
                  <w:r>
                    <w:rPr>
                      <w:rFonts w:hint="eastAsia"/>
                      <w:szCs w:val="21"/>
                    </w:rPr>
                    <w:t>52.9</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69898107">
                  <w:pPr>
                    <w:jc w:val="center"/>
                    <w:rPr>
                      <w:szCs w:val="21"/>
                    </w:rPr>
                  </w:pPr>
                  <w:r>
                    <w:rPr>
                      <w:rFonts w:hint="eastAsia"/>
                      <w:szCs w:val="21"/>
                      <w:lang w:bidi="ar"/>
                    </w:rPr>
                    <w:t>65</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14:paraId="2DE02B27">
                  <w:pPr>
                    <w:jc w:val="center"/>
                    <w:rPr>
                      <w:szCs w:val="21"/>
                    </w:rPr>
                  </w:pPr>
                  <w:r>
                    <w:rPr>
                      <w:rFonts w:hint="eastAsia" w:cs="宋体"/>
                      <w:szCs w:val="21"/>
                      <w:lang w:bidi="ar"/>
                    </w:rPr>
                    <w:t>达标</w:t>
                  </w:r>
                </w:p>
              </w:tc>
            </w:tr>
            <w:tr w14:paraId="6A26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exact"/>
                <w:jc w:val="center"/>
              </w:trPr>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14:paraId="349004FB">
                  <w:pPr>
                    <w:jc w:val="center"/>
                    <w:rPr>
                      <w:szCs w:val="21"/>
                    </w:rPr>
                  </w:pPr>
                  <w:r>
                    <w:rPr>
                      <w:rFonts w:hint="eastAsia" w:cs="宋体"/>
                      <w:szCs w:val="21"/>
                      <w:lang w:bidi="ar"/>
                    </w:rPr>
                    <w:t>北厂界</w:t>
                  </w:r>
                </w:p>
              </w:tc>
              <w:tc>
                <w:tcPr>
                  <w:tcW w:w="1209" w:type="dxa"/>
                  <w:tcBorders>
                    <w:top w:val="single" w:color="auto" w:sz="4" w:space="0"/>
                    <w:left w:val="single" w:color="auto" w:sz="4" w:space="0"/>
                    <w:bottom w:val="single" w:color="auto" w:sz="4" w:space="0"/>
                    <w:right w:val="single" w:color="auto" w:sz="4" w:space="0"/>
                  </w:tcBorders>
                  <w:shd w:val="clear" w:color="auto" w:fill="auto"/>
                  <w:vAlign w:val="center"/>
                </w:tcPr>
                <w:p w14:paraId="68AF77BE">
                  <w:pPr>
                    <w:jc w:val="center"/>
                    <w:rPr>
                      <w:szCs w:val="21"/>
                    </w:rPr>
                  </w:pPr>
                  <w:r>
                    <w:rPr>
                      <w:rFonts w:hint="eastAsia" w:cs="宋体"/>
                      <w:szCs w:val="21"/>
                      <w:lang w:bidi="ar"/>
                    </w:rPr>
                    <w:t>昼间</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14:paraId="6324A5ED">
                  <w:pPr>
                    <w:jc w:val="center"/>
                    <w:rPr>
                      <w:szCs w:val="21"/>
                    </w:rPr>
                  </w:pPr>
                  <w:r>
                    <w:rPr>
                      <w:rFonts w:hint="eastAsia"/>
                      <w:szCs w:val="21"/>
                    </w:rPr>
                    <w:t>46.3</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63A338B">
                  <w:pPr>
                    <w:jc w:val="center"/>
                    <w:rPr>
                      <w:szCs w:val="21"/>
                    </w:rPr>
                  </w:pPr>
                  <w:r>
                    <w:rPr>
                      <w:rFonts w:hint="eastAsia"/>
                      <w:szCs w:val="21"/>
                    </w:rPr>
                    <w:t>46.3</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68A726C6">
                  <w:pPr>
                    <w:jc w:val="center"/>
                    <w:rPr>
                      <w:szCs w:val="21"/>
                    </w:rPr>
                  </w:pPr>
                  <w:r>
                    <w:rPr>
                      <w:rFonts w:hint="eastAsia"/>
                      <w:szCs w:val="21"/>
                    </w:rPr>
                    <w:t>65</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14:paraId="530A3D08">
                  <w:pPr>
                    <w:jc w:val="center"/>
                    <w:rPr>
                      <w:szCs w:val="21"/>
                    </w:rPr>
                  </w:pPr>
                  <w:r>
                    <w:rPr>
                      <w:rFonts w:hint="eastAsia" w:cs="宋体"/>
                      <w:szCs w:val="21"/>
                      <w:lang w:bidi="ar"/>
                    </w:rPr>
                    <w:t>达标</w:t>
                  </w:r>
                </w:p>
              </w:tc>
            </w:tr>
          </w:tbl>
          <w:p w14:paraId="3A774C97">
            <w:pPr>
              <w:spacing w:line="360" w:lineRule="auto"/>
              <w:ind w:firstLine="420" w:firstLineChars="200"/>
              <w:rPr>
                <w:szCs w:val="21"/>
              </w:rPr>
            </w:pPr>
            <w:r>
              <w:rPr>
                <w:rFonts w:hint="eastAsia"/>
                <w:szCs w:val="21"/>
              </w:rPr>
              <w:t>注：项目夜间不生产。</w:t>
            </w:r>
          </w:p>
          <w:p w14:paraId="4FB8E88C">
            <w:pPr>
              <w:spacing w:line="360" w:lineRule="auto"/>
              <w:ind w:firstLine="480" w:firstLineChars="200"/>
              <w:jc w:val="left"/>
              <w:rPr>
                <w:sz w:val="24"/>
              </w:rPr>
            </w:pPr>
            <w:r>
              <w:rPr>
                <w:sz w:val="24"/>
              </w:rPr>
              <w:t>由上表可知，</w:t>
            </w:r>
            <w:r>
              <w:rPr>
                <w:rFonts w:hint="eastAsia"/>
                <w:sz w:val="24"/>
              </w:rPr>
              <w:t>本</w:t>
            </w:r>
            <w:r>
              <w:rPr>
                <w:sz w:val="24"/>
              </w:rPr>
              <w:t>项目营运期噪声设备经采取减振基础、消声、厂房隔声等措施后，</w:t>
            </w:r>
            <w:r>
              <w:rPr>
                <w:rFonts w:hint="eastAsia"/>
                <w:sz w:val="24"/>
              </w:rPr>
              <w:t>各</w:t>
            </w:r>
            <w:r>
              <w:rPr>
                <w:sz w:val="24"/>
              </w:rPr>
              <w:t>厂界噪声均能够满足《工业企业厂界环境噪声排放标准》（GB12348-2008）</w:t>
            </w:r>
            <w:r>
              <w:rPr>
                <w:rFonts w:hint="eastAsia"/>
                <w:sz w:val="24"/>
              </w:rPr>
              <w:t>3</w:t>
            </w:r>
            <w:r>
              <w:rPr>
                <w:sz w:val="24"/>
              </w:rPr>
              <w:t>类标准（昼间≤</w:t>
            </w:r>
            <w:r>
              <w:rPr>
                <w:rFonts w:hint="eastAsia"/>
                <w:sz w:val="24"/>
              </w:rPr>
              <w:t>65</w:t>
            </w:r>
            <w:r>
              <w:rPr>
                <w:sz w:val="24"/>
              </w:rPr>
              <w:t>dB(A)）。</w:t>
            </w:r>
          </w:p>
          <w:p w14:paraId="172111E6">
            <w:pPr>
              <w:spacing w:line="360" w:lineRule="auto"/>
              <w:ind w:firstLine="480" w:firstLineChars="200"/>
              <w:jc w:val="left"/>
              <w:rPr>
                <w:sz w:val="24"/>
              </w:rPr>
            </w:pPr>
            <w:r>
              <w:rPr>
                <w:rFonts w:hint="eastAsia"/>
                <w:sz w:val="24"/>
              </w:rPr>
              <w:t>预测结果表明：在采用噪声治理措施后，项目的声预测增值很小，项目的建设不会导致项目附近声水平明显升高，厂界噪声均可达标，因此，本项目对区域声环境质量的影响较小。</w:t>
            </w:r>
          </w:p>
          <w:p w14:paraId="670F8B4D">
            <w:pPr>
              <w:spacing w:line="360" w:lineRule="auto"/>
              <w:ind w:firstLine="482" w:firstLineChars="200"/>
              <w:jc w:val="left"/>
              <w:rPr>
                <w:b/>
                <w:sz w:val="24"/>
              </w:rPr>
            </w:pPr>
            <w:r>
              <w:rPr>
                <w:rFonts w:hint="eastAsia"/>
                <w:b/>
                <w:sz w:val="24"/>
              </w:rPr>
              <w:t>3.4噪声自行监测计划</w:t>
            </w:r>
          </w:p>
          <w:p w14:paraId="195EE02E">
            <w:pPr>
              <w:widowControl/>
              <w:spacing w:line="360" w:lineRule="auto"/>
              <w:ind w:firstLine="480" w:firstLineChars="200"/>
              <w:jc w:val="left"/>
              <w:rPr>
                <w:sz w:val="24"/>
              </w:rPr>
            </w:pPr>
            <w:r>
              <w:rPr>
                <w:sz w:val="24"/>
              </w:rPr>
              <w:t>本项目厂界周边50m范围内无声环境保护目标，根据《排污单位自行监测技术指南</w:t>
            </w:r>
            <w:r>
              <w:rPr>
                <w:rFonts w:hint="eastAsia"/>
                <w:sz w:val="24"/>
              </w:rPr>
              <w:t xml:space="preserve"> </w:t>
            </w:r>
            <w:r>
              <w:rPr>
                <w:sz w:val="24"/>
              </w:rPr>
              <w:t>总则》（HJ819-2017），本项目噪声自行监测计划见</w:t>
            </w:r>
            <w:r>
              <w:rPr>
                <w:rFonts w:hint="eastAsia"/>
                <w:sz w:val="24"/>
              </w:rPr>
              <w:t>下表</w:t>
            </w:r>
            <w:r>
              <w:rPr>
                <w:sz w:val="24"/>
              </w:rPr>
              <w:t>。</w:t>
            </w:r>
          </w:p>
          <w:p w14:paraId="008D573C">
            <w:pPr>
              <w:pStyle w:val="137"/>
              <w:numPr>
                <w:ilvl w:val="0"/>
                <w:numId w:val="7"/>
              </w:numPr>
              <w:adjustRightInd w:val="0"/>
              <w:snapToGrid w:val="0"/>
              <w:ind w:firstLineChars="0"/>
              <w:jc w:val="center"/>
              <w:rPr>
                <w:b/>
                <w:snapToGrid w:val="0"/>
                <w:kern w:val="0"/>
                <w:szCs w:val="21"/>
              </w:rPr>
            </w:pPr>
            <w:r>
              <w:rPr>
                <w:b/>
                <w:snapToGrid w:val="0"/>
                <w:kern w:val="0"/>
                <w:szCs w:val="21"/>
              </w:rPr>
              <w:t>项目</w:t>
            </w:r>
            <w:r>
              <w:rPr>
                <w:rFonts w:hint="eastAsia"/>
                <w:b/>
                <w:snapToGrid w:val="0"/>
                <w:kern w:val="0"/>
                <w:szCs w:val="21"/>
              </w:rPr>
              <w:t>厂界噪声自行监测计划表</w:t>
            </w:r>
          </w:p>
          <w:tbl>
            <w:tblPr>
              <w:tblStyle w:val="39"/>
              <w:tblW w:w="790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44"/>
              <w:gridCol w:w="1683"/>
              <w:gridCol w:w="1403"/>
              <w:gridCol w:w="3576"/>
            </w:tblGrid>
            <w:tr w14:paraId="714C0E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1244" w:type="dxa"/>
                  <w:vAlign w:val="center"/>
                </w:tcPr>
                <w:p w14:paraId="15504129">
                  <w:pPr>
                    <w:snapToGrid w:val="0"/>
                    <w:jc w:val="center"/>
                    <w:rPr>
                      <w:b/>
                      <w:kern w:val="0"/>
                      <w:szCs w:val="21"/>
                    </w:rPr>
                  </w:pPr>
                  <w:r>
                    <w:rPr>
                      <w:b/>
                      <w:kern w:val="0"/>
                      <w:szCs w:val="21"/>
                    </w:rPr>
                    <w:t>监测指标</w:t>
                  </w:r>
                </w:p>
              </w:tc>
              <w:tc>
                <w:tcPr>
                  <w:tcW w:w="1683" w:type="dxa"/>
                  <w:vAlign w:val="center"/>
                </w:tcPr>
                <w:p w14:paraId="5380F4AC">
                  <w:pPr>
                    <w:snapToGrid w:val="0"/>
                    <w:jc w:val="center"/>
                    <w:rPr>
                      <w:b/>
                      <w:kern w:val="0"/>
                      <w:szCs w:val="21"/>
                    </w:rPr>
                  </w:pPr>
                  <w:r>
                    <w:rPr>
                      <w:b/>
                      <w:kern w:val="0"/>
                      <w:szCs w:val="21"/>
                    </w:rPr>
                    <w:t>监测点位</w:t>
                  </w:r>
                </w:p>
              </w:tc>
              <w:tc>
                <w:tcPr>
                  <w:tcW w:w="1403" w:type="dxa"/>
                  <w:vAlign w:val="center"/>
                </w:tcPr>
                <w:p w14:paraId="20255910">
                  <w:pPr>
                    <w:snapToGrid w:val="0"/>
                    <w:jc w:val="center"/>
                    <w:rPr>
                      <w:b/>
                      <w:kern w:val="0"/>
                      <w:szCs w:val="21"/>
                    </w:rPr>
                  </w:pPr>
                  <w:r>
                    <w:rPr>
                      <w:b/>
                      <w:kern w:val="0"/>
                      <w:szCs w:val="21"/>
                    </w:rPr>
                    <w:t>监测频次</w:t>
                  </w:r>
                </w:p>
              </w:tc>
              <w:tc>
                <w:tcPr>
                  <w:tcW w:w="3576" w:type="dxa"/>
                  <w:vAlign w:val="center"/>
                </w:tcPr>
                <w:p w14:paraId="0C55FA48">
                  <w:pPr>
                    <w:snapToGrid w:val="0"/>
                    <w:jc w:val="center"/>
                    <w:rPr>
                      <w:b/>
                      <w:kern w:val="0"/>
                      <w:szCs w:val="21"/>
                    </w:rPr>
                  </w:pPr>
                  <w:r>
                    <w:rPr>
                      <w:b/>
                      <w:kern w:val="0"/>
                      <w:szCs w:val="21"/>
                    </w:rPr>
                    <w:t>执行排放标准</w:t>
                  </w:r>
                </w:p>
              </w:tc>
            </w:tr>
            <w:tr w14:paraId="032AB0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244" w:type="dxa"/>
                  <w:vMerge w:val="restart"/>
                  <w:vAlign w:val="center"/>
                </w:tcPr>
                <w:p w14:paraId="2BA1C34F">
                  <w:pPr>
                    <w:snapToGrid w:val="0"/>
                    <w:jc w:val="center"/>
                    <w:rPr>
                      <w:kern w:val="0"/>
                      <w:szCs w:val="21"/>
                    </w:rPr>
                  </w:pPr>
                  <w:r>
                    <w:rPr>
                      <w:kern w:val="0"/>
                      <w:szCs w:val="21"/>
                    </w:rPr>
                    <w:t>连续等效A声级</w:t>
                  </w:r>
                </w:p>
              </w:tc>
              <w:tc>
                <w:tcPr>
                  <w:tcW w:w="1683" w:type="dxa"/>
                  <w:vAlign w:val="center"/>
                </w:tcPr>
                <w:p w14:paraId="7B8F72BE">
                  <w:pPr>
                    <w:snapToGrid w:val="0"/>
                    <w:jc w:val="center"/>
                    <w:rPr>
                      <w:kern w:val="0"/>
                      <w:szCs w:val="21"/>
                    </w:rPr>
                  </w:pPr>
                  <w:r>
                    <w:rPr>
                      <w:rFonts w:hint="eastAsia"/>
                      <w:kern w:val="0"/>
                      <w:szCs w:val="21"/>
                    </w:rPr>
                    <w:t>东</w:t>
                  </w:r>
                  <w:r>
                    <w:rPr>
                      <w:kern w:val="0"/>
                      <w:szCs w:val="21"/>
                    </w:rPr>
                    <w:t>厂界</w:t>
                  </w:r>
                  <w:r>
                    <w:rPr>
                      <w:rFonts w:hint="eastAsia"/>
                      <w:kern w:val="0"/>
                      <w:szCs w:val="21"/>
                    </w:rPr>
                    <w:t>外1m</w:t>
                  </w:r>
                </w:p>
              </w:tc>
              <w:tc>
                <w:tcPr>
                  <w:tcW w:w="1403" w:type="dxa"/>
                  <w:vMerge w:val="restart"/>
                  <w:vAlign w:val="center"/>
                </w:tcPr>
                <w:p w14:paraId="2F139F41">
                  <w:pPr>
                    <w:snapToGrid w:val="0"/>
                    <w:jc w:val="center"/>
                    <w:rPr>
                      <w:kern w:val="0"/>
                      <w:szCs w:val="21"/>
                    </w:rPr>
                  </w:pPr>
                  <w:r>
                    <w:rPr>
                      <w:kern w:val="0"/>
                      <w:szCs w:val="21"/>
                    </w:rPr>
                    <w:t>1次/季度</w:t>
                  </w:r>
                </w:p>
              </w:tc>
              <w:tc>
                <w:tcPr>
                  <w:tcW w:w="3576" w:type="dxa"/>
                  <w:vMerge w:val="restart"/>
                  <w:vAlign w:val="center"/>
                </w:tcPr>
                <w:p w14:paraId="317653E4">
                  <w:pPr>
                    <w:snapToGrid w:val="0"/>
                    <w:jc w:val="center"/>
                    <w:rPr>
                      <w:kern w:val="0"/>
                      <w:szCs w:val="21"/>
                    </w:rPr>
                  </w:pPr>
                  <w:r>
                    <w:rPr>
                      <w:kern w:val="0"/>
                      <w:szCs w:val="21"/>
                    </w:rPr>
                    <w:t>《工业企业厂界环境噪声排放标准》（GB12348-2008）</w:t>
                  </w:r>
                  <w:r>
                    <w:rPr>
                      <w:rFonts w:hint="eastAsia"/>
                      <w:kern w:val="0"/>
                      <w:szCs w:val="21"/>
                    </w:rPr>
                    <w:t>3类标准</w:t>
                  </w:r>
                </w:p>
              </w:tc>
            </w:tr>
            <w:tr w14:paraId="5FC270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 w:hRule="atLeast"/>
                <w:jc w:val="center"/>
              </w:trPr>
              <w:tc>
                <w:tcPr>
                  <w:tcW w:w="1244" w:type="dxa"/>
                  <w:vMerge w:val="continue"/>
                  <w:vAlign w:val="center"/>
                </w:tcPr>
                <w:p w14:paraId="5288ACAE">
                  <w:pPr>
                    <w:snapToGrid w:val="0"/>
                    <w:jc w:val="center"/>
                    <w:rPr>
                      <w:kern w:val="0"/>
                      <w:szCs w:val="21"/>
                    </w:rPr>
                  </w:pPr>
                </w:p>
              </w:tc>
              <w:tc>
                <w:tcPr>
                  <w:tcW w:w="1683" w:type="dxa"/>
                  <w:vAlign w:val="center"/>
                </w:tcPr>
                <w:p w14:paraId="66959415">
                  <w:pPr>
                    <w:snapToGrid w:val="0"/>
                    <w:jc w:val="center"/>
                    <w:rPr>
                      <w:kern w:val="0"/>
                      <w:szCs w:val="21"/>
                    </w:rPr>
                  </w:pPr>
                  <w:r>
                    <w:rPr>
                      <w:rFonts w:hint="eastAsia"/>
                      <w:kern w:val="0"/>
                      <w:szCs w:val="21"/>
                    </w:rPr>
                    <w:t>南</w:t>
                  </w:r>
                  <w:r>
                    <w:rPr>
                      <w:kern w:val="0"/>
                      <w:szCs w:val="21"/>
                    </w:rPr>
                    <w:t>厂界</w:t>
                  </w:r>
                  <w:r>
                    <w:rPr>
                      <w:rFonts w:hint="eastAsia"/>
                      <w:kern w:val="0"/>
                      <w:szCs w:val="21"/>
                    </w:rPr>
                    <w:t>外1m</w:t>
                  </w:r>
                </w:p>
              </w:tc>
              <w:tc>
                <w:tcPr>
                  <w:tcW w:w="1403" w:type="dxa"/>
                  <w:vMerge w:val="continue"/>
                  <w:vAlign w:val="center"/>
                </w:tcPr>
                <w:p w14:paraId="430296E1">
                  <w:pPr>
                    <w:snapToGrid w:val="0"/>
                    <w:jc w:val="center"/>
                    <w:rPr>
                      <w:kern w:val="0"/>
                      <w:szCs w:val="21"/>
                    </w:rPr>
                  </w:pPr>
                </w:p>
              </w:tc>
              <w:tc>
                <w:tcPr>
                  <w:tcW w:w="3576" w:type="dxa"/>
                  <w:vMerge w:val="continue"/>
                  <w:vAlign w:val="center"/>
                </w:tcPr>
                <w:p w14:paraId="0A9E8A7B">
                  <w:pPr>
                    <w:snapToGrid w:val="0"/>
                    <w:jc w:val="center"/>
                    <w:rPr>
                      <w:kern w:val="0"/>
                      <w:szCs w:val="21"/>
                    </w:rPr>
                  </w:pPr>
                </w:p>
              </w:tc>
            </w:tr>
            <w:tr w14:paraId="4E7A02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 w:hRule="atLeast"/>
                <w:jc w:val="center"/>
              </w:trPr>
              <w:tc>
                <w:tcPr>
                  <w:tcW w:w="1244" w:type="dxa"/>
                  <w:vMerge w:val="continue"/>
                  <w:vAlign w:val="center"/>
                </w:tcPr>
                <w:p w14:paraId="232E5033">
                  <w:pPr>
                    <w:snapToGrid w:val="0"/>
                    <w:jc w:val="center"/>
                    <w:rPr>
                      <w:kern w:val="0"/>
                      <w:szCs w:val="21"/>
                    </w:rPr>
                  </w:pPr>
                </w:p>
              </w:tc>
              <w:tc>
                <w:tcPr>
                  <w:tcW w:w="1683" w:type="dxa"/>
                  <w:vAlign w:val="center"/>
                </w:tcPr>
                <w:p w14:paraId="7E9B1BD0">
                  <w:pPr>
                    <w:snapToGrid w:val="0"/>
                    <w:jc w:val="center"/>
                    <w:rPr>
                      <w:kern w:val="0"/>
                      <w:szCs w:val="21"/>
                    </w:rPr>
                  </w:pPr>
                  <w:r>
                    <w:rPr>
                      <w:rFonts w:hint="eastAsia"/>
                      <w:kern w:val="0"/>
                      <w:szCs w:val="21"/>
                    </w:rPr>
                    <w:t>西</w:t>
                  </w:r>
                  <w:r>
                    <w:rPr>
                      <w:kern w:val="0"/>
                      <w:szCs w:val="21"/>
                    </w:rPr>
                    <w:t>厂界</w:t>
                  </w:r>
                  <w:r>
                    <w:rPr>
                      <w:rFonts w:hint="eastAsia"/>
                      <w:kern w:val="0"/>
                      <w:szCs w:val="21"/>
                    </w:rPr>
                    <w:t>外1m</w:t>
                  </w:r>
                </w:p>
              </w:tc>
              <w:tc>
                <w:tcPr>
                  <w:tcW w:w="1403" w:type="dxa"/>
                  <w:vMerge w:val="continue"/>
                  <w:vAlign w:val="center"/>
                </w:tcPr>
                <w:p w14:paraId="72D70955">
                  <w:pPr>
                    <w:snapToGrid w:val="0"/>
                    <w:jc w:val="center"/>
                    <w:rPr>
                      <w:kern w:val="0"/>
                      <w:szCs w:val="21"/>
                    </w:rPr>
                  </w:pPr>
                </w:p>
              </w:tc>
              <w:tc>
                <w:tcPr>
                  <w:tcW w:w="3576" w:type="dxa"/>
                  <w:vMerge w:val="continue"/>
                  <w:vAlign w:val="center"/>
                </w:tcPr>
                <w:p w14:paraId="515F6C39">
                  <w:pPr>
                    <w:snapToGrid w:val="0"/>
                    <w:jc w:val="center"/>
                    <w:rPr>
                      <w:kern w:val="0"/>
                      <w:szCs w:val="21"/>
                    </w:rPr>
                  </w:pPr>
                </w:p>
              </w:tc>
            </w:tr>
            <w:tr w14:paraId="401134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 w:hRule="atLeast"/>
                <w:jc w:val="center"/>
              </w:trPr>
              <w:tc>
                <w:tcPr>
                  <w:tcW w:w="1244" w:type="dxa"/>
                  <w:vMerge w:val="continue"/>
                  <w:vAlign w:val="center"/>
                </w:tcPr>
                <w:p w14:paraId="641AFA31">
                  <w:pPr>
                    <w:snapToGrid w:val="0"/>
                    <w:jc w:val="center"/>
                    <w:rPr>
                      <w:kern w:val="0"/>
                      <w:szCs w:val="21"/>
                    </w:rPr>
                  </w:pPr>
                </w:p>
              </w:tc>
              <w:tc>
                <w:tcPr>
                  <w:tcW w:w="1683" w:type="dxa"/>
                  <w:vAlign w:val="center"/>
                </w:tcPr>
                <w:p w14:paraId="4542A73D">
                  <w:pPr>
                    <w:snapToGrid w:val="0"/>
                    <w:jc w:val="center"/>
                    <w:rPr>
                      <w:kern w:val="0"/>
                      <w:szCs w:val="21"/>
                    </w:rPr>
                  </w:pPr>
                  <w:r>
                    <w:rPr>
                      <w:rFonts w:hint="eastAsia"/>
                      <w:kern w:val="0"/>
                      <w:szCs w:val="21"/>
                    </w:rPr>
                    <w:t>北</w:t>
                  </w:r>
                  <w:r>
                    <w:rPr>
                      <w:kern w:val="0"/>
                      <w:szCs w:val="21"/>
                    </w:rPr>
                    <w:t>厂界</w:t>
                  </w:r>
                  <w:r>
                    <w:rPr>
                      <w:rFonts w:hint="eastAsia"/>
                      <w:kern w:val="0"/>
                      <w:szCs w:val="21"/>
                    </w:rPr>
                    <w:t>外1m</w:t>
                  </w:r>
                </w:p>
              </w:tc>
              <w:tc>
                <w:tcPr>
                  <w:tcW w:w="1403" w:type="dxa"/>
                  <w:vMerge w:val="continue"/>
                  <w:vAlign w:val="center"/>
                </w:tcPr>
                <w:p w14:paraId="7944B697">
                  <w:pPr>
                    <w:snapToGrid w:val="0"/>
                    <w:jc w:val="center"/>
                    <w:rPr>
                      <w:kern w:val="0"/>
                      <w:szCs w:val="21"/>
                    </w:rPr>
                  </w:pPr>
                </w:p>
              </w:tc>
              <w:tc>
                <w:tcPr>
                  <w:tcW w:w="3576" w:type="dxa"/>
                  <w:vMerge w:val="continue"/>
                  <w:vAlign w:val="center"/>
                </w:tcPr>
                <w:p w14:paraId="6400AB28">
                  <w:pPr>
                    <w:snapToGrid w:val="0"/>
                    <w:jc w:val="center"/>
                    <w:rPr>
                      <w:kern w:val="0"/>
                      <w:szCs w:val="21"/>
                    </w:rPr>
                  </w:pPr>
                </w:p>
              </w:tc>
            </w:tr>
          </w:tbl>
          <w:p w14:paraId="7505BDEF">
            <w:pPr>
              <w:adjustRightInd w:val="0"/>
              <w:snapToGrid w:val="0"/>
              <w:spacing w:line="360" w:lineRule="auto"/>
              <w:ind w:firstLine="482" w:firstLineChars="200"/>
              <w:rPr>
                <w:sz w:val="24"/>
              </w:rPr>
            </w:pPr>
            <w:r>
              <w:rPr>
                <w:rFonts w:hint="eastAsia"/>
                <w:b/>
                <w:bCs/>
                <w:sz w:val="24"/>
              </w:rPr>
              <w:t>4、固体废物</w:t>
            </w:r>
          </w:p>
          <w:p w14:paraId="1B0A3258">
            <w:pPr>
              <w:adjustRightInd w:val="0"/>
              <w:snapToGrid w:val="0"/>
              <w:spacing w:line="360" w:lineRule="auto"/>
              <w:ind w:firstLine="480" w:firstLineChars="200"/>
              <w:rPr>
                <w:sz w:val="24"/>
              </w:rPr>
            </w:pPr>
            <w:r>
              <w:rPr>
                <w:rFonts w:hint="eastAsia"/>
                <w:sz w:val="24"/>
              </w:rPr>
              <w:t>本项目营运期产生的固体废物主要为废玻璃边角料、不合格品、</w:t>
            </w:r>
            <w:r>
              <w:rPr>
                <w:rFonts w:hint="eastAsia"/>
                <w:color w:val="C00000"/>
                <w:sz w:val="24"/>
              </w:rPr>
              <w:t>废铝条、</w:t>
            </w:r>
            <w:r>
              <w:rPr>
                <w:rFonts w:hint="eastAsia"/>
                <w:sz w:val="24"/>
              </w:rPr>
              <w:t>玻璃沉渣、</w:t>
            </w:r>
            <w:r>
              <w:rPr>
                <w:rFonts w:hint="eastAsia"/>
                <w:sz w:val="24"/>
                <w:u w:val="single"/>
              </w:rPr>
              <w:t>废滤材、未沾染胶的废胶桶、废润滑油及其包装桶、沾染胶的废塑料膜和废胶桶、</w:t>
            </w:r>
            <w:r>
              <w:rPr>
                <w:rFonts w:hint="eastAsia"/>
                <w:sz w:val="24"/>
              </w:rPr>
              <w:t>废活性炭、废催化剂以及生活垃圾。</w:t>
            </w:r>
          </w:p>
          <w:p w14:paraId="459A8ACB">
            <w:pPr>
              <w:adjustRightInd w:val="0"/>
              <w:snapToGrid w:val="0"/>
              <w:spacing w:line="360" w:lineRule="auto"/>
              <w:ind w:firstLine="482" w:firstLineChars="200"/>
              <w:rPr>
                <w:b/>
                <w:sz w:val="24"/>
              </w:rPr>
            </w:pPr>
            <w:r>
              <w:rPr>
                <w:rFonts w:hint="eastAsia"/>
                <w:b/>
                <w:sz w:val="24"/>
              </w:rPr>
              <w:t>4.1生活垃圾</w:t>
            </w:r>
          </w:p>
          <w:p w14:paraId="75D961D1">
            <w:pPr>
              <w:adjustRightInd w:val="0"/>
              <w:snapToGrid w:val="0"/>
              <w:spacing w:line="360" w:lineRule="auto"/>
              <w:ind w:firstLine="480" w:firstLineChars="200"/>
              <w:rPr>
                <w:sz w:val="24"/>
              </w:rPr>
            </w:pPr>
            <w:r>
              <w:rPr>
                <w:rFonts w:hint="eastAsia"/>
                <w:sz w:val="24"/>
              </w:rPr>
              <w:t>本项目劳动定员30人，生活垃圾产生量按照0.5kg/人·d计，则项目生活垃圾产生量4.5t/a，生活垃圾集中收集后交由环卫部门处置。</w:t>
            </w:r>
          </w:p>
          <w:p w14:paraId="109EF097">
            <w:pPr>
              <w:adjustRightInd w:val="0"/>
              <w:snapToGrid w:val="0"/>
              <w:spacing w:line="360" w:lineRule="auto"/>
              <w:ind w:firstLine="482" w:firstLineChars="200"/>
              <w:rPr>
                <w:b/>
                <w:sz w:val="24"/>
              </w:rPr>
            </w:pPr>
            <w:r>
              <w:rPr>
                <w:rFonts w:hint="eastAsia"/>
                <w:b/>
                <w:sz w:val="24"/>
              </w:rPr>
              <w:t>4.2一般工业固废</w:t>
            </w:r>
          </w:p>
          <w:p w14:paraId="6E051032">
            <w:pPr>
              <w:adjustRightInd w:val="0"/>
              <w:snapToGrid w:val="0"/>
              <w:spacing w:line="360" w:lineRule="auto"/>
              <w:ind w:firstLine="480" w:firstLineChars="200"/>
              <w:rPr>
                <w:sz w:val="24"/>
              </w:rPr>
            </w:pPr>
            <w:r>
              <w:rPr>
                <w:rFonts w:hint="eastAsia"/>
                <w:sz w:val="24"/>
              </w:rPr>
              <w:t>（1）废玻璃边角料、不合格品</w:t>
            </w:r>
          </w:p>
          <w:p w14:paraId="052AC8EB">
            <w:pPr>
              <w:adjustRightInd w:val="0"/>
              <w:snapToGrid w:val="0"/>
              <w:spacing w:line="360" w:lineRule="auto"/>
              <w:ind w:firstLine="480" w:firstLineChars="200"/>
              <w:rPr>
                <w:sz w:val="24"/>
              </w:rPr>
            </w:pPr>
            <w:r>
              <w:rPr>
                <w:rFonts w:hint="eastAsia"/>
                <w:sz w:val="24"/>
              </w:rPr>
              <w:t>项目玻璃切割加工过程中将产生一定的边角料、不合格品。根据建设单位提供的数据，玻璃切割加工损失率约为原料的2.5%，本项目玻璃原片总使用量为100.3万m</w:t>
            </w:r>
            <w:r>
              <w:rPr>
                <w:rFonts w:hint="eastAsia"/>
                <w:sz w:val="24"/>
                <w:vertAlign w:val="superscript"/>
              </w:rPr>
              <w:t>2</w:t>
            </w:r>
            <w:r>
              <w:rPr>
                <w:rFonts w:hint="eastAsia"/>
                <w:sz w:val="24"/>
              </w:rPr>
              <w:t>，其中约30.8万m</w:t>
            </w:r>
            <w:r>
              <w:rPr>
                <w:rFonts w:hint="eastAsia"/>
                <w:sz w:val="24"/>
                <w:vertAlign w:val="superscript"/>
              </w:rPr>
              <w:t>2</w:t>
            </w:r>
            <w:r>
              <w:rPr>
                <w:rFonts w:hint="eastAsia"/>
                <w:sz w:val="24"/>
              </w:rPr>
              <w:t>玻璃原片需进行切割处理，根据不同规格玻璃厚度，核算出玻璃总体积约为1800m</w:t>
            </w:r>
            <w:r>
              <w:rPr>
                <w:rFonts w:hint="eastAsia"/>
                <w:sz w:val="24"/>
                <w:vertAlign w:val="superscript"/>
              </w:rPr>
              <w:t>3</w:t>
            </w:r>
            <w:r>
              <w:rPr>
                <w:rFonts w:hint="eastAsia"/>
                <w:sz w:val="24"/>
              </w:rPr>
              <w:t>，已知玻璃的密度为2.5t/m</w:t>
            </w:r>
            <w:r>
              <w:rPr>
                <w:rFonts w:hint="eastAsia"/>
                <w:sz w:val="24"/>
                <w:vertAlign w:val="superscript"/>
              </w:rPr>
              <w:t>3</w:t>
            </w:r>
            <w:r>
              <w:rPr>
                <w:rFonts w:hint="eastAsia"/>
                <w:sz w:val="24"/>
              </w:rPr>
              <w:t>，则产生的废玻璃边角料及不合格品重量约为112.5t/a。主要成分为废玻璃，</w:t>
            </w:r>
            <w:r>
              <w:rPr>
                <w:rFonts w:hint="eastAsia"/>
                <w:sz w:val="24"/>
                <w:u w:val="single"/>
              </w:rPr>
              <w:t>属于一般固废，对照《一般固体废物分类与代码》（GB/T 39198-2020），废玻璃边角料及不合格品属于一般固废中“08废玻璃”，代码为304-001-08，</w:t>
            </w:r>
            <w:r>
              <w:rPr>
                <w:rFonts w:hint="eastAsia"/>
                <w:sz w:val="24"/>
              </w:rPr>
              <w:t>经集中收集后存放在一般固废暂存区，定期外售。</w:t>
            </w:r>
          </w:p>
          <w:p w14:paraId="7D9A4DD1">
            <w:pPr>
              <w:adjustRightInd w:val="0"/>
              <w:snapToGrid w:val="0"/>
              <w:spacing w:line="360" w:lineRule="auto"/>
              <w:ind w:firstLine="480" w:firstLineChars="200"/>
              <w:rPr>
                <w:sz w:val="24"/>
              </w:rPr>
            </w:pPr>
            <w:r>
              <w:rPr>
                <w:sz w:val="24"/>
              </w:rPr>
              <w:t>（2）</w:t>
            </w:r>
            <w:r>
              <w:rPr>
                <w:rFonts w:hint="eastAsia"/>
                <w:sz w:val="24"/>
              </w:rPr>
              <w:t>废铝条</w:t>
            </w:r>
          </w:p>
          <w:p w14:paraId="6A351216">
            <w:pPr>
              <w:adjustRightInd w:val="0"/>
              <w:snapToGrid w:val="0"/>
              <w:spacing w:line="360" w:lineRule="auto"/>
              <w:ind w:firstLine="480" w:firstLineChars="200"/>
              <w:rPr>
                <w:sz w:val="24"/>
              </w:rPr>
            </w:pPr>
            <w:r>
              <w:rPr>
                <w:rFonts w:hint="eastAsia"/>
                <w:sz w:val="24"/>
              </w:rPr>
              <w:t>项目铝隔条切割加工过程会产生一定量的废铝条，根据建设单位提供资料，本项目废铝条的产生量为0.02t/t原料，项目铝条年用量为10t/a，则废铝条产生量为0.2t/a，</w:t>
            </w:r>
            <w:r>
              <w:rPr>
                <w:rFonts w:hint="eastAsia"/>
                <w:sz w:val="24"/>
                <w:u w:val="single"/>
              </w:rPr>
              <w:t>属于一般固废，对照《一般固体废物分类与代码》（GB/T 39198-2020），废铝条属于一般固废中“10废有色金属”，代码为304-001-10，</w:t>
            </w:r>
            <w:r>
              <w:rPr>
                <w:rFonts w:hint="eastAsia"/>
                <w:sz w:val="24"/>
              </w:rPr>
              <w:t>经集中收集后存放在一般固废暂存区，定期外售。</w:t>
            </w:r>
          </w:p>
          <w:p w14:paraId="121E322F">
            <w:pPr>
              <w:adjustRightInd w:val="0"/>
              <w:snapToGrid w:val="0"/>
              <w:spacing w:line="360" w:lineRule="auto"/>
              <w:ind w:firstLine="480" w:firstLineChars="200"/>
              <w:rPr>
                <w:sz w:val="24"/>
              </w:rPr>
            </w:pPr>
            <w:r>
              <w:rPr>
                <w:rFonts w:hint="eastAsia"/>
                <w:sz w:val="24"/>
              </w:rPr>
              <w:t>（3）玻璃沉渣</w:t>
            </w:r>
          </w:p>
          <w:p w14:paraId="0AF47F48">
            <w:pPr>
              <w:adjustRightInd w:val="0"/>
              <w:snapToGrid w:val="0"/>
              <w:spacing w:line="360" w:lineRule="auto"/>
              <w:ind w:firstLine="480" w:firstLineChars="200"/>
              <w:rPr>
                <w:rFonts w:hint="eastAsia"/>
                <w:sz w:val="24"/>
              </w:rPr>
            </w:pPr>
            <w:r>
              <w:rPr>
                <w:rFonts w:hint="eastAsia"/>
                <w:sz w:val="24"/>
              </w:rPr>
              <w:t>项目磨边和清洗工序循环水槽及沉淀池定期捞渣清洗，会产生一定量的玻璃，清理周期为2d，主要成分为玻璃表面的灰尘沉积物及磨边产生的玻璃屑，根据建设单位提供的资料及企业生产经验，每次清理出的玻璃沉渣量约为0.004t，则项目玻璃沉渣产生量为0.6t/a。</w:t>
            </w:r>
            <w:r>
              <w:rPr>
                <w:rFonts w:hint="eastAsia"/>
                <w:sz w:val="24"/>
                <w:u w:val="single"/>
              </w:rPr>
              <w:t>属于一般固废，对照《一般固体废物分类与代码》（GB/T 39198-2020），玻璃沉渣属于一般固废中“08废玻璃”，代码为304-002-08，收集后暂存于一般固废暂存区，定期交专业公司处理处置。</w:t>
            </w:r>
          </w:p>
          <w:p w14:paraId="3F2785A9">
            <w:pPr>
              <w:adjustRightInd w:val="0"/>
              <w:snapToGrid w:val="0"/>
              <w:spacing w:line="360" w:lineRule="auto"/>
              <w:ind w:firstLine="480" w:firstLineChars="200"/>
              <w:rPr>
                <w:rFonts w:hint="eastAsia"/>
                <w:sz w:val="24"/>
                <w:u w:val="single"/>
              </w:rPr>
            </w:pPr>
            <w:r>
              <w:rPr>
                <w:rFonts w:hint="eastAsia"/>
                <w:sz w:val="24"/>
                <w:u w:val="single"/>
              </w:rPr>
              <w:t>（4）废滤材</w:t>
            </w:r>
          </w:p>
          <w:p w14:paraId="14215CBA">
            <w:pPr>
              <w:adjustRightInd w:val="0"/>
              <w:snapToGrid w:val="0"/>
              <w:spacing w:line="360" w:lineRule="auto"/>
              <w:ind w:firstLine="480" w:firstLineChars="200"/>
              <w:rPr>
                <w:rFonts w:hint="eastAsia"/>
                <w:sz w:val="24"/>
                <w:u w:val="single"/>
              </w:rPr>
            </w:pPr>
            <w:r>
              <w:rPr>
                <w:sz w:val="24"/>
                <w:u w:val="single"/>
              </w:rPr>
              <w:t>项目纯水制备采用反渗透工艺</w:t>
            </w:r>
            <w:r>
              <w:rPr>
                <w:rFonts w:hint="eastAsia"/>
                <w:sz w:val="24"/>
                <w:u w:val="single"/>
              </w:rPr>
              <w:t>，滤材（包括废滤芯、废反渗透膜）需定期更换，每年更换一次，每次更换量约为0.2t，属于一般固废，对照《一般固体废物分类与代码》（GB/T 39198-2020），废滤材属于一般固废中“99其他废物”，代码为304-001-99，由厂家更换回收。</w:t>
            </w:r>
          </w:p>
          <w:p w14:paraId="691AB50C">
            <w:pPr>
              <w:adjustRightInd w:val="0"/>
              <w:snapToGrid w:val="0"/>
              <w:spacing w:line="360" w:lineRule="auto"/>
              <w:ind w:firstLine="480" w:firstLineChars="200"/>
              <w:rPr>
                <w:rFonts w:hint="eastAsia"/>
                <w:sz w:val="24"/>
                <w:u w:val="single"/>
              </w:rPr>
            </w:pPr>
            <w:r>
              <w:rPr>
                <w:rFonts w:hint="eastAsia"/>
                <w:sz w:val="24"/>
                <w:u w:val="single"/>
              </w:rPr>
              <w:t>（5）未沾染胶的废胶桶</w:t>
            </w:r>
          </w:p>
          <w:p w14:paraId="06FD1849">
            <w:pPr>
              <w:adjustRightInd w:val="0"/>
              <w:snapToGrid w:val="0"/>
              <w:spacing w:line="360" w:lineRule="auto"/>
              <w:ind w:firstLine="480" w:firstLineChars="200"/>
              <w:rPr>
                <w:rFonts w:hint="eastAsia"/>
                <w:sz w:val="24"/>
                <w:u w:val="single"/>
              </w:rPr>
            </w:pPr>
            <w:r>
              <w:rPr>
                <w:rFonts w:hint="eastAsia"/>
                <w:sz w:val="24"/>
                <w:u w:val="single"/>
              </w:rPr>
              <w:t>根据建设单位提供的资料，项目丁基胶和硅酮胶有两层包装，即外包装桶内有一层塑料膜包装，胶体与外包装桶不直接接触，每桶胶使用后将包装桶内沾有胶的废塑料膜作为危废处置，外部包装桶因未沾染胶，属于一般固废。</w:t>
            </w:r>
          </w:p>
          <w:p w14:paraId="0677DB31">
            <w:pPr>
              <w:adjustRightInd w:val="0"/>
              <w:snapToGrid w:val="0"/>
              <w:spacing w:line="360" w:lineRule="auto"/>
              <w:ind w:firstLine="480" w:firstLineChars="200"/>
              <w:rPr>
                <w:sz w:val="24"/>
                <w:u w:val="single"/>
              </w:rPr>
            </w:pPr>
            <w:r>
              <w:rPr>
                <w:rFonts w:hint="eastAsia"/>
                <w:sz w:val="24"/>
                <w:u w:val="single"/>
              </w:rPr>
              <w:t>根据胶用量及桶重占比可知，废胶桶的重量约为所用胶量的5%，则废胶桶产生量为1.25t/a，其中未沾染胶的废胶桶产生量约为1t/a，属于一般固废，对照《一般固体废物分类与代码》（GB/T 39198-2020），未沾染胶的废胶桶属于一般固废中“99其他废物”，代码为304-002-99，直接由厂家回收。</w:t>
            </w:r>
          </w:p>
          <w:p w14:paraId="4ADD2F78">
            <w:pPr>
              <w:adjustRightInd w:val="0"/>
              <w:snapToGrid w:val="0"/>
              <w:spacing w:line="360" w:lineRule="auto"/>
              <w:ind w:firstLine="482" w:firstLineChars="200"/>
              <w:rPr>
                <w:b/>
                <w:bCs/>
                <w:sz w:val="24"/>
                <w:u w:val="single"/>
              </w:rPr>
            </w:pPr>
            <w:r>
              <w:rPr>
                <w:rFonts w:hint="eastAsia"/>
                <w:b/>
                <w:bCs/>
                <w:sz w:val="24"/>
                <w:u w:val="single"/>
              </w:rPr>
              <w:t>一般工业固废处理措施及管理要求：</w:t>
            </w:r>
          </w:p>
          <w:p w14:paraId="2912006D">
            <w:pPr>
              <w:adjustRightInd w:val="0"/>
              <w:snapToGrid w:val="0"/>
              <w:spacing w:line="360" w:lineRule="auto"/>
              <w:ind w:firstLine="480" w:firstLineChars="200"/>
              <w:rPr>
                <w:sz w:val="24"/>
                <w:u w:val="single"/>
              </w:rPr>
            </w:pPr>
            <w:r>
              <w:rPr>
                <w:rFonts w:hint="eastAsia"/>
                <w:sz w:val="24"/>
                <w:u w:val="single"/>
              </w:rPr>
              <w:t>项目应按照《中华人民共和国固体废物污染环境防治法》，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0DCDA1F1">
            <w:pPr>
              <w:adjustRightInd w:val="0"/>
              <w:snapToGrid w:val="0"/>
              <w:spacing w:line="360" w:lineRule="auto"/>
              <w:ind w:firstLine="480" w:firstLineChars="200"/>
              <w:rPr>
                <w:sz w:val="24"/>
              </w:rPr>
            </w:pPr>
            <w:r>
              <w:rPr>
                <w:rFonts w:hint="eastAsia"/>
                <w:sz w:val="24"/>
                <w:u w:val="single"/>
              </w:rPr>
              <w:t>项目产生各类一般工业固废分类收集后暂存在一般固废暂存区，分类分区暂存，杜绝混合存放，及时清运，缩短在厂区堆存时间。一般固废暂存区严格按照《一般工业固体废物贮存和填埋污染控制标准》(GB18599-2020)的相关要求建设，必须采取防扬散、防流失、防渗漏或者其他防止污染环境的措施，必须符合国家环境保护标准，并对未处理的固体废物做出妥善处理，安全存放。加强入库固废管理，建设单位应建立固废档案管理制度，详细记录贮存的一般工业固废种类、数量、去向，长期保存，以便查阅。按《环境保护图形标志-固体废物贮存（处置）场》（GB15562.2-1995）规定设置环境保护图形标志。</w:t>
            </w:r>
          </w:p>
          <w:p w14:paraId="74FC8E15">
            <w:pPr>
              <w:adjustRightInd w:val="0"/>
              <w:snapToGrid w:val="0"/>
              <w:spacing w:line="360" w:lineRule="auto"/>
              <w:ind w:firstLine="482" w:firstLineChars="200"/>
              <w:rPr>
                <w:b/>
                <w:sz w:val="24"/>
              </w:rPr>
            </w:pPr>
            <w:r>
              <w:rPr>
                <w:rFonts w:hint="eastAsia"/>
                <w:b/>
                <w:sz w:val="24"/>
              </w:rPr>
              <w:t>4.3危险废物</w:t>
            </w:r>
          </w:p>
          <w:p w14:paraId="533A1DB4">
            <w:pPr>
              <w:adjustRightInd w:val="0"/>
              <w:snapToGrid w:val="0"/>
              <w:spacing w:line="360" w:lineRule="auto"/>
              <w:ind w:firstLine="480" w:firstLineChars="200"/>
              <w:rPr>
                <w:rFonts w:hint="eastAsia"/>
                <w:sz w:val="24"/>
                <w:u w:val="single"/>
              </w:rPr>
            </w:pPr>
            <w:r>
              <w:rPr>
                <w:rFonts w:hint="eastAsia"/>
                <w:sz w:val="24"/>
                <w:u w:val="single"/>
              </w:rPr>
              <w:t>（1）废润滑油及其包装桶</w:t>
            </w:r>
          </w:p>
          <w:p w14:paraId="527D815D">
            <w:pPr>
              <w:adjustRightInd w:val="0"/>
              <w:snapToGrid w:val="0"/>
              <w:spacing w:line="360" w:lineRule="auto"/>
              <w:ind w:firstLine="480" w:firstLineChars="200"/>
              <w:rPr>
                <w:sz w:val="24"/>
                <w:u w:val="single"/>
              </w:rPr>
            </w:pPr>
            <w:r>
              <w:rPr>
                <w:rFonts w:hint="eastAsia" w:ascii="宋体" w:hAnsi="宋体"/>
                <w:sz w:val="24"/>
                <w:u w:val="single"/>
              </w:rPr>
              <w:t>项目机器设备维修保养时会有少量废润滑油产生，产生量约</w:t>
            </w:r>
            <w:r>
              <w:rPr>
                <w:rFonts w:hint="eastAsia"/>
                <w:sz w:val="24"/>
                <w:u w:val="single"/>
              </w:rPr>
              <w:t>0.05t/a</w:t>
            </w:r>
            <w:r>
              <w:rPr>
                <w:rFonts w:hint="eastAsia" w:ascii="宋体" w:hAnsi="宋体"/>
                <w:sz w:val="24"/>
                <w:u w:val="single"/>
              </w:rPr>
              <w:t>，根据《国家危险废物名录（</w:t>
            </w:r>
            <w:r>
              <w:rPr>
                <w:rFonts w:hint="eastAsia"/>
                <w:sz w:val="24"/>
                <w:u w:val="single"/>
              </w:rPr>
              <w:t>2025</w:t>
            </w:r>
            <w:r>
              <w:rPr>
                <w:rFonts w:hint="eastAsia" w:ascii="宋体" w:hAnsi="宋体"/>
                <w:sz w:val="24"/>
                <w:u w:val="single"/>
              </w:rPr>
              <w:t>年版）》，该类废物属“</w:t>
            </w:r>
            <w:r>
              <w:rPr>
                <w:rFonts w:hint="eastAsia"/>
                <w:sz w:val="24"/>
                <w:u w:val="single"/>
              </w:rPr>
              <w:t>HW08</w:t>
            </w:r>
            <w:r>
              <w:rPr>
                <w:rFonts w:hint="eastAsia" w:ascii="宋体" w:hAnsi="宋体"/>
                <w:sz w:val="24"/>
                <w:u w:val="single"/>
              </w:rPr>
              <w:t>废矿物油与含矿物油废物”，危废代码为</w:t>
            </w:r>
            <w:r>
              <w:rPr>
                <w:sz w:val="24"/>
                <w:u w:val="single"/>
              </w:rPr>
              <w:t>900-217-08</w:t>
            </w:r>
            <w:r>
              <w:rPr>
                <w:rFonts w:hint="eastAsia" w:ascii="宋体" w:hAnsi="宋体"/>
                <w:sz w:val="24"/>
                <w:u w:val="single"/>
              </w:rPr>
              <w:t>；润滑油使用过程会产生一定量的废润滑油包装桶，产生量为</w:t>
            </w:r>
            <w:r>
              <w:rPr>
                <w:rFonts w:hint="eastAsia"/>
                <w:sz w:val="24"/>
                <w:u w:val="single"/>
              </w:rPr>
              <w:t>0.005t/a</w:t>
            </w:r>
            <w:r>
              <w:rPr>
                <w:rFonts w:hint="eastAsia" w:ascii="宋体" w:hAnsi="宋体"/>
                <w:sz w:val="24"/>
                <w:u w:val="single"/>
              </w:rPr>
              <w:t>，根据《国家危险废物名录（</w:t>
            </w:r>
            <w:r>
              <w:rPr>
                <w:rFonts w:hint="eastAsia"/>
                <w:sz w:val="24"/>
                <w:u w:val="single"/>
              </w:rPr>
              <w:t>2025</w:t>
            </w:r>
            <w:r>
              <w:rPr>
                <w:rFonts w:hint="eastAsia" w:ascii="宋体" w:hAnsi="宋体"/>
                <w:sz w:val="24"/>
                <w:u w:val="single"/>
              </w:rPr>
              <w:t>年版）》，该类废物属“</w:t>
            </w:r>
            <w:r>
              <w:rPr>
                <w:rFonts w:hint="eastAsia"/>
                <w:sz w:val="24"/>
                <w:u w:val="single"/>
              </w:rPr>
              <w:t>HW08</w:t>
            </w:r>
            <w:r>
              <w:rPr>
                <w:rFonts w:hint="eastAsia" w:ascii="宋体" w:hAnsi="宋体"/>
                <w:sz w:val="24"/>
                <w:u w:val="single"/>
              </w:rPr>
              <w:t>废矿物油与含矿物油废物”，危废代码为</w:t>
            </w:r>
            <w:r>
              <w:rPr>
                <w:rFonts w:hint="eastAsia"/>
                <w:sz w:val="24"/>
                <w:u w:val="single"/>
              </w:rPr>
              <w:t>900-249-08</w:t>
            </w:r>
            <w:r>
              <w:rPr>
                <w:rFonts w:hint="eastAsia" w:ascii="宋体" w:hAnsi="宋体"/>
                <w:sz w:val="24"/>
                <w:u w:val="single"/>
              </w:rPr>
              <w:t>。</w:t>
            </w:r>
          </w:p>
          <w:p w14:paraId="75044228">
            <w:pPr>
              <w:adjustRightInd w:val="0"/>
              <w:snapToGrid w:val="0"/>
              <w:spacing w:line="360" w:lineRule="auto"/>
              <w:ind w:firstLine="480" w:firstLineChars="200"/>
              <w:rPr>
                <w:sz w:val="24"/>
                <w:u w:val="single"/>
              </w:rPr>
            </w:pPr>
            <w:r>
              <w:rPr>
                <w:rFonts w:hint="eastAsia" w:ascii="宋体" w:hAnsi="宋体"/>
                <w:sz w:val="24"/>
                <w:u w:val="single"/>
              </w:rPr>
              <w:t>废润滑油经专用桶收集后全部封盖密闭，废包装桶全部封盖密闭，暂存于危废暂存间内，定期交由有资质单位回收处置。</w:t>
            </w:r>
          </w:p>
          <w:p w14:paraId="4E27D1C7">
            <w:pPr>
              <w:adjustRightInd w:val="0"/>
              <w:snapToGrid w:val="0"/>
              <w:spacing w:line="360" w:lineRule="auto"/>
              <w:ind w:firstLine="480" w:firstLineChars="200"/>
              <w:rPr>
                <w:sz w:val="24"/>
                <w:u w:val="single"/>
              </w:rPr>
            </w:pPr>
            <w:r>
              <w:rPr>
                <w:rFonts w:hint="eastAsia"/>
                <w:sz w:val="24"/>
                <w:u w:val="single"/>
              </w:rPr>
              <w:t>（2）沾染胶的废塑料膜和废胶桶</w:t>
            </w:r>
          </w:p>
          <w:p w14:paraId="373423E4">
            <w:pPr>
              <w:adjustRightInd w:val="0"/>
              <w:snapToGrid w:val="0"/>
              <w:spacing w:line="360" w:lineRule="auto"/>
              <w:ind w:firstLine="480" w:firstLineChars="200"/>
              <w:rPr>
                <w:rFonts w:hint="eastAsia"/>
                <w:sz w:val="24"/>
              </w:rPr>
            </w:pPr>
            <w:r>
              <w:rPr>
                <w:rFonts w:hint="eastAsia"/>
                <w:sz w:val="24"/>
                <w:u w:val="single"/>
              </w:rPr>
              <w:t>项目丁基胶和硅酮胶有两层包装，即外包装桶内有一层塑料膜包装，胶体与外包装桶不直接接触，每桶胶使用后包装桶内沾有胶的废塑料膜作为危废处置，产生量约为0.5t/a；此外，生产过程若塑料膜破损，会使外包装桶内沾有胶，沾有胶的废胶桶产生量约为0.25t/a；根据《国家危险废物名录》（2025年版），沾染胶的废塑料膜和废胶桶危废类别为HW49号，废物代码为900-041-49</w:t>
            </w:r>
            <w:r>
              <w:rPr>
                <w:rFonts w:hint="eastAsia"/>
                <w:sz w:val="24"/>
              </w:rPr>
              <w:t>。</w:t>
            </w:r>
          </w:p>
          <w:p w14:paraId="69890A79">
            <w:pPr>
              <w:adjustRightInd w:val="0"/>
              <w:snapToGrid w:val="0"/>
              <w:spacing w:line="360" w:lineRule="auto"/>
              <w:ind w:firstLine="480" w:firstLineChars="200"/>
              <w:rPr>
                <w:sz w:val="24"/>
                <w:u w:val="single"/>
              </w:rPr>
            </w:pPr>
            <w:r>
              <w:rPr>
                <w:rFonts w:hint="eastAsia"/>
                <w:sz w:val="24"/>
                <w:u w:val="single"/>
              </w:rPr>
              <w:t>沾染胶的废塑料膜经专用桶收集后全部封盖密闭，废胶桶全部封盖密闭，暂存于危废暂存间内，定期交由有资质单位回收处置。</w:t>
            </w:r>
          </w:p>
          <w:p w14:paraId="56F5FC97">
            <w:pPr>
              <w:adjustRightInd w:val="0"/>
              <w:snapToGrid w:val="0"/>
              <w:spacing w:line="360" w:lineRule="auto"/>
              <w:ind w:firstLine="480" w:firstLineChars="200"/>
              <w:rPr>
                <w:sz w:val="24"/>
              </w:rPr>
            </w:pPr>
            <w:r>
              <w:rPr>
                <w:rFonts w:hint="eastAsia"/>
                <w:sz w:val="24"/>
              </w:rPr>
              <w:t>（3）废活性炭</w:t>
            </w:r>
          </w:p>
          <w:p w14:paraId="4D434FF6">
            <w:pPr>
              <w:adjustRightInd w:val="0"/>
              <w:snapToGrid w:val="0"/>
              <w:spacing w:line="360" w:lineRule="auto"/>
              <w:ind w:firstLine="480" w:firstLineChars="200"/>
              <w:rPr>
                <w:rFonts w:hint="eastAsia"/>
                <w:sz w:val="24"/>
                <w:u w:val="single"/>
              </w:rPr>
            </w:pPr>
            <w:r>
              <w:rPr>
                <w:rFonts w:hint="eastAsia"/>
                <w:sz w:val="24"/>
              </w:rPr>
              <w:t>项目有机废气通过活性炭吸附-脱附+催化燃烧进行处理。本项目废气处理装置设有2个吸附仓，活性炭总装填量为2m</w:t>
            </w:r>
            <w:r>
              <w:rPr>
                <w:rFonts w:hint="eastAsia"/>
                <w:sz w:val="24"/>
                <w:vertAlign w:val="superscript"/>
              </w:rPr>
              <w:t>3</w:t>
            </w:r>
            <w:r>
              <w:rPr>
                <w:rFonts w:hint="eastAsia"/>
                <w:sz w:val="24"/>
              </w:rPr>
              <w:t>，约1t，</w:t>
            </w:r>
            <w:r>
              <w:rPr>
                <w:rFonts w:hint="eastAsia"/>
                <w:sz w:val="24"/>
                <w:u w:val="single"/>
              </w:rPr>
              <w:t>采用吸附-脱附+催化燃烧装置与传统的单一吸附法相比，活性炭更换频次减少，可以减少大量的废活性炭产生，但因活性炭使用时间较长，频繁的吸附、脱附再生（加热、冷却）吸附能力下降也需定期更换。每2年更换一次，则废活性炭产生量为1t/2a。</w:t>
            </w:r>
          </w:p>
          <w:p w14:paraId="77E7C2AD">
            <w:pPr>
              <w:adjustRightInd w:val="0"/>
              <w:snapToGrid w:val="0"/>
              <w:spacing w:line="360" w:lineRule="auto"/>
              <w:ind w:firstLine="480" w:firstLineChars="200"/>
              <w:rPr>
                <w:sz w:val="24"/>
              </w:rPr>
            </w:pPr>
            <w:r>
              <w:rPr>
                <w:rFonts w:hint="eastAsia"/>
                <w:sz w:val="24"/>
              </w:rPr>
              <w:t>根据《国家危险废物名录》（2025年版），废活性炭危废类别为HW49，危废代码为900-039-49，更换的废活性炭经专用桶收集后全部封盖密闭，暂存于危废暂存间，定期委托有资质单位回收处置。</w:t>
            </w:r>
          </w:p>
          <w:p w14:paraId="5F09D611">
            <w:pPr>
              <w:adjustRightInd w:val="0"/>
              <w:snapToGrid w:val="0"/>
              <w:spacing w:line="360" w:lineRule="auto"/>
              <w:ind w:firstLine="480" w:firstLineChars="200"/>
              <w:rPr>
                <w:sz w:val="24"/>
              </w:rPr>
            </w:pPr>
            <w:r>
              <w:rPr>
                <w:rFonts w:hint="eastAsia"/>
                <w:sz w:val="24"/>
              </w:rPr>
              <w:t>（4）废催化剂</w:t>
            </w:r>
          </w:p>
          <w:p w14:paraId="4D0D929D">
            <w:pPr>
              <w:adjustRightInd w:val="0"/>
              <w:snapToGrid w:val="0"/>
              <w:spacing w:line="360" w:lineRule="auto"/>
              <w:ind w:firstLine="480" w:firstLineChars="200"/>
              <w:rPr>
                <w:sz w:val="24"/>
              </w:rPr>
            </w:pPr>
            <w:r>
              <w:rPr>
                <w:rFonts w:hint="eastAsia"/>
                <w:sz w:val="24"/>
              </w:rPr>
              <w:t>项目催化燃烧装置使用催化剂主要为铂、钯、铑等贵金属，铂、钯、铑等贵金属对烃类及其衍生物的氧化都具有很高的催化活性，且使用寿命长，适用范围广，易于回收，因而是最常用的废气燃烧催化剂，</w:t>
            </w:r>
            <w:r>
              <w:rPr>
                <w:rFonts w:hint="eastAsia"/>
                <w:sz w:val="24"/>
                <w:u w:val="single"/>
              </w:rPr>
              <w:t>根据《催化燃烧法工业有机废气治理工程技术规范》（HJ 2027-2013）：设计工况下催化剂使用寿命应大于8500h，项目催化剂每3年更换一次，催化剂载体填充量为0.04t，则每次更换量为0.04t，废催化剂产生量为0.04t/3a。</w:t>
            </w:r>
          </w:p>
          <w:p w14:paraId="45843E1F">
            <w:pPr>
              <w:adjustRightInd w:val="0"/>
              <w:snapToGrid w:val="0"/>
              <w:spacing w:line="360" w:lineRule="auto"/>
              <w:ind w:firstLine="480" w:firstLineChars="200"/>
              <w:rPr>
                <w:sz w:val="24"/>
              </w:rPr>
            </w:pPr>
            <w:r>
              <w:rPr>
                <w:rFonts w:hint="eastAsia"/>
                <w:sz w:val="24"/>
              </w:rPr>
              <w:t>根据《国家危险废物名录》（2025年版），废催化剂危废类别为HW49其他废物，危废代码为900-041-49，更换的废催化剂收集后暂存于危废暂存间，定期委托有资质单位处理。</w:t>
            </w:r>
          </w:p>
          <w:p w14:paraId="178EC090">
            <w:pPr>
              <w:adjustRightInd w:val="0"/>
              <w:snapToGrid w:val="0"/>
              <w:spacing w:line="360" w:lineRule="auto"/>
              <w:ind w:firstLine="480" w:firstLineChars="200"/>
              <w:rPr>
                <w:sz w:val="24"/>
              </w:rPr>
            </w:pPr>
            <w:r>
              <w:rPr>
                <w:rFonts w:hint="eastAsia"/>
                <w:sz w:val="24"/>
              </w:rPr>
              <w:t>综上，本项目</w:t>
            </w:r>
            <w:r>
              <w:rPr>
                <w:rFonts w:hint="eastAsia" w:ascii="宋体" w:hAnsi="宋体" w:cs="宋体"/>
                <w:sz w:val="24"/>
              </w:rPr>
              <w:t>固体废物</w:t>
            </w:r>
            <w:r>
              <w:rPr>
                <w:rFonts w:ascii="宋体" w:hAnsi="宋体" w:cs="宋体"/>
                <w:sz w:val="24"/>
              </w:rPr>
              <w:t>污染源强核算结果及相关参数</w:t>
            </w:r>
            <w:r>
              <w:rPr>
                <w:rFonts w:hint="eastAsia"/>
                <w:sz w:val="24"/>
              </w:rPr>
              <w:t>见下表。</w:t>
            </w:r>
          </w:p>
          <w:p w14:paraId="55B9E8A3">
            <w:pPr>
              <w:pStyle w:val="137"/>
              <w:numPr>
                <w:ilvl w:val="0"/>
                <w:numId w:val="7"/>
              </w:numPr>
              <w:adjustRightInd w:val="0"/>
              <w:snapToGrid w:val="0"/>
              <w:ind w:firstLineChars="0"/>
              <w:jc w:val="center"/>
              <w:rPr>
                <w:b/>
                <w:snapToGrid w:val="0"/>
                <w:kern w:val="0"/>
                <w:szCs w:val="21"/>
              </w:rPr>
            </w:pPr>
            <w:r>
              <w:rPr>
                <w:rFonts w:hint="eastAsia"/>
                <w:b/>
                <w:snapToGrid w:val="0"/>
                <w:kern w:val="0"/>
                <w:szCs w:val="21"/>
              </w:rPr>
              <w:t>本</w:t>
            </w:r>
            <w:r>
              <w:rPr>
                <w:b/>
                <w:snapToGrid w:val="0"/>
                <w:kern w:val="0"/>
                <w:szCs w:val="21"/>
              </w:rPr>
              <w:t>项目</w:t>
            </w:r>
            <w:r>
              <w:rPr>
                <w:rFonts w:hint="eastAsia"/>
                <w:b/>
                <w:snapToGrid w:val="0"/>
                <w:kern w:val="0"/>
                <w:szCs w:val="21"/>
              </w:rPr>
              <w:t>固体废物</w:t>
            </w:r>
            <w:r>
              <w:rPr>
                <w:b/>
                <w:snapToGrid w:val="0"/>
                <w:kern w:val="0"/>
                <w:szCs w:val="21"/>
              </w:rPr>
              <w:t>污染源强核算结果及相关参数一览表</w:t>
            </w:r>
          </w:p>
          <w:tbl>
            <w:tblPr>
              <w:tblStyle w:val="38"/>
              <w:tblW w:w="804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8"/>
              <w:gridCol w:w="852"/>
              <w:gridCol w:w="1274"/>
              <w:gridCol w:w="746"/>
              <w:gridCol w:w="793"/>
              <w:gridCol w:w="938"/>
              <w:gridCol w:w="486"/>
              <w:gridCol w:w="902"/>
              <w:gridCol w:w="1333"/>
            </w:tblGrid>
            <w:tr w14:paraId="6A5B02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4" w:hRule="atLeast"/>
                <w:tblHeader/>
                <w:jc w:val="center"/>
              </w:trPr>
              <w:tc>
                <w:tcPr>
                  <w:tcW w:w="446" w:type="pct"/>
                  <w:vMerge w:val="restart"/>
                  <w:vAlign w:val="center"/>
                </w:tcPr>
                <w:p w14:paraId="6C213A18">
                  <w:pPr>
                    <w:autoSpaceDE w:val="0"/>
                    <w:autoSpaceDN w:val="0"/>
                    <w:jc w:val="center"/>
                    <w:rPr>
                      <w:b/>
                      <w:bCs/>
                      <w:szCs w:val="21"/>
                    </w:rPr>
                  </w:pPr>
                  <w:r>
                    <w:rPr>
                      <w:b/>
                      <w:bCs/>
                      <w:szCs w:val="21"/>
                    </w:rPr>
                    <w:t>工序/生产线</w:t>
                  </w:r>
                </w:p>
              </w:tc>
              <w:tc>
                <w:tcPr>
                  <w:tcW w:w="530" w:type="pct"/>
                  <w:vMerge w:val="restart"/>
                  <w:vAlign w:val="center"/>
                </w:tcPr>
                <w:p w14:paraId="6177E3C1">
                  <w:pPr>
                    <w:autoSpaceDE w:val="0"/>
                    <w:autoSpaceDN w:val="0"/>
                    <w:jc w:val="center"/>
                    <w:rPr>
                      <w:b/>
                      <w:bCs/>
                      <w:szCs w:val="21"/>
                    </w:rPr>
                  </w:pPr>
                  <w:r>
                    <w:rPr>
                      <w:b/>
                      <w:bCs/>
                      <w:szCs w:val="21"/>
                    </w:rPr>
                    <w:t>装置</w:t>
                  </w:r>
                </w:p>
              </w:tc>
              <w:tc>
                <w:tcPr>
                  <w:tcW w:w="792" w:type="pct"/>
                  <w:vMerge w:val="restart"/>
                  <w:vAlign w:val="center"/>
                </w:tcPr>
                <w:p w14:paraId="3EF8E217">
                  <w:pPr>
                    <w:autoSpaceDE w:val="0"/>
                    <w:autoSpaceDN w:val="0"/>
                    <w:jc w:val="center"/>
                    <w:rPr>
                      <w:b/>
                      <w:bCs/>
                      <w:szCs w:val="21"/>
                    </w:rPr>
                  </w:pPr>
                  <w:r>
                    <w:rPr>
                      <w:b/>
                      <w:bCs/>
                      <w:szCs w:val="21"/>
                    </w:rPr>
                    <w:t>固体废物名称</w:t>
                  </w:r>
                </w:p>
              </w:tc>
              <w:tc>
                <w:tcPr>
                  <w:tcW w:w="464" w:type="pct"/>
                  <w:vMerge w:val="restart"/>
                  <w:vAlign w:val="center"/>
                </w:tcPr>
                <w:p w14:paraId="26CD379C">
                  <w:pPr>
                    <w:autoSpaceDE w:val="0"/>
                    <w:autoSpaceDN w:val="0"/>
                    <w:jc w:val="center"/>
                    <w:rPr>
                      <w:b/>
                      <w:bCs/>
                      <w:szCs w:val="21"/>
                    </w:rPr>
                  </w:pPr>
                  <w:r>
                    <w:rPr>
                      <w:b/>
                      <w:bCs/>
                      <w:szCs w:val="21"/>
                    </w:rPr>
                    <w:t>固废属性</w:t>
                  </w:r>
                </w:p>
              </w:tc>
              <w:tc>
                <w:tcPr>
                  <w:tcW w:w="1076" w:type="pct"/>
                  <w:gridSpan w:val="2"/>
                  <w:vAlign w:val="center"/>
                </w:tcPr>
                <w:p w14:paraId="4053AFFF">
                  <w:pPr>
                    <w:autoSpaceDE w:val="0"/>
                    <w:autoSpaceDN w:val="0"/>
                    <w:jc w:val="center"/>
                    <w:rPr>
                      <w:b/>
                      <w:bCs/>
                      <w:szCs w:val="21"/>
                    </w:rPr>
                  </w:pPr>
                  <w:r>
                    <w:rPr>
                      <w:b/>
                      <w:bCs/>
                      <w:szCs w:val="21"/>
                    </w:rPr>
                    <w:t>产生情况</w:t>
                  </w:r>
                </w:p>
              </w:tc>
              <w:tc>
                <w:tcPr>
                  <w:tcW w:w="863" w:type="pct"/>
                  <w:gridSpan w:val="2"/>
                  <w:vAlign w:val="center"/>
                </w:tcPr>
                <w:p w14:paraId="71B73C63">
                  <w:pPr>
                    <w:autoSpaceDE w:val="0"/>
                    <w:autoSpaceDN w:val="0"/>
                    <w:jc w:val="center"/>
                    <w:rPr>
                      <w:b/>
                      <w:bCs/>
                      <w:szCs w:val="21"/>
                    </w:rPr>
                  </w:pPr>
                  <w:r>
                    <w:rPr>
                      <w:b/>
                      <w:bCs/>
                      <w:szCs w:val="21"/>
                    </w:rPr>
                    <w:t>处置措施</w:t>
                  </w:r>
                </w:p>
              </w:tc>
              <w:tc>
                <w:tcPr>
                  <w:tcW w:w="829" w:type="pct"/>
                  <w:vMerge w:val="restart"/>
                  <w:vAlign w:val="center"/>
                </w:tcPr>
                <w:p w14:paraId="01771E83">
                  <w:pPr>
                    <w:autoSpaceDE w:val="0"/>
                    <w:autoSpaceDN w:val="0"/>
                    <w:jc w:val="center"/>
                    <w:rPr>
                      <w:b/>
                      <w:bCs/>
                      <w:szCs w:val="21"/>
                    </w:rPr>
                  </w:pPr>
                  <w:r>
                    <w:rPr>
                      <w:b/>
                      <w:bCs/>
                      <w:szCs w:val="21"/>
                    </w:rPr>
                    <w:t>最终去向</w:t>
                  </w:r>
                </w:p>
              </w:tc>
            </w:tr>
            <w:tr w14:paraId="231D48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 w:hRule="atLeast"/>
                <w:tblHeader/>
                <w:jc w:val="center"/>
              </w:trPr>
              <w:tc>
                <w:tcPr>
                  <w:tcW w:w="446" w:type="pct"/>
                  <w:vMerge w:val="continue"/>
                  <w:vAlign w:val="center"/>
                </w:tcPr>
                <w:p w14:paraId="14EE5895">
                  <w:pPr>
                    <w:autoSpaceDE w:val="0"/>
                    <w:autoSpaceDN w:val="0"/>
                    <w:jc w:val="center"/>
                    <w:rPr>
                      <w:b/>
                      <w:bCs/>
                      <w:szCs w:val="21"/>
                    </w:rPr>
                  </w:pPr>
                </w:p>
              </w:tc>
              <w:tc>
                <w:tcPr>
                  <w:tcW w:w="530" w:type="pct"/>
                  <w:vMerge w:val="continue"/>
                  <w:vAlign w:val="center"/>
                </w:tcPr>
                <w:p w14:paraId="61B1F590">
                  <w:pPr>
                    <w:autoSpaceDE w:val="0"/>
                    <w:autoSpaceDN w:val="0"/>
                    <w:jc w:val="center"/>
                    <w:rPr>
                      <w:b/>
                      <w:bCs/>
                      <w:szCs w:val="21"/>
                    </w:rPr>
                  </w:pPr>
                </w:p>
              </w:tc>
              <w:tc>
                <w:tcPr>
                  <w:tcW w:w="792" w:type="pct"/>
                  <w:vMerge w:val="continue"/>
                  <w:vAlign w:val="center"/>
                </w:tcPr>
                <w:p w14:paraId="5CF33F80">
                  <w:pPr>
                    <w:autoSpaceDE w:val="0"/>
                    <w:autoSpaceDN w:val="0"/>
                    <w:jc w:val="center"/>
                    <w:rPr>
                      <w:b/>
                      <w:bCs/>
                      <w:szCs w:val="21"/>
                    </w:rPr>
                  </w:pPr>
                </w:p>
              </w:tc>
              <w:tc>
                <w:tcPr>
                  <w:tcW w:w="464" w:type="pct"/>
                  <w:vMerge w:val="continue"/>
                  <w:vAlign w:val="center"/>
                </w:tcPr>
                <w:p w14:paraId="47E97FB7">
                  <w:pPr>
                    <w:autoSpaceDE w:val="0"/>
                    <w:autoSpaceDN w:val="0"/>
                    <w:jc w:val="center"/>
                    <w:rPr>
                      <w:b/>
                      <w:bCs/>
                      <w:szCs w:val="21"/>
                    </w:rPr>
                  </w:pPr>
                </w:p>
              </w:tc>
              <w:tc>
                <w:tcPr>
                  <w:tcW w:w="493" w:type="pct"/>
                  <w:vAlign w:val="center"/>
                </w:tcPr>
                <w:p w14:paraId="3376A46D">
                  <w:pPr>
                    <w:autoSpaceDE w:val="0"/>
                    <w:autoSpaceDN w:val="0"/>
                    <w:jc w:val="center"/>
                    <w:rPr>
                      <w:b/>
                      <w:bCs/>
                      <w:szCs w:val="21"/>
                    </w:rPr>
                  </w:pPr>
                  <w:r>
                    <w:rPr>
                      <w:b/>
                      <w:bCs/>
                      <w:szCs w:val="21"/>
                    </w:rPr>
                    <w:t>核算方法</w:t>
                  </w:r>
                </w:p>
              </w:tc>
              <w:tc>
                <w:tcPr>
                  <w:tcW w:w="583" w:type="pct"/>
                  <w:vAlign w:val="center"/>
                </w:tcPr>
                <w:p w14:paraId="3EE4FF0E">
                  <w:pPr>
                    <w:autoSpaceDE w:val="0"/>
                    <w:autoSpaceDN w:val="0"/>
                    <w:jc w:val="center"/>
                    <w:rPr>
                      <w:b/>
                      <w:bCs/>
                      <w:szCs w:val="21"/>
                    </w:rPr>
                  </w:pPr>
                  <w:r>
                    <w:rPr>
                      <w:b/>
                      <w:bCs/>
                      <w:szCs w:val="21"/>
                    </w:rPr>
                    <w:t>产生量t/a</w:t>
                  </w:r>
                </w:p>
              </w:tc>
              <w:tc>
                <w:tcPr>
                  <w:tcW w:w="302" w:type="pct"/>
                  <w:vAlign w:val="center"/>
                </w:tcPr>
                <w:p w14:paraId="58F47F23">
                  <w:pPr>
                    <w:autoSpaceDE w:val="0"/>
                    <w:autoSpaceDN w:val="0"/>
                    <w:jc w:val="center"/>
                    <w:rPr>
                      <w:b/>
                      <w:bCs/>
                      <w:szCs w:val="21"/>
                    </w:rPr>
                  </w:pPr>
                  <w:r>
                    <w:rPr>
                      <w:b/>
                      <w:bCs/>
                      <w:szCs w:val="21"/>
                    </w:rPr>
                    <w:t>工艺</w:t>
                  </w:r>
                </w:p>
              </w:tc>
              <w:tc>
                <w:tcPr>
                  <w:tcW w:w="561" w:type="pct"/>
                  <w:vAlign w:val="center"/>
                </w:tcPr>
                <w:p w14:paraId="00E66722">
                  <w:pPr>
                    <w:autoSpaceDE w:val="0"/>
                    <w:autoSpaceDN w:val="0"/>
                    <w:jc w:val="center"/>
                    <w:rPr>
                      <w:b/>
                      <w:bCs/>
                      <w:szCs w:val="21"/>
                    </w:rPr>
                  </w:pPr>
                  <w:r>
                    <w:rPr>
                      <w:b/>
                      <w:bCs/>
                      <w:szCs w:val="21"/>
                    </w:rPr>
                    <w:t>处置量t/a</w:t>
                  </w:r>
                </w:p>
              </w:tc>
              <w:tc>
                <w:tcPr>
                  <w:tcW w:w="829" w:type="pct"/>
                  <w:vMerge w:val="continue"/>
                  <w:vAlign w:val="center"/>
                </w:tcPr>
                <w:p w14:paraId="5D99092A">
                  <w:pPr>
                    <w:autoSpaceDE w:val="0"/>
                    <w:autoSpaceDN w:val="0"/>
                    <w:jc w:val="center"/>
                    <w:rPr>
                      <w:b/>
                      <w:bCs/>
                      <w:szCs w:val="21"/>
                    </w:rPr>
                  </w:pPr>
                </w:p>
              </w:tc>
            </w:tr>
            <w:tr w14:paraId="70D351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976" w:type="pct"/>
                  <w:gridSpan w:val="2"/>
                  <w:vAlign w:val="center"/>
                </w:tcPr>
                <w:p w14:paraId="5721C934">
                  <w:pPr>
                    <w:autoSpaceDE w:val="0"/>
                    <w:autoSpaceDN w:val="0"/>
                    <w:jc w:val="center"/>
                    <w:rPr>
                      <w:szCs w:val="21"/>
                    </w:rPr>
                  </w:pPr>
                  <w:r>
                    <w:rPr>
                      <w:rFonts w:hint="eastAsia"/>
                      <w:szCs w:val="21"/>
                    </w:rPr>
                    <w:t>玻璃切割</w:t>
                  </w:r>
                  <w:r>
                    <w:rPr>
                      <w:szCs w:val="21"/>
                    </w:rPr>
                    <w:t>加工过程</w:t>
                  </w:r>
                </w:p>
              </w:tc>
              <w:tc>
                <w:tcPr>
                  <w:tcW w:w="792" w:type="pct"/>
                  <w:vAlign w:val="center"/>
                </w:tcPr>
                <w:p w14:paraId="0FA0D0BC">
                  <w:pPr>
                    <w:pStyle w:val="97"/>
                    <w:jc w:val="center"/>
                    <w:rPr>
                      <w:rFonts w:ascii="Times New Roman" w:hAnsi="Times New Roman" w:cs="Times New Roman"/>
                      <w:kern w:val="2"/>
                      <w:sz w:val="21"/>
                      <w:szCs w:val="21"/>
                      <w:lang w:val="en-US" w:bidi="ar-SA"/>
                    </w:rPr>
                  </w:pPr>
                  <w:r>
                    <w:rPr>
                      <w:rFonts w:hint="eastAsia" w:ascii="Times New Roman" w:hAnsi="Times New Roman" w:cs="Times New Roman"/>
                      <w:kern w:val="2"/>
                      <w:sz w:val="21"/>
                      <w:szCs w:val="21"/>
                      <w:lang w:val="en-US" w:bidi="ar-SA"/>
                    </w:rPr>
                    <w:t>废玻璃边角料、不合格品</w:t>
                  </w:r>
                </w:p>
              </w:tc>
              <w:tc>
                <w:tcPr>
                  <w:tcW w:w="464" w:type="pct"/>
                  <w:vMerge w:val="restart"/>
                  <w:vAlign w:val="center"/>
                </w:tcPr>
                <w:p w14:paraId="3EDB3CAE">
                  <w:pPr>
                    <w:autoSpaceDE w:val="0"/>
                    <w:autoSpaceDN w:val="0"/>
                    <w:jc w:val="center"/>
                    <w:rPr>
                      <w:szCs w:val="21"/>
                    </w:rPr>
                  </w:pPr>
                  <w:r>
                    <w:rPr>
                      <w:szCs w:val="21"/>
                    </w:rPr>
                    <w:t>一般固废</w:t>
                  </w:r>
                </w:p>
              </w:tc>
              <w:tc>
                <w:tcPr>
                  <w:tcW w:w="493" w:type="pct"/>
                  <w:vAlign w:val="center"/>
                </w:tcPr>
                <w:p w14:paraId="48ADC4CE">
                  <w:pPr>
                    <w:autoSpaceDE w:val="0"/>
                    <w:autoSpaceDN w:val="0"/>
                    <w:jc w:val="center"/>
                    <w:rPr>
                      <w:szCs w:val="21"/>
                    </w:rPr>
                  </w:pPr>
                  <w:r>
                    <w:rPr>
                      <w:rFonts w:hint="eastAsia"/>
                      <w:szCs w:val="21"/>
                    </w:rPr>
                    <w:t>物料衡算</w:t>
                  </w:r>
                </w:p>
              </w:tc>
              <w:tc>
                <w:tcPr>
                  <w:tcW w:w="583" w:type="pct"/>
                  <w:vAlign w:val="center"/>
                </w:tcPr>
                <w:p w14:paraId="10EA68CF">
                  <w:pPr>
                    <w:jc w:val="center"/>
                    <w:rPr>
                      <w:szCs w:val="21"/>
                    </w:rPr>
                  </w:pPr>
                  <w:r>
                    <w:rPr>
                      <w:rFonts w:hint="eastAsia"/>
                      <w:szCs w:val="21"/>
                    </w:rPr>
                    <w:t>112.5</w:t>
                  </w:r>
                </w:p>
              </w:tc>
              <w:tc>
                <w:tcPr>
                  <w:tcW w:w="302" w:type="pct"/>
                  <w:vAlign w:val="center"/>
                </w:tcPr>
                <w:p w14:paraId="4F3D9DE0">
                  <w:pPr>
                    <w:autoSpaceDE w:val="0"/>
                    <w:autoSpaceDN w:val="0"/>
                    <w:jc w:val="center"/>
                    <w:rPr>
                      <w:szCs w:val="21"/>
                    </w:rPr>
                  </w:pPr>
                  <w:r>
                    <w:rPr>
                      <w:rFonts w:hint="eastAsia"/>
                      <w:szCs w:val="21"/>
                    </w:rPr>
                    <w:t>/</w:t>
                  </w:r>
                </w:p>
              </w:tc>
              <w:tc>
                <w:tcPr>
                  <w:tcW w:w="561" w:type="pct"/>
                  <w:vAlign w:val="center"/>
                </w:tcPr>
                <w:p w14:paraId="549D1B30">
                  <w:pPr>
                    <w:jc w:val="center"/>
                    <w:rPr>
                      <w:szCs w:val="21"/>
                    </w:rPr>
                  </w:pPr>
                  <w:r>
                    <w:rPr>
                      <w:rFonts w:hint="eastAsia"/>
                      <w:szCs w:val="21"/>
                    </w:rPr>
                    <w:t>112.5</w:t>
                  </w:r>
                </w:p>
              </w:tc>
              <w:tc>
                <w:tcPr>
                  <w:tcW w:w="829" w:type="pct"/>
                  <w:vMerge w:val="restart"/>
                  <w:vAlign w:val="center"/>
                </w:tcPr>
                <w:p w14:paraId="3795F4EB">
                  <w:pPr>
                    <w:autoSpaceDE w:val="0"/>
                    <w:autoSpaceDN w:val="0"/>
                    <w:jc w:val="center"/>
                    <w:rPr>
                      <w:szCs w:val="21"/>
                    </w:rPr>
                  </w:pPr>
                  <w:r>
                    <w:rPr>
                      <w:rFonts w:hint="eastAsia"/>
                      <w:szCs w:val="21"/>
                    </w:rPr>
                    <w:t>收集后外售综合利用</w:t>
                  </w:r>
                </w:p>
              </w:tc>
            </w:tr>
            <w:tr w14:paraId="0213C0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976" w:type="pct"/>
                  <w:gridSpan w:val="2"/>
                  <w:vAlign w:val="center"/>
                </w:tcPr>
                <w:p w14:paraId="43E7D3AF">
                  <w:pPr>
                    <w:autoSpaceDE w:val="0"/>
                    <w:autoSpaceDN w:val="0"/>
                    <w:jc w:val="center"/>
                    <w:rPr>
                      <w:szCs w:val="21"/>
                    </w:rPr>
                  </w:pPr>
                  <w:r>
                    <w:rPr>
                      <w:rFonts w:hint="eastAsia"/>
                      <w:szCs w:val="21"/>
                    </w:rPr>
                    <w:t>铝隔条切割</w:t>
                  </w:r>
                </w:p>
              </w:tc>
              <w:tc>
                <w:tcPr>
                  <w:tcW w:w="792" w:type="pct"/>
                  <w:vAlign w:val="center"/>
                </w:tcPr>
                <w:p w14:paraId="6959985A">
                  <w:pPr>
                    <w:pStyle w:val="97"/>
                    <w:jc w:val="center"/>
                    <w:rPr>
                      <w:rFonts w:ascii="Times New Roman" w:hAnsi="Times New Roman" w:cs="Times New Roman"/>
                      <w:kern w:val="2"/>
                      <w:sz w:val="21"/>
                      <w:szCs w:val="21"/>
                      <w:lang w:val="en-US" w:bidi="ar-SA"/>
                    </w:rPr>
                  </w:pPr>
                  <w:r>
                    <w:rPr>
                      <w:rFonts w:hint="eastAsia" w:ascii="Times New Roman" w:hAnsi="Times New Roman" w:cs="Times New Roman"/>
                      <w:kern w:val="2"/>
                      <w:sz w:val="21"/>
                      <w:szCs w:val="21"/>
                      <w:lang w:val="en-US" w:bidi="ar-SA"/>
                    </w:rPr>
                    <w:t>废铝条</w:t>
                  </w:r>
                </w:p>
              </w:tc>
              <w:tc>
                <w:tcPr>
                  <w:tcW w:w="464" w:type="pct"/>
                  <w:vMerge w:val="continue"/>
                  <w:vAlign w:val="center"/>
                </w:tcPr>
                <w:p w14:paraId="4A03412D">
                  <w:pPr>
                    <w:autoSpaceDE w:val="0"/>
                    <w:autoSpaceDN w:val="0"/>
                    <w:jc w:val="center"/>
                    <w:rPr>
                      <w:szCs w:val="21"/>
                    </w:rPr>
                  </w:pPr>
                </w:p>
              </w:tc>
              <w:tc>
                <w:tcPr>
                  <w:tcW w:w="493" w:type="pct"/>
                  <w:vAlign w:val="center"/>
                </w:tcPr>
                <w:p w14:paraId="5FF60F49">
                  <w:pPr>
                    <w:autoSpaceDE w:val="0"/>
                    <w:autoSpaceDN w:val="0"/>
                    <w:jc w:val="center"/>
                    <w:rPr>
                      <w:szCs w:val="21"/>
                    </w:rPr>
                  </w:pPr>
                  <w:r>
                    <w:rPr>
                      <w:rFonts w:hint="eastAsia"/>
                      <w:szCs w:val="21"/>
                    </w:rPr>
                    <w:t>物料衡算</w:t>
                  </w:r>
                </w:p>
              </w:tc>
              <w:tc>
                <w:tcPr>
                  <w:tcW w:w="583" w:type="pct"/>
                  <w:vAlign w:val="center"/>
                </w:tcPr>
                <w:p w14:paraId="7104E9C6">
                  <w:pPr>
                    <w:jc w:val="center"/>
                    <w:rPr>
                      <w:szCs w:val="21"/>
                    </w:rPr>
                  </w:pPr>
                  <w:r>
                    <w:rPr>
                      <w:rFonts w:hint="eastAsia"/>
                      <w:szCs w:val="21"/>
                    </w:rPr>
                    <w:t>0.2</w:t>
                  </w:r>
                </w:p>
              </w:tc>
              <w:tc>
                <w:tcPr>
                  <w:tcW w:w="302" w:type="pct"/>
                  <w:vAlign w:val="center"/>
                </w:tcPr>
                <w:p w14:paraId="7CF03B2A">
                  <w:pPr>
                    <w:autoSpaceDE w:val="0"/>
                    <w:autoSpaceDN w:val="0"/>
                    <w:jc w:val="center"/>
                    <w:rPr>
                      <w:szCs w:val="21"/>
                    </w:rPr>
                  </w:pPr>
                  <w:r>
                    <w:rPr>
                      <w:rFonts w:hint="eastAsia"/>
                      <w:szCs w:val="21"/>
                    </w:rPr>
                    <w:t>/</w:t>
                  </w:r>
                </w:p>
              </w:tc>
              <w:tc>
                <w:tcPr>
                  <w:tcW w:w="561" w:type="pct"/>
                  <w:vAlign w:val="center"/>
                </w:tcPr>
                <w:p w14:paraId="3370CB96">
                  <w:pPr>
                    <w:jc w:val="center"/>
                    <w:rPr>
                      <w:szCs w:val="21"/>
                    </w:rPr>
                  </w:pPr>
                  <w:r>
                    <w:rPr>
                      <w:rFonts w:hint="eastAsia"/>
                      <w:szCs w:val="21"/>
                    </w:rPr>
                    <w:t>0.2</w:t>
                  </w:r>
                </w:p>
              </w:tc>
              <w:tc>
                <w:tcPr>
                  <w:tcW w:w="829" w:type="pct"/>
                  <w:vMerge w:val="continue"/>
                  <w:vAlign w:val="center"/>
                </w:tcPr>
                <w:p w14:paraId="49FC26BA">
                  <w:pPr>
                    <w:autoSpaceDE w:val="0"/>
                    <w:autoSpaceDN w:val="0"/>
                    <w:jc w:val="center"/>
                    <w:rPr>
                      <w:szCs w:val="21"/>
                    </w:rPr>
                  </w:pPr>
                </w:p>
              </w:tc>
            </w:tr>
            <w:tr w14:paraId="5AC5CF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976" w:type="pct"/>
                  <w:gridSpan w:val="2"/>
                  <w:vAlign w:val="center"/>
                </w:tcPr>
                <w:p w14:paraId="4A7C7FE7">
                  <w:pPr>
                    <w:autoSpaceDE w:val="0"/>
                    <w:autoSpaceDN w:val="0"/>
                    <w:jc w:val="center"/>
                    <w:rPr>
                      <w:szCs w:val="21"/>
                    </w:rPr>
                  </w:pPr>
                  <w:r>
                    <w:rPr>
                      <w:szCs w:val="21"/>
                    </w:rPr>
                    <w:t>磨边</w:t>
                  </w:r>
                  <w:r>
                    <w:rPr>
                      <w:rFonts w:hint="eastAsia"/>
                      <w:szCs w:val="21"/>
                    </w:rPr>
                    <w:t>、</w:t>
                  </w:r>
                  <w:r>
                    <w:rPr>
                      <w:szCs w:val="21"/>
                    </w:rPr>
                    <w:t>清洗</w:t>
                  </w:r>
                </w:p>
              </w:tc>
              <w:tc>
                <w:tcPr>
                  <w:tcW w:w="792" w:type="pct"/>
                  <w:vAlign w:val="center"/>
                </w:tcPr>
                <w:p w14:paraId="0021EE20">
                  <w:pPr>
                    <w:pStyle w:val="97"/>
                    <w:jc w:val="center"/>
                    <w:rPr>
                      <w:rFonts w:ascii="Times New Roman" w:hAnsi="Times New Roman" w:cs="Times New Roman"/>
                      <w:kern w:val="2"/>
                      <w:sz w:val="21"/>
                      <w:szCs w:val="21"/>
                      <w:lang w:val="en-US" w:bidi="ar-SA"/>
                    </w:rPr>
                  </w:pPr>
                  <w:r>
                    <w:rPr>
                      <w:rFonts w:hint="eastAsia" w:ascii="Times New Roman" w:hAnsi="Times New Roman" w:cs="Times New Roman"/>
                      <w:kern w:val="2"/>
                      <w:sz w:val="21"/>
                      <w:szCs w:val="21"/>
                      <w:lang w:val="en-US" w:bidi="ar-SA"/>
                    </w:rPr>
                    <w:t>玻璃沉渣</w:t>
                  </w:r>
                </w:p>
              </w:tc>
              <w:tc>
                <w:tcPr>
                  <w:tcW w:w="464" w:type="pct"/>
                  <w:vMerge w:val="continue"/>
                  <w:vAlign w:val="center"/>
                </w:tcPr>
                <w:p w14:paraId="144559EE">
                  <w:pPr>
                    <w:autoSpaceDE w:val="0"/>
                    <w:autoSpaceDN w:val="0"/>
                    <w:jc w:val="center"/>
                    <w:rPr>
                      <w:szCs w:val="21"/>
                    </w:rPr>
                  </w:pPr>
                </w:p>
              </w:tc>
              <w:tc>
                <w:tcPr>
                  <w:tcW w:w="493" w:type="pct"/>
                  <w:vAlign w:val="center"/>
                </w:tcPr>
                <w:p w14:paraId="7ADA5651">
                  <w:pPr>
                    <w:autoSpaceDE w:val="0"/>
                    <w:autoSpaceDN w:val="0"/>
                    <w:jc w:val="center"/>
                    <w:rPr>
                      <w:szCs w:val="21"/>
                    </w:rPr>
                  </w:pPr>
                  <w:r>
                    <w:rPr>
                      <w:rFonts w:hint="eastAsia"/>
                      <w:szCs w:val="21"/>
                    </w:rPr>
                    <w:t>物料衡算</w:t>
                  </w:r>
                </w:p>
              </w:tc>
              <w:tc>
                <w:tcPr>
                  <w:tcW w:w="583" w:type="pct"/>
                  <w:vAlign w:val="center"/>
                </w:tcPr>
                <w:p w14:paraId="3A8DCC2C">
                  <w:pPr>
                    <w:jc w:val="center"/>
                    <w:rPr>
                      <w:szCs w:val="21"/>
                    </w:rPr>
                  </w:pPr>
                  <w:r>
                    <w:rPr>
                      <w:rFonts w:hint="eastAsia"/>
                      <w:szCs w:val="21"/>
                    </w:rPr>
                    <w:t>0.6</w:t>
                  </w:r>
                </w:p>
              </w:tc>
              <w:tc>
                <w:tcPr>
                  <w:tcW w:w="302" w:type="pct"/>
                  <w:vAlign w:val="center"/>
                </w:tcPr>
                <w:p w14:paraId="75AA39BD">
                  <w:pPr>
                    <w:autoSpaceDE w:val="0"/>
                    <w:autoSpaceDN w:val="0"/>
                    <w:jc w:val="center"/>
                    <w:rPr>
                      <w:szCs w:val="21"/>
                    </w:rPr>
                  </w:pPr>
                  <w:r>
                    <w:rPr>
                      <w:szCs w:val="21"/>
                    </w:rPr>
                    <w:t>/</w:t>
                  </w:r>
                </w:p>
              </w:tc>
              <w:tc>
                <w:tcPr>
                  <w:tcW w:w="561" w:type="pct"/>
                  <w:vAlign w:val="center"/>
                </w:tcPr>
                <w:p w14:paraId="56327153">
                  <w:pPr>
                    <w:jc w:val="center"/>
                    <w:rPr>
                      <w:szCs w:val="21"/>
                    </w:rPr>
                  </w:pPr>
                  <w:r>
                    <w:rPr>
                      <w:rFonts w:hint="eastAsia"/>
                      <w:szCs w:val="21"/>
                    </w:rPr>
                    <w:t>0.6</w:t>
                  </w:r>
                </w:p>
              </w:tc>
              <w:tc>
                <w:tcPr>
                  <w:tcW w:w="829" w:type="pct"/>
                  <w:vAlign w:val="center"/>
                </w:tcPr>
                <w:p w14:paraId="19007174">
                  <w:pPr>
                    <w:autoSpaceDE w:val="0"/>
                    <w:autoSpaceDN w:val="0"/>
                    <w:jc w:val="center"/>
                    <w:rPr>
                      <w:szCs w:val="21"/>
                    </w:rPr>
                  </w:pPr>
                  <w:r>
                    <w:rPr>
                      <w:rFonts w:hint="eastAsia"/>
                      <w:szCs w:val="21"/>
                    </w:rPr>
                    <w:t>收集后交专业公司处理</w:t>
                  </w:r>
                </w:p>
              </w:tc>
            </w:tr>
            <w:tr w14:paraId="1BB96E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446" w:type="pct"/>
                  <w:vAlign w:val="center"/>
                </w:tcPr>
                <w:p w14:paraId="20F401DC">
                  <w:pPr>
                    <w:autoSpaceDE w:val="0"/>
                    <w:autoSpaceDN w:val="0"/>
                    <w:jc w:val="center"/>
                    <w:rPr>
                      <w:szCs w:val="21"/>
                      <w:u w:val="single"/>
                    </w:rPr>
                  </w:pPr>
                  <w:r>
                    <w:rPr>
                      <w:szCs w:val="21"/>
                      <w:u w:val="single"/>
                    </w:rPr>
                    <w:t>纯水制备</w:t>
                  </w:r>
                </w:p>
              </w:tc>
              <w:tc>
                <w:tcPr>
                  <w:tcW w:w="530" w:type="pct"/>
                  <w:vAlign w:val="center"/>
                </w:tcPr>
                <w:p w14:paraId="08BF955C">
                  <w:pPr>
                    <w:autoSpaceDE w:val="0"/>
                    <w:autoSpaceDN w:val="0"/>
                    <w:jc w:val="center"/>
                    <w:rPr>
                      <w:rFonts w:hint="eastAsia"/>
                      <w:szCs w:val="21"/>
                      <w:u w:val="single"/>
                    </w:rPr>
                  </w:pPr>
                  <w:r>
                    <w:rPr>
                      <w:rFonts w:hint="eastAsia"/>
                      <w:szCs w:val="21"/>
                      <w:u w:val="single"/>
                    </w:rPr>
                    <w:t>纯水机</w:t>
                  </w:r>
                </w:p>
              </w:tc>
              <w:tc>
                <w:tcPr>
                  <w:tcW w:w="792" w:type="pct"/>
                  <w:vAlign w:val="center"/>
                </w:tcPr>
                <w:p w14:paraId="2CD08CE7">
                  <w:pPr>
                    <w:pStyle w:val="97"/>
                    <w:jc w:val="center"/>
                    <w:rPr>
                      <w:rFonts w:hint="eastAsia" w:ascii="Times New Roman" w:hAnsi="Times New Roman" w:cs="Times New Roman"/>
                      <w:kern w:val="2"/>
                      <w:sz w:val="21"/>
                      <w:szCs w:val="21"/>
                      <w:u w:val="single"/>
                      <w:lang w:val="en-US" w:bidi="ar-SA"/>
                    </w:rPr>
                  </w:pPr>
                  <w:r>
                    <w:rPr>
                      <w:rFonts w:hint="eastAsia" w:ascii="Times New Roman" w:hAnsi="Times New Roman" w:cs="Times New Roman"/>
                      <w:kern w:val="2"/>
                      <w:sz w:val="21"/>
                      <w:szCs w:val="21"/>
                      <w:u w:val="single"/>
                      <w:lang w:val="en-US" w:bidi="ar-SA"/>
                    </w:rPr>
                    <w:t>废滤材</w:t>
                  </w:r>
                </w:p>
              </w:tc>
              <w:tc>
                <w:tcPr>
                  <w:tcW w:w="464" w:type="pct"/>
                  <w:vMerge w:val="continue"/>
                  <w:vAlign w:val="center"/>
                </w:tcPr>
                <w:p w14:paraId="5F4EA44E">
                  <w:pPr>
                    <w:autoSpaceDE w:val="0"/>
                    <w:autoSpaceDN w:val="0"/>
                    <w:jc w:val="center"/>
                    <w:rPr>
                      <w:szCs w:val="21"/>
                    </w:rPr>
                  </w:pPr>
                </w:p>
              </w:tc>
              <w:tc>
                <w:tcPr>
                  <w:tcW w:w="493" w:type="pct"/>
                  <w:vAlign w:val="center"/>
                </w:tcPr>
                <w:p w14:paraId="5CF607EF">
                  <w:pPr>
                    <w:autoSpaceDE w:val="0"/>
                    <w:autoSpaceDN w:val="0"/>
                    <w:jc w:val="center"/>
                    <w:rPr>
                      <w:rFonts w:hint="eastAsia"/>
                      <w:szCs w:val="21"/>
                      <w:u w:val="single"/>
                    </w:rPr>
                  </w:pPr>
                  <w:r>
                    <w:rPr>
                      <w:rFonts w:hint="eastAsia"/>
                      <w:szCs w:val="21"/>
                      <w:u w:val="single"/>
                    </w:rPr>
                    <w:t>/</w:t>
                  </w:r>
                </w:p>
              </w:tc>
              <w:tc>
                <w:tcPr>
                  <w:tcW w:w="583" w:type="pct"/>
                  <w:vAlign w:val="center"/>
                </w:tcPr>
                <w:p w14:paraId="68117A43">
                  <w:pPr>
                    <w:jc w:val="center"/>
                    <w:rPr>
                      <w:rFonts w:hint="eastAsia"/>
                      <w:szCs w:val="21"/>
                      <w:u w:val="single"/>
                    </w:rPr>
                  </w:pPr>
                  <w:r>
                    <w:rPr>
                      <w:rFonts w:hint="eastAsia"/>
                      <w:szCs w:val="21"/>
                      <w:u w:val="single"/>
                    </w:rPr>
                    <w:t>0.2</w:t>
                  </w:r>
                </w:p>
              </w:tc>
              <w:tc>
                <w:tcPr>
                  <w:tcW w:w="302" w:type="pct"/>
                  <w:vAlign w:val="center"/>
                </w:tcPr>
                <w:p w14:paraId="6156F530">
                  <w:pPr>
                    <w:autoSpaceDE w:val="0"/>
                    <w:autoSpaceDN w:val="0"/>
                    <w:jc w:val="center"/>
                    <w:rPr>
                      <w:szCs w:val="21"/>
                      <w:u w:val="single"/>
                    </w:rPr>
                  </w:pPr>
                  <w:r>
                    <w:rPr>
                      <w:rFonts w:hint="eastAsia"/>
                      <w:szCs w:val="21"/>
                      <w:u w:val="single"/>
                    </w:rPr>
                    <w:t>/</w:t>
                  </w:r>
                </w:p>
              </w:tc>
              <w:tc>
                <w:tcPr>
                  <w:tcW w:w="561" w:type="pct"/>
                  <w:vAlign w:val="center"/>
                </w:tcPr>
                <w:p w14:paraId="63835BBD">
                  <w:pPr>
                    <w:jc w:val="center"/>
                    <w:rPr>
                      <w:rFonts w:hint="eastAsia"/>
                      <w:szCs w:val="21"/>
                      <w:u w:val="single"/>
                    </w:rPr>
                  </w:pPr>
                  <w:r>
                    <w:rPr>
                      <w:rFonts w:hint="eastAsia"/>
                      <w:szCs w:val="21"/>
                      <w:u w:val="single"/>
                    </w:rPr>
                    <w:t>0.2</w:t>
                  </w:r>
                </w:p>
              </w:tc>
              <w:tc>
                <w:tcPr>
                  <w:tcW w:w="829" w:type="pct"/>
                  <w:vAlign w:val="center"/>
                </w:tcPr>
                <w:p w14:paraId="5346917E">
                  <w:pPr>
                    <w:autoSpaceDE w:val="0"/>
                    <w:autoSpaceDN w:val="0"/>
                    <w:jc w:val="center"/>
                    <w:rPr>
                      <w:szCs w:val="21"/>
                      <w:u w:val="single"/>
                    </w:rPr>
                  </w:pPr>
                  <w:r>
                    <w:rPr>
                      <w:szCs w:val="21"/>
                      <w:u w:val="single"/>
                    </w:rPr>
                    <w:t>由厂家更换回收</w:t>
                  </w:r>
                </w:p>
              </w:tc>
            </w:tr>
            <w:tr w14:paraId="2CED90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446" w:type="pct"/>
                  <w:vAlign w:val="center"/>
                </w:tcPr>
                <w:p w14:paraId="7A8FEE9F">
                  <w:pPr>
                    <w:autoSpaceDE w:val="0"/>
                    <w:autoSpaceDN w:val="0"/>
                    <w:jc w:val="center"/>
                    <w:rPr>
                      <w:szCs w:val="21"/>
                      <w:u w:val="single"/>
                    </w:rPr>
                  </w:pPr>
                  <w:r>
                    <w:rPr>
                      <w:szCs w:val="21"/>
                      <w:u w:val="single"/>
                    </w:rPr>
                    <w:t>中空玻璃</w:t>
                  </w:r>
                </w:p>
              </w:tc>
              <w:tc>
                <w:tcPr>
                  <w:tcW w:w="530" w:type="pct"/>
                  <w:vAlign w:val="center"/>
                </w:tcPr>
                <w:p w14:paraId="756881DA">
                  <w:pPr>
                    <w:pStyle w:val="97"/>
                    <w:jc w:val="center"/>
                    <w:rPr>
                      <w:szCs w:val="21"/>
                      <w:u w:val="single"/>
                    </w:rPr>
                  </w:pPr>
                  <w:r>
                    <w:rPr>
                      <w:rFonts w:hint="eastAsia" w:ascii="Times New Roman" w:hAnsi="Times New Roman" w:cs="Times New Roman"/>
                      <w:kern w:val="2"/>
                      <w:sz w:val="21"/>
                      <w:szCs w:val="21"/>
                      <w:u w:val="single"/>
                      <w:lang w:val="en-US" w:bidi="ar-SA"/>
                    </w:rPr>
                    <w:t>硅酮胶和丁基胶使用</w:t>
                  </w:r>
                </w:p>
              </w:tc>
              <w:tc>
                <w:tcPr>
                  <w:tcW w:w="792" w:type="pct"/>
                  <w:vAlign w:val="center"/>
                </w:tcPr>
                <w:p w14:paraId="14C6A3B5">
                  <w:pPr>
                    <w:pStyle w:val="97"/>
                    <w:jc w:val="center"/>
                    <w:rPr>
                      <w:rFonts w:hint="eastAsia" w:ascii="Times New Roman" w:hAnsi="Times New Roman" w:cs="Times New Roman"/>
                      <w:kern w:val="2"/>
                      <w:sz w:val="21"/>
                      <w:szCs w:val="21"/>
                      <w:u w:val="single"/>
                      <w:lang w:val="en-US" w:bidi="ar-SA"/>
                    </w:rPr>
                  </w:pPr>
                  <w:r>
                    <w:rPr>
                      <w:rFonts w:hint="eastAsia" w:ascii="Times New Roman" w:hAnsi="Times New Roman" w:cs="Times New Roman"/>
                      <w:kern w:val="2"/>
                      <w:sz w:val="21"/>
                      <w:szCs w:val="21"/>
                      <w:u w:val="single"/>
                      <w:lang w:val="en-US" w:bidi="ar-SA"/>
                    </w:rPr>
                    <w:t>未沾染胶的废胶桶</w:t>
                  </w:r>
                </w:p>
              </w:tc>
              <w:tc>
                <w:tcPr>
                  <w:tcW w:w="464" w:type="pct"/>
                  <w:vMerge w:val="continue"/>
                  <w:vAlign w:val="center"/>
                </w:tcPr>
                <w:p w14:paraId="6053558E">
                  <w:pPr>
                    <w:autoSpaceDE w:val="0"/>
                    <w:autoSpaceDN w:val="0"/>
                    <w:jc w:val="center"/>
                    <w:rPr>
                      <w:szCs w:val="21"/>
                    </w:rPr>
                  </w:pPr>
                </w:p>
              </w:tc>
              <w:tc>
                <w:tcPr>
                  <w:tcW w:w="493" w:type="pct"/>
                  <w:vAlign w:val="center"/>
                </w:tcPr>
                <w:p w14:paraId="7720BE52">
                  <w:pPr>
                    <w:autoSpaceDE w:val="0"/>
                    <w:autoSpaceDN w:val="0"/>
                    <w:jc w:val="center"/>
                    <w:rPr>
                      <w:rFonts w:hint="eastAsia"/>
                      <w:szCs w:val="21"/>
                      <w:u w:val="single"/>
                    </w:rPr>
                  </w:pPr>
                  <w:r>
                    <w:rPr>
                      <w:rFonts w:hint="eastAsia"/>
                      <w:szCs w:val="21"/>
                      <w:u w:val="single"/>
                    </w:rPr>
                    <w:t>/</w:t>
                  </w:r>
                </w:p>
              </w:tc>
              <w:tc>
                <w:tcPr>
                  <w:tcW w:w="583" w:type="pct"/>
                  <w:vAlign w:val="center"/>
                </w:tcPr>
                <w:p w14:paraId="1BFE25D6">
                  <w:pPr>
                    <w:jc w:val="center"/>
                    <w:rPr>
                      <w:rFonts w:hint="eastAsia"/>
                      <w:szCs w:val="21"/>
                      <w:u w:val="single"/>
                    </w:rPr>
                  </w:pPr>
                  <w:r>
                    <w:rPr>
                      <w:rFonts w:hint="eastAsia"/>
                      <w:szCs w:val="21"/>
                      <w:u w:val="single"/>
                    </w:rPr>
                    <w:t>1</w:t>
                  </w:r>
                </w:p>
              </w:tc>
              <w:tc>
                <w:tcPr>
                  <w:tcW w:w="302" w:type="pct"/>
                  <w:vAlign w:val="center"/>
                </w:tcPr>
                <w:p w14:paraId="439DFB81">
                  <w:pPr>
                    <w:autoSpaceDE w:val="0"/>
                    <w:autoSpaceDN w:val="0"/>
                    <w:jc w:val="center"/>
                    <w:rPr>
                      <w:szCs w:val="21"/>
                      <w:u w:val="single"/>
                    </w:rPr>
                  </w:pPr>
                  <w:r>
                    <w:rPr>
                      <w:rFonts w:hint="eastAsia"/>
                      <w:szCs w:val="21"/>
                      <w:u w:val="single"/>
                    </w:rPr>
                    <w:t>/</w:t>
                  </w:r>
                </w:p>
              </w:tc>
              <w:tc>
                <w:tcPr>
                  <w:tcW w:w="561" w:type="pct"/>
                  <w:vAlign w:val="center"/>
                </w:tcPr>
                <w:p w14:paraId="433604CE">
                  <w:pPr>
                    <w:jc w:val="center"/>
                    <w:rPr>
                      <w:rFonts w:hint="eastAsia"/>
                      <w:szCs w:val="21"/>
                      <w:u w:val="single"/>
                    </w:rPr>
                  </w:pPr>
                  <w:r>
                    <w:rPr>
                      <w:rFonts w:hint="eastAsia"/>
                      <w:szCs w:val="21"/>
                      <w:u w:val="single"/>
                    </w:rPr>
                    <w:t>1</w:t>
                  </w:r>
                </w:p>
              </w:tc>
              <w:tc>
                <w:tcPr>
                  <w:tcW w:w="829" w:type="pct"/>
                  <w:vAlign w:val="center"/>
                </w:tcPr>
                <w:p w14:paraId="759DC8BB">
                  <w:pPr>
                    <w:autoSpaceDE w:val="0"/>
                    <w:autoSpaceDN w:val="0"/>
                    <w:jc w:val="center"/>
                    <w:rPr>
                      <w:szCs w:val="21"/>
                      <w:u w:val="single"/>
                    </w:rPr>
                  </w:pPr>
                  <w:r>
                    <w:rPr>
                      <w:szCs w:val="21"/>
                      <w:u w:val="single"/>
                    </w:rPr>
                    <w:t>由厂家回收</w:t>
                  </w:r>
                </w:p>
              </w:tc>
            </w:tr>
            <w:tr w14:paraId="025D7E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976" w:type="pct"/>
                  <w:gridSpan w:val="2"/>
                  <w:vAlign w:val="center"/>
                </w:tcPr>
                <w:p w14:paraId="76906A91">
                  <w:pPr>
                    <w:pStyle w:val="97"/>
                    <w:jc w:val="center"/>
                    <w:rPr>
                      <w:rFonts w:hint="eastAsia" w:ascii="Times New Roman" w:hAnsi="Times New Roman" w:cs="Times New Roman"/>
                      <w:kern w:val="2"/>
                      <w:sz w:val="21"/>
                      <w:szCs w:val="21"/>
                      <w:u w:val="single"/>
                      <w:lang w:val="en-US" w:bidi="ar-SA"/>
                    </w:rPr>
                  </w:pPr>
                  <w:r>
                    <w:rPr>
                      <w:rFonts w:hint="eastAsia" w:ascii="Times New Roman" w:hAnsi="Times New Roman" w:cs="Times New Roman"/>
                      <w:kern w:val="2"/>
                      <w:sz w:val="21"/>
                      <w:szCs w:val="21"/>
                      <w:u w:val="single"/>
                      <w:lang w:val="en-US" w:bidi="ar-SA"/>
                    </w:rPr>
                    <w:t>设备维修保养</w:t>
                  </w:r>
                </w:p>
              </w:tc>
              <w:tc>
                <w:tcPr>
                  <w:tcW w:w="792" w:type="pct"/>
                  <w:vAlign w:val="center"/>
                </w:tcPr>
                <w:p w14:paraId="6EFB26F2">
                  <w:pPr>
                    <w:pStyle w:val="97"/>
                    <w:jc w:val="center"/>
                    <w:rPr>
                      <w:rFonts w:hint="eastAsia" w:ascii="Times New Roman" w:hAnsi="Times New Roman" w:cs="Times New Roman"/>
                      <w:kern w:val="2"/>
                      <w:sz w:val="21"/>
                      <w:szCs w:val="21"/>
                      <w:u w:val="single"/>
                      <w:lang w:val="en-US" w:bidi="ar-SA"/>
                    </w:rPr>
                  </w:pPr>
                  <w:r>
                    <w:rPr>
                      <w:rFonts w:hint="eastAsia" w:ascii="Times New Roman" w:hAnsi="Times New Roman" w:cs="Times New Roman"/>
                      <w:kern w:val="2"/>
                      <w:sz w:val="21"/>
                      <w:szCs w:val="21"/>
                      <w:u w:val="single"/>
                      <w:lang w:val="en-US" w:bidi="ar-SA"/>
                    </w:rPr>
                    <w:t>废润滑油</w:t>
                  </w:r>
                </w:p>
              </w:tc>
              <w:tc>
                <w:tcPr>
                  <w:tcW w:w="464" w:type="pct"/>
                  <w:vMerge w:val="restart"/>
                  <w:vAlign w:val="center"/>
                </w:tcPr>
                <w:p w14:paraId="393E1D8E">
                  <w:pPr>
                    <w:autoSpaceDE w:val="0"/>
                    <w:autoSpaceDN w:val="0"/>
                    <w:jc w:val="center"/>
                    <w:rPr>
                      <w:szCs w:val="21"/>
                      <w:u w:val="single"/>
                    </w:rPr>
                  </w:pPr>
                  <w:r>
                    <w:rPr>
                      <w:szCs w:val="21"/>
                      <w:u w:val="single"/>
                    </w:rPr>
                    <w:t>危险废物</w:t>
                  </w:r>
                </w:p>
              </w:tc>
              <w:tc>
                <w:tcPr>
                  <w:tcW w:w="493" w:type="pct"/>
                  <w:vAlign w:val="center"/>
                </w:tcPr>
                <w:p w14:paraId="14D1EC01">
                  <w:pPr>
                    <w:autoSpaceDE w:val="0"/>
                    <w:autoSpaceDN w:val="0"/>
                    <w:jc w:val="center"/>
                    <w:rPr>
                      <w:rFonts w:hint="eastAsia"/>
                      <w:szCs w:val="21"/>
                      <w:u w:val="single"/>
                    </w:rPr>
                  </w:pPr>
                  <w:r>
                    <w:rPr>
                      <w:rFonts w:hint="eastAsia"/>
                      <w:szCs w:val="21"/>
                      <w:u w:val="single"/>
                    </w:rPr>
                    <w:t>/</w:t>
                  </w:r>
                </w:p>
              </w:tc>
              <w:tc>
                <w:tcPr>
                  <w:tcW w:w="583" w:type="pct"/>
                  <w:vAlign w:val="center"/>
                </w:tcPr>
                <w:p w14:paraId="66664CD7">
                  <w:pPr>
                    <w:jc w:val="center"/>
                    <w:rPr>
                      <w:rFonts w:hint="eastAsia"/>
                      <w:szCs w:val="21"/>
                      <w:u w:val="single"/>
                    </w:rPr>
                  </w:pPr>
                  <w:r>
                    <w:rPr>
                      <w:rFonts w:hint="eastAsia"/>
                      <w:szCs w:val="21"/>
                      <w:u w:val="single"/>
                    </w:rPr>
                    <w:t>0.05</w:t>
                  </w:r>
                </w:p>
              </w:tc>
              <w:tc>
                <w:tcPr>
                  <w:tcW w:w="302" w:type="pct"/>
                  <w:vAlign w:val="center"/>
                </w:tcPr>
                <w:p w14:paraId="5F9429A4">
                  <w:pPr>
                    <w:autoSpaceDE w:val="0"/>
                    <w:autoSpaceDN w:val="0"/>
                    <w:jc w:val="center"/>
                    <w:rPr>
                      <w:rFonts w:hint="eastAsia"/>
                      <w:szCs w:val="21"/>
                      <w:u w:val="single"/>
                    </w:rPr>
                  </w:pPr>
                  <w:r>
                    <w:rPr>
                      <w:rFonts w:hint="eastAsia"/>
                      <w:szCs w:val="21"/>
                      <w:u w:val="single"/>
                    </w:rPr>
                    <w:t>/</w:t>
                  </w:r>
                </w:p>
              </w:tc>
              <w:tc>
                <w:tcPr>
                  <w:tcW w:w="561" w:type="pct"/>
                  <w:vAlign w:val="center"/>
                </w:tcPr>
                <w:p w14:paraId="2233F09F">
                  <w:pPr>
                    <w:jc w:val="center"/>
                    <w:rPr>
                      <w:rFonts w:hint="eastAsia"/>
                      <w:szCs w:val="21"/>
                      <w:u w:val="single"/>
                    </w:rPr>
                  </w:pPr>
                  <w:r>
                    <w:rPr>
                      <w:rFonts w:hint="eastAsia"/>
                      <w:szCs w:val="21"/>
                      <w:u w:val="single"/>
                    </w:rPr>
                    <w:t>0.05</w:t>
                  </w:r>
                </w:p>
              </w:tc>
              <w:tc>
                <w:tcPr>
                  <w:tcW w:w="829" w:type="pct"/>
                  <w:vMerge w:val="restart"/>
                  <w:vAlign w:val="center"/>
                </w:tcPr>
                <w:p w14:paraId="2F4B06EB">
                  <w:pPr>
                    <w:autoSpaceDE w:val="0"/>
                    <w:autoSpaceDN w:val="0"/>
                    <w:jc w:val="center"/>
                    <w:rPr>
                      <w:rFonts w:hint="eastAsia"/>
                      <w:szCs w:val="21"/>
                    </w:rPr>
                  </w:pPr>
                  <w:r>
                    <w:rPr>
                      <w:rFonts w:hint="eastAsia"/>
                      <w:szCs w:val="21"/>
                    </w:rPr>
                    <w:t>委托有资质单位处置</w:t>
                  </w:r>
                </w:p>
              </w:tc>
            </w:tr>
            <w:tr w14:paraId="1A0FE9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976" w:type="pct"/>
                  <w:gridSpan w:val="2"/>
                  <w:vAlign w:val="center"/>
                </w:tcPr>
                <w:p w14:paraId="29E411B1">
                  <w:pPr>
                    <w:pStyle w:val="97"/>
                    <w:jc w:val="center"/>
                    <w:rPr>
                      <w:rFonts w:hint="eastAsia" w:ascii="Times New Roman" w:hAnsi="Times New Roman" w:cs="Times New Roman"/>
                      <w:kern w:val="2"/>
                      <w:sz w:val="21"/>
                      <w:szCs w:val="21"/>
                      <w:u w:val="single"/>
                      <w:lang w:val="en-US" w:bidi="ar-SA"/>
                    </w:rPr>
                  </w:pPr>
                  <w:r>
                    <w:rPr>
                      <w:rFonts w:hint="eastAsia" w:ascii="Times New Roman" w:hAnsi="Times New Roman" w:cs="Times New Roman"/>
                      <w:kern w:val="2"/>
                      <w:sz w:val="21"/>
                      <w:szCs w:val="21"/>
                      <w:u w:val="single"/>
                      <w:lang w:val="en-US" w:bidi="ar-SA"/>
                    </w:rPr>
                    <w:t>润滑油使用</w:t>
                  </w:r>
                </w:p>
              </w:tc>
              <w:tc>
                <w:tcPr>
                  <w:tcW w:w="792" w:type="pct"/>
                  <w:vAlign w:val="center"/>
                </w:tcPr>
                <w:p w14:paraId="2B2D5B85">
                  <w:pPr>
                    <w:pStyle w:val="97"/>
                    <w:jc w:val="center"/>
                    <w:rPr>
                      <w:rFonts w:hint="eastAsia" w:ascii="Times New Roman" w:hAnsi="Times New Roman" w:cs="Times New Roman"/>
                      <w:kern w:val="2"/>
                      <w:sz w:val="21"/>
                      <w:szCs w:val="21"/>
                      <w:u w:val="single"/>
                      <w:lang w:val="en-US" w:bidi="ar-SA"/>
                    </w:rPr>
                  </w:pPr>
                  <w:r>
                    <w:rPr>
                      <w:rFonts w:hint="eastAsia" w:ascii="Times New Roman" w:hAnsi="Times New Roman" w:cs="Times New Roman"/>
                      <w:kern w:val="2"/>
                      <w:sz w:val="21"/>
                      <w:szCs w:val="21"/>
                      <w:u w:val="single"/>
                      <w:lang w:val="en-US" w:bidi="ar-SA"/>
                    </w:rPr>
                    <w:t>废润滑油包装桶</w:t>
                  </w:r>
                </w:p>
              </w:tc>
              <w:tc>
                <w:tcPr>
                  <w:tcW w:w="464" w:type="pct"/>
                  <w:vMerge w:val="continue"/>
                  <w:vAlign w:val="center"/>
                </w:tcPr>
                <w:p w14:paraId="2EAB5D91">
                  <w:pPr>
                    <w:autoSpaceDE w:val="0"/>
                    <w:autoSpaceDN w:val="0"/>
                    <w:jc w:val="center"/>
                    <w:rPr>
                      <w:szCs w:val="21"/>
                      <w:u w:val="single"/>
                    </w:rPr>
                  </w:pPr>
                </w:p>
              </w:tc>
              <w:tc>
                <w:tcPr>
                  <w:tcW w:w="493" w:type="pct"/>
                  <w:vAlign w:val="center"/>
                </w:tcPr>
                <w:p w14:paraId="35C68F9B">
                  <w:pPr>
                    <w:autoSpaceDE w:val="0"/>
                    <w:autoSpaceDN w:val="0"/>
                    <w:jc w:val="center"/>
                    <w:rPr>
                      <w:rFonts w:hint="eastAsia"/>
                      <w:szCs w:val="21"/>
                      <w:u w:val="single"/>
                    </w:rPr>
                  </w:pPr>
                  <w:r>
                    <w:rPr>
                      <w:rFonts w:hint="eastAsia"/>
                      <w:szCs w:val="21"/>
                      <w:u w:val="single"/>
                    </w:rPr>
                    <w:t>/</w:t>
                  </w:r>
                </w:p>
              </w:tc>
              <w:tc>
                <w:tcPr>
                  <w:tcW w:w="583" w:type="pct"/>
                  <w:vAlign w:val="center"/>
                </w:tcPr>
                <w:p w14:paraId="431E7E2F">
                  <w:pPr>
                    <w:jc w:val="center"/>
                    <w:rPr>
                      <w:rFonts w:hint="eastAsia"/>
                      <w:szCs w:val="21"/>
                      <w:u w:val="single"/>
                    </w:rPr>
                  </w:pPr>
                  <w:r>
                    <w:rPr>
                      <w:rFonts w:hint="eastAsia"/>
                      <w:szCs w:val="21"/>
                      <w:u w:val="single"/>
                    </w:rPr>
                    <w:t>0.005</w:t>
                  </w:r>
                </w:p>
              </w:tc>
              <w:tc>
                <w:tcPr>
                  <w:tcW w:w="302" w:type="pct"/>
                  <w:vAlign w:val="center"/>
                </w:tcPr>
                <w:p w14:paraId="7C9A971F">
                  <w:pPr>
                    <w:autoSpaceDE w:val="0"/>
                    <w:autoSpaceDN w:val="0"/>
                    <w:jc w:val="center"/>
                    <w:rPr>
                      <w:rFonts w:hint="eastAsia"/>
                      <w:szCs w:val="21"/>
                      <w:u w:val="single"/>
                    </w:rPr>
                  </w:pPr>
                  <w:r>
                    <w:rPr>
                      <w:rFonts w:hint="eastAsia"/>
                      <w:szCs w:val="21"/>
                      <w:u w:val="single"/>
                    </w:rPr>
                    <w:t>/</w:t>
                  </w:r>
                </w:p>
              </w:tc>
              <w:tc>
                <w:tcPr>
                  <w:tcW w:w="561" w:type="pct"/>
                  <w:vAlign w:val="center"/>
                </w:tcPr>
                <w:p w14:paraId="3228FDC5">
                  <w:pPr>
                    <w:jc w:val="center"/>
                    <w:rPr>
                      <w:rFonts w:hint="eastAsia"/>
                      <w:szCs w:val="21"/>
                      <w:u w:val="single"/>
                    </w:rPr>
                  </w:pPr>
                  <w:r>
                    <w:rPr>
                      <w:rFonts w:hint="eastAsia"/>
                      <w:szCs w:val="21"/>
                      <w:u w:val="single"/>
                    </w:rPr>
                    <w:t>0.005</w:t>
                  </w:r>
                </w:p>
              </w:tc>
              <w:tc>
                <w:tcPr>
                  <w:tcW w:w="829" w:type="pct"/>
                  <w:vMerge w:val="continue"/>
                  <w:vAlign w:val="center"/>
                </w:tcPr>
                <w:p w14:paraId="1FA2CBA2">
                  <w:pPr>
                    <w:autoSpaceDE w:val="0"/>
                    <w:autoSpaceDN w:val="0"/>
                    <w:jc w:val="center"/>
                    <w:rPr>
                      <w:rFonts w:hint="eastAsia"/>
                      <w:szCs w:val="21"/>
                    </w:rPr>
                  </w:pPr>
                </w:p>
              </w:tc>
            </w:tr>
            <w:tr w14:paraId="54CDC7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446" w:type="pct"/>
                  <w:vAlign w:val="center"/>
                </w:tcPr>
                <w:p w14:paraId="56E9258E">
                  <w:pPr>
                    <w:autoSpaceDE w:val="0"/>
                    <w:autoSpaceDN w:val="0"/>
                    <w:jc w:val="center"/>
                    <w:rPr>
                      <w:szCs w:val="21"/>
                      <w:u w:val="single"/>
                    </w:rPr>
                  </w:pPr>
                  <w:r>
                    <w:rPr>
                      <w:szCs w:val="21"/>
                      <w:u w:val="single"/>
                    </w:rPr>
                    <w:t>中空玻璃</w:t>
                  </w:r>
                </w:p>
              </w:tc>
              <w:tc>
                <w:tcPr>
                  <w:tcW w:w="530" w:type="pct"/>
                  <w:vAlign w:val="center"/>
                </w:tcPr>
                <w:p w14:paraId="4DA2FE36">
                  <w:pPr>
                    <w:pStyle w:val="97"/>
                    <w:jc w:val="center"/>
                    <w:rPr>
                      <w:szCs w:val="21"/>
                      <w:u w:val="single"/>
                    </w:rPr>
                  </w:pPr>
                  <w:r>
                    <w:rPr>
                      <w:rFonts w:hint="eastAsia" w:ascii="Times New Roman" w:hAnsi="Times New Roman" w:cs="Times New Roman"/>
                      <w:kern w:val="2"/>
                      <w:sz w:val="21"/>
                      <w:szCs w:val="21"/>
                      <w:u w:val="single"/>
                      <w:lang w:val="en-US" w:bidi="ar-SA"/>
                    </w:rPr>
                    <w:t>硅酮胶和丁基胶使用</w:t>
                  </w:r>
                </w:p>
              </w:tc>
              <w:tc>
                <w:tcPr>
                  <w:tcW w:w="792" w:type="pct"/>
                  <w:vAlign w:val="center"/>
                </w:tcPr>
                <w:p w14:paraId="4E04BCA7">
                  <w:pPr>
                    <w:pStyle w:val="97"/>
                    <w:jc w:val="center"/>
                    <w:rPr>
                      <w:rFonts w:ascii="Times New Roman" w:hAnsi="Times New Roman" w:cs="Times New Roman"/>
                      <w:kern w:val="2"/>
                      <w:sz w:val="21"/>
                      <w:szCs w:val="21"/>
                      <w:u w:val="single"/>
                      <w:lang w:val="en-US" w:bidi="ar-SA"/>
                    </w:rPr>
                  </w:pPr>
                  <w:r>
                    <w:rPr>
                      <w:rFonts w:hint="eastAsia" w:ascii="Times New Roman" w:hAnsi="Times New Roman" w:cs="Times New Roman"/>
                      <w:kern w:val="2"/>
                      <w:sz w:val="21"/>
                      <w:szCs w:val="21"/>
                      <w:u w:val="single"/>
                      <w:lang w:val="en-US" w:bidi="ar-SA"/>
                    </w:rPr>
                    <w:t>沾染胶的废塑料膜和废胶桶</w:t>
                  </w:r>
                </w:p>
              </w:tc>
              <w:tc>
                <w:tcPr>
                  <w:tcW w:w="464" w:type="pct"/>
                  <w:vMerge w:val="continue"/>
                  <w:vAlign w:val="center"/>
                </w:tcPr>
                <w:p w14:paraId="3EC4979F">
                  <w:pPr>
                    <w:autoSpaceDE w:val="0"/>
                    <w:autoSpaceDN w:val="0"/>
                    <w:jc w:val="center"/>
                    <w:rPr>
                      <w:szCs w:val="21"/>
                      <w:u w:val="single"/>
                    </w:rPr>
                  </w:pPr>
                </w:p>
              </w:tc>
              <w:tc>
                <w:tcPr>
                  <w:tcW w:w="493" w:type="pct"/>
                  <w:vAlign w:val="center"/>
                </w:tcPr>
                <w:p w14:paraId="02EA94E3">
                  <w:pPr>
                    <w:autoSpaceDE w:val="0"/>
                    <w:autoSpaceDN w:val="0"/>
                    <w:jc w:val="center"/>
                    <w:rPr>
                      <w:szCs w:val="21"/>
                      <w:u w:val="single"/>
                    </w:rPr>
                  </w:pPr>
                  <w:r>
                    <w:rPr>
                      <w:rFonts w:hint="eastAsia"/>
                      <w:szCs w:val="21"/>
                      <w:u w:val="single"/>
                    </w:rPr>
                    <w:t>/</w:t>
                  </w:r>
                </w:p>
              </w:tc>
              <w:tc>
                <w:tcPr>
                  <w:tcW w:w="583" w:type="pct"/>
                  <w:vAlign w:val="center"/>
                </w:tcPr>
                <w:p w14:paraId="54A51FE3">
                  <w:pPr>
                    <w:jc w:val="center"/>
                    <w:rPr>
                      <w:szCs w:val="21"/>
                      <w:u w:val="single"/>
                    </w:rPr>
                  </w:pPr>
                  <w:r>
                    <w:rPr>
                      <w:rFonts w:hint="eastAsia"/>
                      <w:szCs w:val="21"/>
                      <w:u w:val="single"/>
                    </w:rPr>
                    <w:t>0.75</w:t>
                  </w:r>
                </w:p>
              </w:tc>
              <w:tc>
                <w:tcPr>
                  <w:tcW w:w="302" w:type="pct"/>
                  <w:vAlign w:val="center"/>
                </w:tcPr>
                <w:p w14:paraId="4A64C364">
                  <w:pPr>
                    <w:autoSpaceDE w:val="0"/>
                    <w:autoSpaceDN w:val="0"/>
                    <w:jc w:val="center"/>
                    <w:rPr>
                      <w:szCs w:val="21"/>
                      <w:u w:val="single"/>
                    </w:rPr>
                  </w:pPr>
                  <w:r>
                    <w:rPr>
                      <w:rFonts w:hint="eastAsia"/>
                      <w:szCs w:val="21"/>
                      <w:u w:val="single"/>
                    </w:rPr>
                    <w:t>/</w:t>
                  </w:r>
                </w:p>
              </w:tc>
              <w:tc>
                <w:tcPr>
                  <w:tcW w:w="561" w:type="pct"/>
                  <w:vAlign w:val="center"/>
                </w:tcPr>
                <w:p w14:paraId="4765B0B1">
                  <w:pPr>
                    <w:jc w:val="center"/>
                    <w:rPr>
                      <w:szCs w:val="21"/>
                      <w:u w:val="single"/>
                    </w:rPr>
                  </w:pPr>
                  <w:r>
                    <w:rPr>
                      <w:rFonts w:hint="eastAsia"/>
                      <w:szCs w:val="21"/>
                      <w:u w:val="single"/>
                    </w:rPr>
                    <w:t>0.75</w:t>
                  </w:r>
                </w:p>
              </w:tc>
              <w:tc>
                <w:tcPr>
                  <w:tcW w:w="829" w:type="pct"/>
                  <w:vMerge w:val="continue"/>
                  <w:vAlign w:val="center"/>
                </w:tcPr>
                <w:p w14:paraId="704DDBB5">
                  <w:pPr>
                    <w:autoSpaceDE w:val="0"/>
                    <w:autoSpaceDN w:val="0"/>
                    <w:jc w:val="center"/>
                    <w:rPr>
                      <w:szCs w:val="21"/>
                    </w:rPr>
                  </w:pPr>
                </w:p>
              </w:tc>
            </w:tr>
            <w:tr w14:paraId="44575C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446" w:type="pct"/>
                  <w:vMerge w:val="restart"/>
                  <w:vAlign w:val="center"/>
                </w:tcPr>
                <w:p w14:paraId="337B7254">
                  <w:pPr>
                    <w:autoSpaceDE w:val="0"/>
                    <w:autoSpaceDN w:val="0"/>
                    <w:jc w:val="center"/>
                    <w:rPr>
                      <w:szCs w:val="21"/>
                    </w:rPr>
                  </w:pPr>
                  <w:r>
                    <w:rPr>
                      <w:szCs w:val="21"/>
                    </w:rPr>
                    <w:t>废气处理</w:t>
                  </w:r>
                </w:p>
              </w:tc>
              <w:tc>
                <w:tcPr>
                  <w:tcW w:w="530" w:type="pct"/>
                  <w:vAlign w:val="center"/>
                </w:tcPr>
                <w:p w14:paraId="688092EF">
                  <w:pPr>
                    <w:autoSpaceDE w:val="0"/>
                    <w:autoSpaceDN w:val="0"/>
                    <w:jc w:val="center"/>
                    <w:rPr>
                      <w:szCs w:val="21"/>
                    </w:rPr>
                  </w:pPr>
                  <w:r>
                    <w:rPr>
                      <w:rFonts w:hint="eastAsia"/>
                      <w:szCs w:val="21"/>
                    </w:rPr>
                    <w:t>活性炭吸附</w:t>
                  </w:r>
                </w:p>
              </w:tc>
              <w:tc>
                <w:tcPr>
                  <w:tcW w:w="792" w:type="pct"/>
                  <w:vAlign w:val="center"/>
                </w:tcPr>
                <w:p w14:paraId="0BD6F9EC">
                  <w:pPr>
                    <w:pStyle w:val="97"/>
                    <w:jc w:val="center"/>
                    <w:rPr>
                      <w:rFonts w:ascii="Times New Roman" w:hAnsi="Times New Roman" w:cs="Times New Roman"/>
                      <w:kern w:val="2"/>
                      <w:sz w:val="21"/>
                      <w:szCs w:val="21"/>
                      <w:lang w:val="en-US" w:bidi="ar-SA"/>
                    </w:rPr>
                  </w:pPr>
                  <w:r>
                    <w:rPr>
                      <w:rFonts w:hint="eastAsia" w:ascii="Times New Roman" w:hAnsi="Times New Roman" w:cs="Times New Roman"/>
                      <w:kern w:val="2"/>
                      <w:sz w:val="21"/>
                      <w:szCs w:val="21"/>
                      <w:lang w:val="en-US" w:bidi="ar-SA"/>
                    </w:rPr>
                    <w:t>废活性炭</w:t>
                  </w:r>
                </w:p>
              </w:tc>
              <w:tc>
                <w:tcPr>
                  <w:tcW w:w="464" w:type="pct"/>
                  <w:vMerge w:val="continue"/>
                  <w:vAlign w:val="center"/>
                </w:tcPr>
                <w:p w14:paraId="5F67920F">
                  <w:pPr>
                    <w:autoSpaceDE w:val="0"/>
                    <w:autoSpaceDN w:val="0"/>
                    <w:jc w:val="center"/>
                    <w:rPr>
                      <w:szCs w:val="21"/>
                    </w:rPr>
                  </w:pPr>
                </w:p>
              </w:tc>
              <w:tc>
                <w:tcPr>
                  <w:tcW w:w="493" w:type="pct"/>
                  <w:vAlign w:val="center"/>
                </w:tcPr>
                <w:p w14:paraId="10C64BF9">
                  <w:pPr>
                    <w:autoSpaceDE w:val="0"/>
                    <w:autoSpaceDN w:val="0"/>
                    <w:jc w:val="center"/>
                    <w:rPr>
                      <w:szCs w:val="21"/>
                    </w:rPr>
                  </w:pPr>
                  <w:r>
                    <w:rPr>
                      <w:rFonts w:hint="eastAsia"/>
                      <w:szCs w:val="21"/>
                    </w:rPr>
                    <w:t>/</w:t>
                  </w:r>
                </w:p>
              </w:tc>
              <w:tc>
                <w:tcPr>
                  <w:tcW w:w="583" w:type="pct"/>
                  <w:vAlign w:val="center"/>
                </w:tcPr>
                <w:p w14:paraId="774E13C0">
                  <w:pPr>
                    <w:jc w:val="center"/>
                    <w:rPr>
                      <w:szCs w:val="21"/>
                      <w:u w:val="single"/>
                    </w:rPr>
                  </w:pPr>
                  <w:r>
                    <w:rPr>
                      <w:rFonts w:hint="eastAsia"/>
                      <w:szCs w:val="21"/>
                      <w:u w:val="single"/>
                    </w:rPr>
                    <w:t>1t/2a</w:t>
                  </w:r>
                </w:p>
              </w:tc>
              <w:tc>
                <w:tcPr>
                  <w:tcW w:w="302" w:type="pct"/>
                  <w:vAlign w:val="center"/>
                </w:tcPr>
                <w:p w14:paraId="3683000A">
                  <w:pPr>
                    <w:autoSpaceDE w:val="0"/>
                    <w:autoSpaceDN w:val="0"/>
                    <w:jc w:val="center"/>
                    <w:rPr>
                      <w:szCs w:val="21"/>
                      <w:u w:val="single"/>
                    </w:rPr>
                  </w:pPr>
                  <w:r>
                    <w:rPr>
                      <w:rFonts w:hint="eastAsia"/>
                      <w:szCs w:val="21"/>
                      <w:u w:val="single"/>
                    </w:rPr>
                    <w:t>/</w:t>
                  </w:r>
                </w:p>
              </w:tc>
              <w:tc>
                <w:tcPr>
                  <w:tcW w:w="561" w:type="pct"/>
                  <w:vAlign w:val="center"/>
                </w:tcPr>
                <w:p w14:paraId="1BC5E928">
                  <w:pPr>
                    <w:jc w:val="center"/>
                    <w:rPr>
                      <w:szCs w:val="21"/>
                      <w:u w:val="single"/>
                    </w:rPr>
                  </w:pPr>
                  <w:r>
                    <w:rPr>
                      <w:rFonts w:hint="eastAsia"/>
                      <w:szCs w:val="21"/>
                      <w:u w:val="single"/>
                    </w:rPr>
                    <w:t>1t/2a</w:t>
                  </w:r>
                </w:p>
              </w:tc>
              <w:tc>
                <w:tcPr>
                  <w:tcW w:w="829" w:type="pct"/>
                  <w:vMerge w:val="continue"/>
                  <w:vAlign w:val="center"/>
                </w:tcPr>
                <w:p w14:paraId="68AC0A7D">
                  <w:pPr>
                    <w:autoSpaceDE w:val="0"/>
                    <w:autoSpaceDN w:val="0"/>
                    <w:jc w:val="center"/>
                    <w:rPr>
                      <w:szCs w:val="21"/>
                    </w:rPr>
                  </w:pPr>
                </w:p>
              </w:tc>
            </w:tr>
            <w:tr w14:paraId="68930C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446" w:type="pct"/>
                  <w:vMerge w:val="continue"/>
                  <w:vAlign w:val="center"/>
                </w:tcPr>
                <w:p w14:paraId="151BAFEC">
                  <w:pPr>
                    <w:autoSpaceDE w:val="0"/>
                    <w:autoSpaceDN w:val="0"/>
                    <w:jc w:val="center"/>
                    <w:rPr>
                      <w:szCs w:val="21"/>
                    </w:rPr>
                  </w:pPr>
                </w:p>
              </w:tc>
              <w:tc>
                <w:tcPr>
                  <w:tcW w:w="530" w:type="pct"/>
                  <w:vAlign w:val="center"/>
                </w:tcPr>
                <w:p w14:paraId="4807C4CF">
                  <w:pPr>
                    <w:autoSpaceDE w:val="0"/>
                    <w:autoSpaceDN w:val="0"/>
                    <w:jc w:val="center"/>
                    <w:rPr>
                      <w:szCs w:val="21"/>
                    </w:rPr>
                  </w:pPr>
                  <w:r>
                    <w:rPr>
                      <w:rFonts w:hint="eastAsia"/>
                      <w:szCs w:val="21"/>
                    </w:rPr>
                    <w:t>催化燃烧</w:t>
                  </w:r>
                </w:p>
              </w:tc>
              <w:tc>
                <w:tcPr>
                  <w:tcW w:w="792" w:type="pct"/>
                  <w:vAlign w:val="center"/>
                </w:tcPr>
                <w:p w14:paraId="70198A6A">
                  <w:pPr>
                    <w:pStyle w:val="97"/>
                    <w:jc w:val="center"/>
                    <w:rPr>
                      <w:rFonts w:ascii="Times New Roman" w:hAnsi="Times New Roman" w:cs="Times New Roman"/>
                      <w:kern w:val="2"/>
                      <w:sz w:val="21"/>
                      <w:szCs w:val="21"/>
                      <w:lang w:val="en-US" w:bidi="ar-SA"/>
                    </w:rPr>
                  </w:pPr>
                  <w:r>
                    <w:rPr>
                      <w:rFonts w:hint="eastAsia" w:ascii="Times New Roman" w:hAnsi="Times New Roman" w:cs="Times New Roman"/>
                      <w:kern w:val="2"/>
                      <w:sz w:val="21"/>
                      <w:szCs w:val="21"/>
                      <w:lang w:val="en-US" w:bidi="ar-SA"/>
                    </w:rPr>
                    <w:t>废催化剂</w:t>
                  </w:r>
                </w:p>
              </w:tc>
              <w:tc>
                <w:tcPr>
                  <w:tcW w:w="464" w:type="pct"/>
                  <w:vMerge w:val="continue"/>
                  <w:vAlign w:val="center"/>
                </w:tcPr>
                <w:p w14:paraId="0C644237">
                  <w:pPr>
                    <w:autoSpaceDE w:val="0"/>
                    <w:autoSpaceDN w:val="0"/>
                    <w:jc w:val="center"/>
                    <w:rPr>
                      <w:szCs w:val="21"/>
                    </w:rPr>
                  </w:pPr>
                </w:p>
              </w:tc>
              <w:tc>
                <w:tcPr>
                  <w:tcW w:w="493" w:type="pct"/>
                  <w:vAlign w:val="center"/>
                </w:tcPr>
                <w:p w14:paraId="7A9B3C6C">
                  <w:pPr>
                    <w:autoSpaceDE w:val="0"/>
                    <w:autoSpaceDN w:val="0"/>
                    <w:jc w:val="center"/>
                    <w:rPr>
                      <w:szCs w:val="21"/>
                    </w:rPr>
                  </w:pPr>
                  <w:r>
                    <w:rPr>
                      <w:rFonts w:hint="eastAsia"/>
                      <w:szCs w:val="21"/>
                    </w:rPr>
                    <w:t>/</w:t>
                  </w:r>
                </w:p>
              </w:tc>
              <w:tc>
                <w:tcPr>
                  <w:tcW w:w="583" w:type="pct"/>
                  <w:vAlign w:val="center"/>
                </w:tcPr>
                <w:p w14:paraId="3C1D007F">
                  <w:pPr>
                    <w:jc w:val="center"/>
                    <w:rPr>
                      <w:szCs w:val="21"/>
                      <w:u w:val="single"/>
                    </w:rPr>
                  </w:pPr>
                  <w:r>
                    <w:rPr>
                      <w:rFonts w:hint="eastAsia"/>
                      <w:szCs w:val="21"/>
                      <w:u w:val="single"/>
                    </w:rPr>
                    <w:t>0.04t/3a</w:t>
                  </w:r>
                </w:p>
              </w:tc>
              <w:tc>
                <w:tcPr>
                  <w:tcW w:w="302" w:type="pct"/>
                  <w:vAlign w:val="center"/>
                </w:tcPr>
                <w:p w14:paraId="56F5B38A">
                  <w:pPr>
                    <w:autoSpaceDE w:val="0"/>
                    <w:autoSpaceDN w:val="0"/>
                    <w:jc w:val="center"/>
                    <w:rPr>
                      <w:szCs w:val="21"/>
                      <w:u w:val="single"/>
                    </w:rPr>
                  </w:pPr>
                  <w:r>
                    <w:rPr>
                      <w:rFonts w:hint="eastAsia"/>
                      <w:szCs w:val="21"/>
                      <w:u w:val="single"/>
                    </w:rPr>
                    <w:t>/</w:t>
                  </w:r>
                </w:p>
              </w:tc>
              <w:tc>
                <w:tcPr>
                  <w:tcW w:w="561" w:type="pct"/>
                  <w:vAlign w:val="center"/>
                </w:tcPr>
                <w:p w14:paraId="1F938677">
                  <w:pPr>
                    <w:jc w:val="center"/>
                    <w:rPr>
                      <w:szCs w:val="21"/>
                      <w:u w:val="single"/>
                    </w:rPr>
                  </w:pPr>
                  <w:r>
                    <w:rPr>
                      <w:rFonts w:hint="eastAsia"/>
                      <w:szCs w:val="21"/>
                      <w:u w:val="single"/>
                    </w:rPr>
                    <w:t>0.04t/3a</w:t>
                  </w:r>
                </w:p>
              </w:tc>
              <w:tc>
                <w:tcPr>
                  <w:tcW w:w="829" w:type="pct"/>
                  <w:vMerge w:val="continue"/>
                  <w:vAlign w:val="center"/>
                </w:tcPr>
                <w:p w14:paraId="6E0B914A">
                  <w:pPr>
                    <w:autoSpaceDE w:val="0"/>
                    <w:autoSpaceDN w:val="0"/>
                    <w:jc w:val="center"/>
                    <w:rPr>
                      <w:szCs w:val="21"/>
                    </w:rPr>
                  </w:pPr>
                </w:p>
              </w:tc>
            </w:tr>
            <w:tr w14:paraId="4D1D38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3" w:hRule="atLeast"/>
                <w:jc w:val="center"/>
              </w:trPr>
              <w:tc>
                <w:tcPr>
                  <w:tcW w:w="976" w:type="pct"/>
                  <w:gridSpan w:val="2"/>
                  <w:vAlign w:val="center"/>
                </w:tcPr>
                <w:p w14:paraId="55EA1ED3">
                  <w:pPr>
                    <w:autoSpaceDE w:val="0"/>
                    <w:autoSpaceDN w:val="0"/>
                    <w:jc w:val="center"/>
                    <w:rPr>
                      <w:szCs w:val="21"/>
                    </w:rPr>
                  </w:pPr>
                  <w:r>
                    <w:rPr>
                      <w:szCs w:val="21"/>
                    </w:rPr>
                    <w:t>员工办公生活</w:t>
                  </w:r>
                </w:p>
              </w:tc>
              <w:tc>
                <w:tcPr>
                  <w:tcW w:w="792" w:type="pct"/>
                  <w:vAlign w:val="center"/>
                </w:tcPr>
                <w:p w14:paraId="52B56800">
                  <w:pPr>
                    <w:autoSpaceDE w:val="0"/>
                    <w:autoSpaceDN w:val="0"/>
                    <w:jc w:val="center"/>
                    <w:rPr>
                      <w:szCs w:val="21"/>
                    </w:rPr>
                  </w:pPr>
                  <w:r>
                    <w:rPr>
                      <w:szCs w:val="21"/>
                    </w:rPr>
                    <w:t>生活垃圾</w:t>
                  </w:r>
                </w:p>
              </w:tc>
              <w:tc>
                <w:tcPr>
                  <w:tcW w:w="464" w:type="pct"/>
                  <w:vAlign w:val="center"/>
                </w:tcPr>
                <w:p w14:paraId="10AD9B5D">
                  <w:pPr>
                    <w:autoSpaceDE w:val="0"/>
                    <w:autoSpaceDN w:val="0"/>
                    <w:jc w:val="center"/>
                    <w:rPr>
                      <w:szCs w:val="21"/>
                    </w:rPr>
                  </w:pPr>
                  <w:r>
                    <w:rPr>
                      <w:rFonts w:hint="eastAsia"/>
                      <w:szCs w:val="21"/>
                    </w:rPr>
                    <w:t>/</w:t>
                  </w:r>
                </w:p>
              </w:tc>
              <w:tc>
                <w:tcPr>
                  <w:tcW w:w="493" w:type="pct"/>
                  <w:vAlign w:val="center"/>
                </w:tcPr>
                <w:p w14:paraId="6713389B">
                  <w:pPr>
                    <w:autoSpaceDE w:val="0"/>
                    <w:autoSpaceDN w:val="0"/>
                    <w:jc w:val="center"/>
                    <w:rPr>
                      <w:szCs w:val="21"/>
                    </w:rPr>
                  </w:pPr>
                  <w:r>
                    <w:rPr>
                      <w:szCs w:val="21"/>
                    </w:rPr>
                    <w:t>产污系数法</w:t>
                  </w:r>
                </w:p>
              </w:tc>
              <w:tc>
                <w:tcPr>
                  <w:tcW w:w="583" w:type="pct"/>
                  <w:vAlign w:val="center"/>
                </w:tcPr>
                <w:p w14:paraId="57B41A6D">
                  <w:pPr>
                    <w:jc w:val="center"/>
                    <w:rPr>
                      <w:szCs w:val="21"/>
                    </w:rPr>
                  </w:pPr>
                  <w:r>
                    <w:rPr>
                      <w:rFonts w:hint="eastAsia"/>
                      <w:szCs w:val="21"/>
                    </w:rPr>
                    <w:t>4.5</w:t>
                  </w:r>
                </w:p>
              </w:tc>
              <w:tc>
                <w:tcPr>
                  <w:tcW w:w="302" w:type="pct"/>
                  <w:vAlign w:val="center"/>
                </w:tcPr>
                <w:p w14:paraId="7C067BA9">
                  <w:pPr>
                    <w:autoSpaceDE w:val="0"/>
                    <w:autoSpaceDN w:val="0"/>
                    <w:jc w:val="center"/>
                    <w:rPr>
                      <w:snapToGrid w:val="0"/>
                      <w:szCs w:val="21"/>
                    </w:rPr>
                  </w:pPr>
                  <w:r>
                    <w:rPr>
                      <w:snapToGrid w:val="0"/>
                      <w:szCs w:val="21"/>
                    </w:rPr>
                    <w:t>/</w:t>
                  </w:r>
                </w:p>
              </w:tc>
              <w:tc>
                <w:tcPr>
                  <w:tcW w:w="561" w:type="pct"/>
                  <w:vAlign w:val="center"/>
                </w:tcPr>
                <w:p w14:paraId="3E31EC0C">
                  <w:pPr>
                    <w:jc w:val="center"/>
                    <w:rPr>
                      <w:szCs w:val="21"/>
                    </w:rPr>
                  </w:pPr>
                  <w:r>
                    <w:rPr>
                      <w:rFonts w:hint="eastAsia"/>
                      <w:szCs w:val="21"/>
                    </w:rPr>
                    <w:t>4.5</w:t>
                  </w:r>
                </w:p>
              </w:tc>
              <w:tc>
                <w:tcPr>
                  <w:tcW w:w="829" w:type="pct"/>
                  <w:vAlign w:val="center"/>
                </w:tcPr>
                <w:p w14:paraId="54B35F28">
                  <w:pPr>
                    <w:autoSpaceDE w:val="0"/>
                    <w:autoSpaceDN w:val="0"/>
                    <w:jc w:val="center"/>
                    <w:rPr>
                      <w:szCs w:val="21"/>
                    </w:rPr>
                  </w:pPr>
                  <w:r>
                    <w:rPr>
                      <w:szCs w:val="21"/>
                    </w:rPr>
                    <w:t>交环卫部门处理</w:t>
                  </w:r>
                </w:p>
              </w:tc>
            </w:tr>
          </w:tbl>
          <w:p w14:paraId="555DBEC1">
            <w:pPr>
              <w:adjustRightInd w:val="0"/>
              <w:snapToGrid w:val="0"/>
              <w:spacing w:line="360" w:lineRule="auto"/>
              <w:ind w:firstLine="480" w:firstLineChars="200"/>
              <w:rPr>
                <w:rFonts w:hint="eastAsia"/>
                <w:color w:val="000000"/>
                <w:sz w:val="24"/>
              </w:rPr>
            </w:pPr>
            <w:r>
              <w:rPr>
                <w:color w:val="000000"/>
                <w:sz w:val="24"/>
              </w:rPr>
              <w:t>按照《建设项目危险废物环境影响评价指南》（环境保护部公告2017年第43号），本项目所涉及的危险废物产排、处置等情况汇总</w:t>
            </w:r>
            <w:r>
              <w:rPr>
                <w:rFonts w:hint="eastAsia"/>
                <w:color w:val="000000"/>
                <w:sz w:val="24"/>
              </w:rPr>
              <w:t>见下表</w:t>
            </w:r>
            <w:r>
              <w:rPr>
                <w:color w:val="000000"/>
                <w:sz w:val="24"/>
              </w:rPr>
              <w:t>。</w:t>
            </w:r>
          </w:p>
          <w:p w14:paraId="5E9E423D">
            <w:pPr>
              <w:pStyle w:val="137"/>
              <w:numPr>
                <w:ilvl w:val="0"/>
                <w:numId w:val="7"/>
              </w:numPr>
              <w:adjustRightInd w:val="0"/>
              <w:snapToGrid w:val="0"/>
              <w:ind w:firstLineChars="0"/>
              <w:jc w:val="center"/>
              <w:rPr>
                <w:b/>
                <w:snapToGrid w:val="0"/>
                <w:kern w:val="0"/>
                <w:szCs w:val="21"/>
              </w:rPr>
            </w:pPr>
            <w:r>
              <w:rPr>
                <w:b/>
                <w:snapToGrid w:val="0"/>
                <w:kern w:val="0"/>
                <w:szCs w:val="21"/>
              </w:rPr>
              <w:t>危险废物汇总表</w:t>
            </w:r>
          </w:p>
          <w:tbl>
            <w:tblPr>
              <w:tblStyle w:val="38"/>
              <w:tblW w:w="80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0"/>
              <w:gridCol w:w="697"/>
              <w:gridCol w:w="855"/>
              <w:gridCol w:w="711"/>
              <w:gridCol w:w="729"/>
              <w:gridCol w:w="809"/>
              <w:gridCol w:w="358"/>
              <w:gridCol w:w="672"/>
              <w:gridCol w:w="763"/>
              <w:gridCol w:w="706"/>
              <w:gridCol w:w="548"/>
              <w:gridCol w:w="872"/>
            </w:tblGrid>
            <w:tr w14:paraId="0FBCE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300" w:type="dxa"/>
                  <w:vAlign w:val="center"/>
                </w:tcPr>
                <w:p w14:paraId="02CF1082">
                  <w:pPr>
                    <w:adjustRightInd w:val="0"/>
                    <w:snapToGrid w:val="0"/>
                    <w:jc w:val="center"/>
                    <w:rPr>
                      <w:b/>
                      <w:color w:val="000000"/>
                      <w:sz w:val="18"/>
                      <w:szCs w:val="18"/>
                    </w:rPr>
                  </w:pPr>
                  <w:r>
                    <w:rPr>
                      <w:b/>
                      <w:color w:val="000000"/>
                      <w:kern w:val="0"/>
                      <w:sz w:val="18"/>
                      <w:szCs w:val="18"/>
                    </w:rPr>
                    <w:t>序号</w:t>
                  </w:r>
                </w:p>
              </w:tc>
              <w:tc>
                <w:tcPr>
                  <w:tcW w:w="697" w:type="dxa"/>
                  <w:vAlign w:val="center"/>
                </w:tcPr>
                <w:p w14:paraId="2DDE3FD4">
                  <w:pPr>
                    <w:adjustRightInd w:val="0"/>
                    <w:snapToGrid w:val="0"/>
                    <w:jc w:val="center"/>
                    <w:rPr>
                      <w:b/>
                      <w:color w:val="000000"/>
                      <w:sz w:val="18"/>
                      <w:szCs w:val="18"/>
                    </w:rPr>
                  </w:pPr>
                  <w:r>
                    <w:rPr>
                      <w:b/>
                      <w:color w:val="000000"/>
                      <w:kern w:val="0"/>
                      <w:sz w:val="18"/>
                      <w:szCs w:val="18"/>
                    </w:rPr>
                    <w:t>危废名称</w:t>
                  </w:r>
                </w:p>
              </w:tc>
              <w:tc>
                <w:tcPr>
                  <w:tcW w:w="855" w:type="dxa"/>
                  <w:vAlign w:val="center"/>
                </w:tcPr>
                <w:p w14:paraId="5EF2AEDC">
                  <w:pPr>
                    <w:adjustRightInd w:val="0"/>
                    <w:snapToGrid w:val="0"/>
                    <w:jc w:val="center"/>
                    <w:rPr>
                      <w:b/>
                      <w:color w:val="000000"/>
                      <w:sz w:val="18"/>
                      <w:szCs w:val="18"/>
                    </w:rPr>
                  </w:pPr>
                  <w:r>
                    <w:rPr>
                      <w:b/>
                      <w:color w:val="000000"/>
                      <w:kern w:val="0"/>
                      <w:sz w:val="18"/>
                      <w:szCs w:val="18"/>
                    </w:rPr>
                    <w:t>危废类别</w:t>
                  </w:r>
                </w:p>
              </w:tc>
              <w:tc>
                <w:tcPr>
                  <w:tcW w:w="711" w:type="dxa"/>
                  <w:vAlign w:val="center"/>
                </w:tcPr>
                <w:p w14:paraId="618A6C46">
                  <w:pPr>
                    <w:adjustRightInd w:val="0"/>
                    <w:snapToGrid w:val="0"/>
                    <w:jc w:val="center"/>
                    <w:rPr>
                      <w:b/>
                      <w:color w:val="000000"/>
                      <w:sz w:val="18"/>
                      <w:szCs w:val="18"/>
                    </w:rPr>
                  </w:pPr>
                  <w:r>
                    <w:rPr>
                      <w:b/>
                      <w:color w:val="000000"/>
                      <w:kern w:val="0"/>
                      <w:sz w:val="18"/>
                      <w:szCs w:val="18"/>
                    </w:rPr>
                    <w:t>危废代码</w:t>
                  </w:r>
                </w:p>
              </w:tc>
              <w:tc>
                <w:tcPr>
                  <w:tcW w:w="729" w:type="dxa"/>
                  <w:vAlign w:val="center"/>
                </w:tcPr>
                <w:p w14:paraId="7732CF7F">
                  <w:pPr>
                    <w:adjustRightInd w:val="0"/>
                    <w:snapToGrid w:val="0"/>
                    <w:jc w:val="center"/>
                    <w:rPr>
                      <w:b/>
                      <w:color w:val="000000"/>
                      <w:sz w:val="18"/>
                      <w:szCs w:val="18"/>
                    </w:rPr>
                  </w:pPr>
                  <w:r>
                    <w:rPr>
                      <w:b/>
                      <w:color w:val="000000"/>
                      <w:kern w:val="0"/>
                      <w:sz w:val="18"/>
                      <w:szCs w:val="18"/>
                    </w:rPr>
                    <w:t>产生量（吨/年）</w:t>
                  </w:r>
                </w:p>
              </w:tc>
              <w:tc>
                <w:tcPr>
                  <w:tcW w:w="809" w:type="dxa"/>
                  <w:vAlign w:val="center"/>
                </w:tcPr>
                <w:p w14:paraId="0AFB6544">
                  <w:pPr>
                    <w:adjustRightInd w:val="0"/>
                    <w:snapToGrid w:val="0"/>
                    <w:jc w:val="center"/>
                    <w:rPr>
                      <w:b/>
                      <w:color w:val="000000"/>
                      <w:kern w:val="0"/>
                      <w:sz w:val="18"/>
                      <w:szCs w:val="18"/>
                    </w:rPr>
                  </w:pPr>
                  <w:r>
                    <w:rPr>
                      <w:b/>
                      <w:color w:val="000000"/>
                      <w:kern w:val="0"/>
                      <w:sz w:val="18"/>
                      <w:szCs w:val="18"/>
                    </w:rPr>
                    <w:t>产生工序及装置</w:t>
                  </w:r>
                </w:p>
              </w:tc>
              <w:tc>
                <w:tcPr>
                  <w:tcW w:w="358" w:type="dxa"/>
                  <w:vAlign w:val="center"/>
                </w:tcPr>
                <w:p w14:paraId="4097FC25">
                  <w:pPr>
                    <w:adjustRightInd w:val="0"/>
                    <w:snapToGrid w:val="0"/>
                    <w:jc w:val="center"/>
                    <w:rPr>
                      <w:b/>
                      <w:color w:val="000000"/>
                      <w:sz w:val="18"/>
                      <w:szCs w:val="18"/>
                    </w:rPr>
                  </w:pPr>
                  <w:r>
                    <w:rPr>
                      <w:b/>
                      <w:color w:val="000000"/>
                      <w:kern w:val="0"/>
                      <w:sz w:val="18"/>
                      <w:szCs w:val="18"/>
                    </w:rPr>
                    <w:t>形态</w:t>
                  </w:r>
                </w:p>
              </w:tc>
              <w:tc>
                <w:tcPr>
                  <w:tcW w:w="672" w:type="dxa"/>
                  <w:vAlign w:val="center"/>
                </w:tcPr>
                <w:p w14:paraId="3A7F3425">
                  <w:pPr>
                    <w:adjustRightInd w:val="0"/>
                    <w:snapToGrid w:val="0"/>
                    <w:jc w:val="center"/>
                    <w:rPr>
                      <w:b/>
                      <w:color w:val="000000"/>
                      <w:kern w:val="0"/>
                      <w:sz w:val="18"/>
                      <w:szCs w:val="18"/>
                    </w:rPr>
                  </w:pPr>
                  <w:r>
                    <w:rPr>
                      <w:b/>
                      <w:color w:val="000000"/>
                      <w:kern w:val="0"/>
                      <w:sz w:val="18"/>
                      <w:szCs w:val="18"/>
                    </w:rPr>
                    <w:t>主要成分</w:t>
                  </w:r>
                </w:p>
              </w:tc>
              <w:tc>
                <w:tcPr>
                  <w:tcW w:w="763" w:type="dxa"/>
                  <w:vAlign w:val="center"/>
                </w:tcPr>
                <w:p w14:paraId="41F0D62A">
                  <w:pPr>
                    <w:adjustRightInd w:val="0"/>
                    <w:snapToGrid w:val="0"/>
                    <w:jc w:val="center"/>
                    <w:rPr>
                      <w:b/>
                      <w:color w:val="000000"/>
                      <w:sz w:val="18"/>
                      <w:szCs w:val="18"/>
                    </w:rPr>
                  </w:pPr>
                  <w:r>
                    <w:rPr>
                      <w:b/>
                      <w:color w:val="000000"/>
                      <w:kern w:val="0"/>
                      <w:sz w:val="18"/>
                      <w:szCs w:val="18"/>
                    </w:rPr>
                    <w:t>有害成分</w:t>
                  </w:r>
                </w:p>
              </w:tc>
              <w:tc>
                <w:tcPr>
                  <w:tcW w:w="706" w:type="dxa"/>
                  <w:vAlign w:val="center"/>
                </w:tcPr>
                <w:p w14:paraId="131F6F48">
                  <w:pPr>
                    <w:adjustRightInd w:val="0"/>
                    <w:snapToGrid w:val="0"/>
                    <w:jc w:val="center"/>
                    <w:rPr>
                      <w:b/>
                      <w:color w:val="000000"/>
                      <w:sz w:val="18"/>
                      <w:szCs w:val="18"/>
                    </w:rPr>
                  </w:pPr>
                  <w:r>
                    <w:rPr>
                      <w:b/>
                      <w:color w:val="000000"/>
                      <w:kern w:val="0"/>
                      <w:sz w:val="18"/>
                      <w:szCs w:val="18"/>
                    </w:rPr>
                    <w:t>产废周期</w:t>
                  </w:r>
                </w:p>
              </w:tc>
              <w:tc>
                <w:tcPr>
                  <w:tcW w:w="548" w:type="dxa"/>
                  <w:vAlign w:val="center"/>
                </w:tcPr>
                <w:p w14:paraId="58D06B48">
                  <w:pPr>
                    <w:topLinePunct/>
                    <w:adjustRightInd w:val="0"/>
                    <w:snapToGrid w:val="0"/>
                    <w:jc w:val="center"/>
                    <w:rPr>
                      <w:b/>
                      <w:color w:val="000000"/>
                      <w:kern w:val="0"/>
                      <w:sz w:val="18"/>
                      <w:szCs w:val="18"/>
                    </w:rPr>
                  </w:pPr>
                  <w:r>
                    <w:rPr>
                      <w:b/>
                      <w:color w:val="000000"/>
                      <w:kern w:val="0"/>
                      <w:sz w:val="18"/>
                      <w:szCs w:val="18"/>
                    </w:rPr>
                    <w:t>危险</w:t>
                  </w:r>
                </w:p>
                <w:p w14:paraId="1DB11CF2">
                  <w:pPr>
                    <w:adjustRightInd w:val="0"/>
                    <w:snapToGrid w:val="0"/>
                    <w:jc w:val="center"/>
                    <w:rPr>
                      <w:b/>
                      <w:color w:val="000000"/>
                      <w:sz w:val="18"/>
                      <w:szCs w:val="18"/>
                    </w:rPr>
                  </w:pPr>
                  <w:r>
                    <w:rPr>
                      <w:b/>
                      <w:color w:val="000000"/>
                      <w:kern w:val="0"/>
                      <w:sz w:val="18"/>
                      <w:szCs w:val="18"/>
                    </w:rPr>
                    <w:t>特性</w:t>
                  </w:r>
                </w:p>
              </w:tc>
              <w:tc>
                <w:tcPr>
                  <w:tcW w:w="872" w:type="dxa"/>
                  <w:vAlign w:val="center"/>
                </w:tcPr>
                <w:p w14:paraId="4A906047">
                  <w:pPr>
                    <w:topLinePunct/>
                    <w:adjustRightInd w:val="0"/>
                    <w:snapToGrid w:val="0"/>
                    <w:jc w:val="center"/>
                    <w:rPr>
                      <w:b/>
                      <w:color w:val="000000"/>
                      <w:kern w:val="0"/>
                      <w:sz w:val="18"/>
                      <w:szCs w:val="18"/>
                    </w:rPr>
                  </w:pPr>
                  <w:r>
                    <w:rPr>
                      <w:b/>
                      <w:color w:val="000000"/>
                      <w:kern w:val="0"/>
                      <w:sz w:val="18"/>
                      <w:szCs w:val="18"/>
                    </w:rPr>
                    <w:t>污染防治措施</w:t>
                  </w:r>
                </w:p>
              </w:tc>
            </w:tr>
            <w:tr w14:paraId="6E264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300" w:type="dxa"/>
                  <w:vAlign w:val="center"/>
                </w:tcPr>
                <w:p w14:paraId="5667C796">
                  <w:pPr>
                    <w:adjustRightInd w:val="0"/>
                    <w:snapToGrid w:val="0"/>
                    <w:jc w:val="center"/>
                    <w:rPr>
                      <w:rFonts w:hint="eastAsia"/>
                      <w:color w:val="000000"/>
                      <w:sz w:val="18"/>
                      <w:szCs w:val="18"/>
                    </w:rPr>
                  </w:pPr>
                  <w:r>
                    <w:rPr>
                      <w:rFonts w:hint="eastAsia"/>
                      <w:color w:val="000000"/>
                      <w:sz w:val="18"/>
                      <w:szCs w:val="18"/>
                    </w:rPr>
                    <w:t>1</w:t>
                  </w:r>
                </w:p>
              </w:tc>
              <w:tc>
                <w:tcPr>
                  <w:tcW w:w="697" w:type="dxa"/>
                  <w:vAlign w:val="center"/>
                </w:tcPr>
                <w:p w14:paraId="3C82644D">
                  <w:pPr>
                    <w:pStyle w:val="82"/>
                    <w:spacing w:line="240" w:lineRule="auto"/>
                    <w:rPr>
                      <w:rFonts w:hint="eastAsia"/>
                      <w:bCs w:val="0"/>
                      <w:color w:val="000000"/>
                      <w:szCs w:val="18"/>
                      <w:u w:val="single"/>
                    </w:rPr>
                  </w:pPr>
                  <w:r>
                    <w:rPr>
                      <w:rFonts w:hint="eastAsia"/>
                      <w:bCs w:val="0"/>
                      <w:color w:val="000000"/>
                      <w:szCs w:val="18"/>
                      <w:u w:val="single"/>
                    </w:rPr>
                    <w:t>废润滑油</w:t>
                  </w:r>
                </w:p>
              </w:tc>
              <w:tc>
                <w:tcPr>
                  <w:tcW w:w="855" w:type="dxa"/>
                  <w:vMerge w:val="restart"/>
                  <w:vAlign w:val="center"/>
                </w:tcPr>
                <w:p w14:paraId="7CACDBBF">
                  <w:pPr>
                    <w:adjustRightInd w:val="0"/>
                    <w:snapToGrid w:val="0"/>
                    <w:jc w:val="center"/>
                    <w:rPr>
                      <w:rFonts w:hint="eastAsia"/>
                      <w:color w:val="000000"/>
                      <w:sz w:val="18"/>
                      <w:szCs w:val="18"/>
                      <w:u w:val="single"/>
                    </w:rPr>
                  </w:pPr>
                  <w:r>
                    <w:rPr>
                      <w:rFonts w:hint="eastAsia"/>
                      <w:color w:val="000000"/>
                      <w:sz w:val="18"/>
                      <w:szCs w:val="18"/>
                      <w:u w:val="single"/>
                    </w:rPr>
                    <w:t>HW08废矿物油与含矿物油废物</w:t>
                  </w:r>
                </w:p>
              </w:tc>
              <w:tc>
                <w:tcPr>
                  <w:tcW w:w="711" w:type="dxa"/>
                  <w:vAlign w:val="center"/>
                </w:tcPr>
                <w:p w14:paraId="02C876C1">
                  <w:pPr>
                    <w:adjustRightInd w:val="0"/>
                    <w:snapToGrid w:val="0"/>
                    <w:jc w:val="center"/>
                    <w:rPr>
                      <w:rFonts w:hint="eastAsia"/>
                      <w:color w:val="000000"/>
                      <w:kern w:val="0"/>
                      <w:sz w:val="18"/>
                      <w:szCs w:val="18"/>
                      <w:u w:val="single"/>
                    </w:rPr>
                  </w:pPr>
                  <w:r>
                    <w:rPr>
                      <w:color w:val="000000"/>
                      <w:kern w:val="0"/>
                      <w:sz w:val="18"/>
                      <w:szCs w:val="18"/>
                      <w:u w:val="single"/>
                    </w:rPr>
                    <w:t>900-217-08</w:t>
                  </w:r>
                </w:p>
              </w:tc>
              <w:tc>
                <w:tcPr>
                  <w:tcW w:w="729" w:type="dxa"/>
                  <w:vAlign w:val="center"/>
                </w:tcPr>
                <w:p w14:paraId="4B8BC3E8">
                  <w:pPr>
                    <w:pStyle w:val="82"/>
                    <w:spacing w:line="240" w:lineRule="auto"/>
                    <w:rPr>
                      <w:rFonts w:hint="eastAsia"/>
                      <w:color w:val="000000"/>
                      <w:szCs w:val="18"/>
                      <w:u w:val="single"/>
                    </w:rPr>
                  </w:pPr>
                  <w:r>
                    <w:rPr>
                      <w:rFonts w:hint="eastAsia"/>
                      <w:color w:val="000000"/>
                      <w:szCs w:val="18"/>
                      <w:u w:val="single"/>
                    </w:rPr>
                    <w:t>0.05</w:t>
                  </w:r>
                </w:p>
              </w:tc>
              <w:tc>
                <w:tcPr>
                  <w:tcW w:w="809" w:type="dxa"/>
                  <w:vAlign w:val="center"/>
                </w:tcPr>
                <w:p w14:paraId="4A2B4139">
                  <w:pPr>
                    <w:pStyle w:val="82"/>
                    <w:spacing w:line="240" w:lineRule="auto"/>
                    <w:rPr>
                      <w:rFonts w:hint="eastAsia"/>
                      <w:color w:val="000000"/>
                      <w:szCs w:val="18"/>
                      <w:u w:val="single"/>
                    </w:rPr>
                  </w:pPr>
                  <w:r>
                    <w:rPr>
                      <w:rFonts w:hint="eastAsia"/>
                      <w:color w:val="000000"/>
                      <w:szCs w:val="18"/>
                      <w:u w:val="single"/>
                    </w:rPr>
                    <w:t>设备维修保养</w:t>
                  </w:r>
                </w:p>
              </w:tc>
              <w:tc>
                <w:tcPr>
                  <w:tcW w:w="358" w:type="dxa"/>
                  <w:vAlign w:val="center"/>
                </w:tcPr>
                <w:p w14:paraId="7CF08850">
                  <w:pPr>
                    <w:pStyle w:val="82"/>
                    <w:spacing w:line="240" w:lineRule="auto"/>
                    <w:rPr>
                      <w:rFonts w:hint="eastAsia"/>
                      <w:color w:val="000000"/>
                      <w:szCs w:val="18"/>
                      <w:u w:val="single"/>
                    </w:rPr>
                  </w:pPr>
                  <w:r>
                    <w:rPr>
                      <w:rFonts w:hint="eastAsia"/>
                      <w:color w:val="000000"/>
                      <w:szCs w:val="18"/>
                      <w:u w:val="single"/>
                    </w:rPr>
                    <w:t>液态</w:t>
                  </w:r>
                </w:p>
              </w:tc>
              <w:tc>
                <w:tcPr>
                  <w:tcW w:w="672" w:type="dxa"/>
                  <w:vAlign w:val="center"/>
                </w:tcPr>
                <w:p w14:paraId="48FEE614">
                  <w:pPr>
                    <w:pStyle w:val="82"/>
                    <w:spacing w:line="240" w:lineRule="auto"/>
                    <w:rPr>
                      <w:color w:val="000000"/>
                      <w:szCs w:val="18"/>
                      <w:u w:val="single"/>
                    </w:rPr>
                  </w:pPr>
                  <w:r>
                    <w:rPr>
                      <w:color w:val="000000"/>
                      <w:szCs w:val="18"/>
                      <w:u w:val="single"/>
                    </w:rPr>
                    <w:t>润滑油</w:t>
                  </w:r>
                </w:p>
              </w:tc>
              <w:tc>
                <w:tcPr>
                  <w:tcW w:w="763" w:type="dxa"/>
                  <w:vAlign w:val="center"/>
                </w:tcPr>
                <w:p w14:paraId="7A993D4D">
                  <w:pPr>
                    <w:pStyle w:val="82"/>
                    <w:spacing w:line="240" w:lineRule="auto"/>
                    <w:rPr>
                      <w:rFonts w:hint="eastAsia"/>
                      <w:color w:val="000000"/>
                      <w:szCs w:val="18"/>
                      <w:u w:val="single"/>
                    </w:rPr>
                  </w:pPr>
                  <w:r>
                    <w:rPr>
                      <w:rFonts w:hint="eastAsia"/>
                      <w:color w:val="000000"/>
                      <w:szCs w:val="18"/>
                      <w:u w:val="single"/>
                    </w:rPr>
                    <w:t>润滑油</w:t>
                  </w:r>
                </w:p>
              </w:tc>
              <w:tc>
                <w:tcPr>
                  <w:tcW w:w="706" w:type="dxa"/>
                  <w:vAlign w:val="center"/>
                </w:tcPr>
                <w:p w14:paraId="1CF67BFD">
                  <w:pPr>
                    <w:pStyle w:val="82"/>
                    <w:spacing w:line="240" w:lineRule="auto"/>
                    <w:rPr>
                      <w:rFonts w:hint="eastAsia"/>
                      <w:color w:val="000000"/>
                      <w:szCs w:val="18"/>
                      <w:u w:val="single"/>
                    </w:rPr>
                  </w:pPr>
                  <w:r>
                    <w:rPr>
                      <w:rFonts w:hint="eastAsia"/>
                      <w:color w:val="000000"/>
                      <w:szCs w:val="18"/>
                      <w:u w:val="single"/>
                    </w:rPr>
                    <w:t>每月</w:t>
                  </w:r>
                </w:p>
              </w:tc>
              <w:tc>
                <w:tcPr>
                  <w:tcW w:w="548" w:type="dxa"/>
                  <w:vAlign w:val="center"/>
                </w:tcPr>
                <w:p w14:paraId="649BBCAE">
                  <w:pPr>
                    <w:pStyle w:val="82"/>
                    <w:spacing w:line="240" w:lineRule="auto"/>
                    <w:rPr>
                      <w:u w:val="single"/>
                    </w:rPr>
                  </w:pPr>
                  <w:r>
                    <w:rPr>
                      <w:rFonts w:hint="eastAsia"/>
                      <w:color w:val="000000"/>
                      <w:szCs w:val="18"/>
                      <w:u w:val="single"/>
                    </w:rPr>
                    <w:t>T，I</w:t>
                  </w:r>
                </w:p>
              </w:tc>
              <w:tc>
                <w:tcPr>
                  <w:tcW w:w="872" w:type="dxa"/>
                  <w:vMerge w:val="restart"/>
                  <w:vAlign w:val="center"/>
                </w:tcPr>
                <w:p w14:paraId="43D4A722">
                  <w:pPr>
                    <w:adjustRightInd w:val="0"/>
                    <w:snapToGrid w:val="0"/>
                    <w:jc w:val="center"/>
                    <w:rPr>
                      <w:rFonts w:hint="eastAsia"/>
                      <w:color w:val="000000"/>
                      <w:kern w:val="0"/>
                      <w:sz w:val="18"/>
                      <w:szCs w:val="18"/>
                    </w:rPr>
                  </w:pPr>
                  <w:r>
                    <w:rPr>
                      <w:rFonts w:hint="eastAsia"/>
                      <w:color w:val="000000"/>
                      <w:kern w:val="0"/>
                      <w:sz w:val="18"/>
                      <w:szCs w:val="18"/>
                    </w:rPr>
                    <w:t>置于密闭容器内在厂内危废暂存间暂存，定期交有资质的单位回收处置</w:t>
                  </w:r>
                </w:p>
              </w:tc>
            </w:tr>
            <w:tr w14:paraId="05C6E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300" w:type="dxa"/>
                  <w:vAlign w:val="center"/>
                </w:tcPr>
                <w:p w14:paraId="0E80DD5E">
                  <w:pPr>
                    <w:adjustRightInd w:val="0"/>
                    <w:snapToGrid w:val="0"/>
                    <w:jc w:val="center"/>
                    <w:rPr>
                      <w:rFonts w:hint="eastAsia"/>
                      <w:color w:val="000000"/>
                      <w:sz w:val="18"/>
                      <w:szCs w:val="18"/>
                    </w:rPr>
                  </w:pPr>
                  <w:r>
                    <w:rPr>
                      <w:rFonts w:hint="eastAsia"/>
                      <w:color w:val="000000"/>
                      <w:sz w:val="18"/>
                      <w:szCs w:val="18"/>
                    </w:rPr>
                    <w:t>2</w:t>
                  </w:r>
                </w:p>
              </w:tc>
              <w:tc>
                <w:tcPr>
                  <w:tcW w:w="697" w:type="dxa"/>
                  <w:vAlign w:val="center"/>
                </w:tcPr>
                <w:p w14:paraId="2198D604">
                  <w:pPr>
                    <w:pStyle w:val="82"/>
                    <w:spacing w:line="240" w:lineRule="auto"/>
                    <w:rPr>
                      <w:rFonts w:hint="eastAsia"/>
                      <w:bCs w:val="0"/>
                      <w:color w:val="000000"/>
                      <w:szCs w:val="18"/>
                      <w:u w:val="single"/>
                    </w:rPr>
                  </w:pPr>
                  <w:r>
                    <w:rPr>
                      <w:rFonts w:hint="eastAsia"/>
                      <w:bCs w:val="0"/>
                      <w:color w:val="000000"/>
                      <w:szCs w:val="18"/>
                      <w:u w:val="single"/>
                    </w:rPr>
                    <w:t>废润滑油包装桶</w:t>
                  </w:r>
                </w:p>
              </w:tc>
              <w:tc>
                <w:tcPr>
                  <w:tcW w:w="855" w:type="dxa"/>
                  <w:vMerge w:val="continue"/>
                  <w:vAlign w:val="center"/>
                </w:tcPr>
                <w:p w14:paraId="5FE51DF0">
                  <w:pPr>
                    <w:adjustRightInd w:val="0"/>
                    <w:snapToGrid w:val="0"/>
                    <w:jc w:val="center"/>
                    <w:rPr>
                      <w:rFonts w:hint="eastAsia"/>
                      <w:color w:val="000000"/>
                      <w:sz w:val="18"/>
                      <w:szCs w:val="18"/>
                      <w:u w:val="single"/>
                    </w:rPr>
                  </w:pPr>
                </w:p>
              </w:tc>
              <w:tc>
                <w:tcPr>
                  <w:tcW w:w="711" w:type="dxa"/>
                  <w:vAlign w:val="center"/>
                </w:tcPr>
                <w:p w14:paraId="6B20F51A">
                  <w:pPr>
                    <w:adjustRightInd w:val="0"/>
                    <w:snapToGrid w:val="0"/>
                    <w:jc w:val="center"/>
                    <w:rPr>
                      <w:rFonts w:hint="eastAsia"/>
                      <w:color w:val="000000"/>
                      <w:kern w:val="0"/>
                      <w:sz w:val="18"/>
                      <w:szCs w:val="18"/>
                      <w:u w:val="single"/>
                    </w:rPr>
                  </w:pPr>
                  <w:r>
                    <w:rPr>
                      <w:color w:val="000000"/>
                      <w:kern w:val="0"/>
                      <w:sz w:val="18"/>
                      <w:szCs w:val="18"/>
                      <w:u w:val="single"/>
                    </w:rPr>
                    <w:t>900-249-08</w:t>
                  </w:r>
                </w:p>
              </w:tc>
              <w:tc>
                <w:tcPr>
                  <w:tcW w:w="729" w:type="dxa"/>
                  <w:vAlign w:val="center"/>
                </w:tcPr>
                <w:p w14:paraId="4C6CFF2A">
                  <w:pPr>
                    <w:pStyle w:val="82"/>
                    <w:spacing w:line="240" w:lineRule="auto"/>
                    <w:rPr>
                      <w:rFonts w:hint="eastAsia"/>
                      <w:color w:val="000000"/>
                      <w:szCs w:val="18"/>
                      <w:u w:val="single"/>
                    </w:rPr>
                  </w:pPr>
                  <w:r>
                    <w:rPr>
                      <w:rFonts w:hint="eastAsia"/>
                      <w:color w:val="000000"/>
                      <w:szCs w:val="18"/>
                      <w:u w:val="single"/>
                    </w:rPr>
                    <w:t>0.005</w:t>
                  </w:r>
                </w:p>
              </w:tc>
              <w:tc>
                <w:tcPr>
                  <w:tcW w:w="809" w:type="dxa"/>
                  <w:vAlign w:val="center"/>
                </w:tcPr>
                <w:p w14:paraId="60C4BABA">
                  <w:pPr>
                    <w:pStyle w:val="82"/>
                    <w:spacing w:line="240" w:lineRule="auto"/>
                    <w:rPr>
                      <w:rFonts w:hint="eastAsia"/>
                      <w:color w:val="000000"/>
                      <w:szCs w:val="18"/>
                      <w:u w:val="single"/>
                    </w:rPr>
                  </w:pPr>
                  <w:r>
                    <w:rPr>
                      <w:rFonts w:hint="eastAsia"/>
                      <w:color w:val="000000"/>
                      <w:szCs w:val="18"/>
                      <w:u w:val="single"/>
                    </w:rPr>
                    <w:t>润滑油使用</w:t>
                  </w:r>
                </w:p>
              </w:tc>
              <w:tc>
                <w:tcPr>
                  <w:tcW w:w="358" w:type="dxa"/>
                  <w:vAlign w:val="center"/>
                </w:tcPr>
                <w:p w14:paraId="7284C636">
                  <w:pPr>
                    <w:pStyle w:val="82"/>
                    <w:spacing w:line="240" w:lineRule="auto"/>
                    <w:rPr>
                      <w:rFonts w:hint="eastAsia"/>
                      <w:color w:val="000000"/>
                      <w:szCs w:val="18"/>
                      <w:u w:val="single"/>
                    </w:rPr>
                  </w:pPr>
                  <w:r>
                    <w:rPr>
                      <w:rFonts w:hint="eastAsia"/>
                      <w:color w:val="000000"/>
                      <w:szCs w:val="18"/>
                      <w:u w:val="single"/>
                    </w:rPr>
                    <w:t>固态</w:t>
                  </w:r>
                </w:p>
              </w:tc>
              <w:tc>
                <w:tcPr>
                  <w:tcW w:w="672" w:type="dxa"/>
                  <w:vAlign w:val="center"/>
                </w:tcPr>
                <w:p w14:paraId="1425066C">
                  <w:pPr>
                    <w:pStyle w:val="82"/>
                    <w:spacing w:line="240" w:lineRule="auto"/>
                    <w:rPr>
                      <w:color w:val="000000"/>
                      <w:szCs w:val="18"/>
                      <w:u w:val="single"/>
                    </w:rPr>
                  </w:pPr>
                  <w:r>
                    <w:rPr>
                      <w:color w:val="000000"/>
                      <w:szCs w:val="18"/>
                      <w:u w:val="single"/>
                    </w:rPr>
                    <w:t>润滑油</w:t>
                  </w:r>
                  <w:r>
                    <w:rPr>
                      <w:rFonts w:hint="eastAsia"/>
                      <w:color w:val="000000"/>
                      <w:szCs w:val="18"/>
                      <w:u w:val="single"/>
                    </w:rPr>
                    <w:t>、</w:t>
                  </w:r>
                  <w:r>
                    <w:rPr>
                      <w:color w:val="000000"/>
                      <w:szCs w:val="18"/>
                      <w:u w:val="single"/>
                    </w:rPr>
                    <w:t>包装桶</w:t>
                  </w:r>
                </w:p>
              </w:tc>
              <w:tc>
                <w:tcPr>
                  <w:tcW w:w="763" w:type="dxa"/>
                  <w:vAlign w:val="center"/>
                </w:tcPr>
                <w:p w14:paraId="1B793E72">
                  <w:pPr>
                    <w:pStyle w:val="82"/>
                    <w:spacing w:line="240" w:lineRule="auto"/>
                    <w:rPr>
                      <w:rFonts w:hint="eastAsia"/>
                      <w:color w:val="000000"/>
                      <w:szCs w:val="18"/>
                      <w:u w:val="single"/>
                    </w:rPr>
                  </w:pPr>
                  <w:r>
                    <w:rPr>
                      <w:rFonts w:hint="eastAsia"/>
                      <w:color w:val="000000"/>
                      <w:szCs w:val="18"/>
                      <w:u w:val="single"/>
                    </w:rPr>
                    <w:t>润滑油</w:t>
                  </w:r>
                </w:p>
              </w:tc>
              <w:tc>
                <w:tcPr>
                  <w:tcW w:w="706" w:type="dxa"/>
                  <w:vAlign w:val="center"/>
                </w:tcPr>
                <w:p w14:paraId="5833DCDD">
                  <w:pPr>
                    <w:pStyle w:val="82"/>
                    <w:spacing w:line="240" w:lineRule="auto"/>
                    <w:rPr>
                      <w:rFonts w:hint="eastAsia"/>
                      <w:color w:val="000000"/>
                      <w:szCs w:val="18"/>
                      <w:u w:val="single"/>
                    </w:rPr>
                  </w:pPr>
                  <w:r>
                    <w:rPr>
                      <w:rFonts w:hint="eastAsia"/>
                      <w:color w:val="000000"/>
                      <w:szCs w:val="18"/>
                      <w:u w:val="single"/>
                    </w:rPr>
                    <w:t>每月</w:t>
                  </w:r>
                </w:p>
              </w:tc>
              <w:tc>
                <w:tcPr>
                  <w:tcW w:w="548" w:type="dxa"/>
                  <w:vAlign w:val="center"/>
                </w:tcPr>
                <w:p w14:paraId="2A54728E">
                  <w:pPr>
                    <w:pStyle w:val="82"/>
                    <w:spacing w:line="240" w:lineRule="auto"/>
                    <w:rPr>
                      <w:color w:val="000000"/>
                      <w:szCs w:val="18"/>
                      <w:u w:val="single"/>
                    </w:rPr>
                  </w:pPr>
                  <w:r>
                    <w:rPr>
                      <w:rFonts w:hint="eastAsia"/>
                      <w:color w:val="000000"/>
                      <w:szCs w:val="18"/>
                      <w:u w:val="single"/>
                    </w:rPr>
                    <w:t>T，I</w:t>
                  </w:r>
                </w:p>
              </w:tc>
              <w:tc>
                <w:tcPr>
                  <w:tcW w:w="872" w:type="dxa"/>
                  <w:vMerge w:val="continue"/>
                  <w:vAlign w:val="center"/>
                </w:tcPr>
                <w:p w14:paraId="64D871EF">
                  <w:pPr>
                    <w:adjustRightInd w:val="0"/>
                    <w:snapToGrid w:val="0"/>
                    <w:jc w:val="center"/>
                    <w:rPr>
                      <w:rFonts w:hint="eastAsia"/>
                      <w:color w:val="000000"/>
                      <w:kern w:val="0"/>
                      <w:sz w:val="18"/>
                      <w:szCs w:val="18"/>
                    </w:rPr>
                  </w:pPr>
                </w:p>
              </w:tc>
            </w:tr>
            <w:tr w14:paraId="710C3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300" w:type="dxa"/>
                  <w:vAlign w:val="center"/>
                </w:tcPr>
                <w:p w14:paraId="23DBB5CC">
                  <w:pPr>
                    <w:adjustRightInd w:val="0"/>
                    <w:snapToGrid w:val="0"/>
                    <w:jc w:val="center"/>
                    <w:rPr>
                      <w:color w:val="000000"/>
                      <w:sz w:val="18"/>
                      <w:szCs w:val="18"/>
                    </w:rPr>
                  </w:pPr>
                  <w:r>
                    <w:rPr>
                      <w:rFonts w:hint="eastAsia"/>
                      <w:color w:val="000000"/>
                      <w:sz w:val="18"/>
                      <w:szCs w:val="18"/>
                    </w:rPr>
                    <w:t>3</w:t>
                  </w:r>
                </w:p>
              </w:tc>
              <w:tc>
                <w:tcPr>
                  <w:tcW w:w="697" w:type="dxa"/>
                  <w:vAlign w:val="center"/>
                </w:tcPr>
                <w:p w14:paraId="7C077847">
                  <w:pPr>
                    <w:pStyle w:val="82"/>
                    <w:spacing w:line="240" w:lineRule="auto"/>
                    <w:rPr>
                      <w:bCs w:val="0"/>
                      <w:color w:val="000000"/>
                      <w:szCs w:val="18"/>
                      <w:u w:val="single"/>
                    </w:rPr>
                  </w:pPr>
                  <w:r>
                    <w:rPr>
                      <w:rFonts w:hint="eastAsia"/>
                      <w:bCs w:val="0"/>
                      <w:color w:val="000000"/>
                      <w:szCs w:val="18"/>
                      <w:u w:val="single"/>
                    </w:rPr>
                    <w:t>沾染胶的废塑料膜和废胶桶</w:t>
                  </w:r>
                </w:p>
              </w:tc>
              <w:tc>
                <w:tcPr>
                  <w:tcW w:w="855" w:type="dxa"/>
                  <w:vAlign w:val="center"/>
                </w:tcPr>
                <w:p w14:paraId="72451196">
                  <w:pPr>
                    <w:adjustRightInd w:val="0"/>
                    <w:snapToGrid w:val="0"/>
                    <w:jc w:val="center"/>
                    <w:rPr>
                      <w:color w:val="000000"/>
                      <w:sz w:val="18"/>
                      <w:szCs w:val="18"/>
                    </w:rPr>
                  </w:pPr>
                  <w:r>
                    <w:rPr>
                      <w:rFonts w:hint="eastAsia"/>
                      <w:color w:val="000000"/>
                      <w:sz w:val="18"/>
                      <w:szCs w:val="18"/>
                    </w:rPr>
                    <w:t>HW49其他废物</w:t>
                  </w:r>
                </w:p>
              </w:tc>
              <w:tc>
                <w:tcPr>
                  <w:tcW w:w="711" w:type="dxa"/>
                  <w:vAlign w:val="center"/>
                </w:tcPr>
                <w:p w14:paraId="6D07B0C8">
                  <w:pPr>
                    <w:adjustRightInd w:val="0"/>
                    <w:snapToGrid w:val="0"/>
                    <w:jc w:val="center"/>
                    <w:rPr>
                      <w:color w:val="000000"/>
                      <w:kern w:val="0"/>
                      <w:sz w:val="18"/>
                      <w:szCs w:val="18"/>
                    </w:rPr>
                  </w:pPr>
                  <w:r>
                    <w:rPr>
                      <w:rFonts w:hint="eastAsia"/>
                      <w:color w:val="000000"/>
                      <w:kern w:val="0"/>
                      <w:sz w:val="18"/>
                      <w:szCs w:val="18"/>
                    </w:rPr>
                    <w:t>900-041-49</w:t>
                  </w:r>
                </w:p>
              </w:tc>
              <w:tc>
                <w:tcPr>
                  <w:tcW w:w="729" w:type="dxa"/>
                  <w:vAlign w:val="center"/>
                </w:tcPr>
                <w:p w14:paraId="38AA2346">
                  <w:pPr>
                    <w:pStyle w:val="82"/>
                    <w:spacing w:line="240" w:lineRule="auto"/>
                    <w:rPr>
                      <w:color w:val="000000"/>
                      <w:szCs w:val="18"/>
                      <w:u w:val="single"/>
                    </w:rPr>
                  </w:pPr>
                  <w:r>
                    <w:rPr>
                      <w:rFonts w:hint="eastAsia"/>
                      <w:color w:val="000000"/>
                      <w:szCs w:val="18"/>
                      <w:u w:val="single"/>
                    </w:rPr>
                    <w:t>0.75</w:t>
                  </w:r>
                </w:p>
              </w:tc>
              <w:tc>
                <w:tcPr>
                  <w:tcW w:w="809" w:type="dxa"/>
                  <w:vAlign w:val="center"/>
                </w:tcPr>
                <w:p w14:paraId="54E85872">
                  <w:pPr>
                    <w:pStyle w:val="82"/>
                    <w:spacing w:line="240" w:lineRule="auto"/>
                    <w:rPr>
                      <w:color w:val="000000"/>
                      <w:szCs w:val="18"/>
                    </w:rPr>
                  </w:pPr>
                  <w:r>
                    <w:rPr>
                      <w:color w:val="000000"/>
                      <w:szCs w:val="18"/>
                    </w:rPr>
                    <w:t>密封胶使用</w:t>
                  </w:r>
                </w:p>
              </w:tc>
              <w:tc>
                <w:tcPr>
                  <w:tcW w:w="358" w:type="dxa"/>
                  <w:vAlign w:val="center"/>
                </w:tcPr>
                <w:p w14:paraId="24BDDEDE">
                  <w:pPr>
                    <w:pStyle w:val="82"/>
                    <w:spacing w:line="240" w:lineRule="auto"/>
                    <w:rPr>
                      <w:color w:val="000000"/>
                      <w:szCs w:val="18"/>
                    </w:rPr>
                  </w:pPr>
                  <w:r>
                    <w:rPr>
                      <w:rFonts w:hint="eastAsia"/>
                      <w:color w:val="000000"/>
                      <w:szCs w:val="18"/>
                    </w:rPr>
                    <w:t>固态</w:t>
                  </w:r>
                </w:p>
              </w:tc>
              <w:tc>
                <w:tcPr>
                  <w:tcW w:w="672" w:type="dxa"/>
                  <w:vAlign w:val="center"/>
                </w:tcPr>
                <w:p w14:paraId="588FE6D9">
                  <w:pPr>
                    <w:pStyle w:val="82"/>
                    <w:spacing w:line="240" w:lineRule="auto"/>
                    <w:rPr>
                      <w:color w:val="000000"/>
                      <w:szCs w:val="18"/>
                    </w:rPr>
                  </w:pPr>
                  <w:r>
                    <w:rPr>
                      <w:color w:val="000000"/>
                      <w:szCs w:val="18"/>
                    </w:rPr>
                    <w:t>胶</w:t>
                  </w:r>
                  <w:r>
                    <w:rPr>
                      <w:rFonts w:hint="eastAsia"/>
                      <w:color w:val="000000"/>
                      <w:szCs w:val="18"/>
                    </w:rPr>
                    <w:t>、塑料膜、</w:t>
                  </w:r>
                  <w:r>
                    <w:rPr>
                      <w:color w:val="000000"/>
                      <w:szCs w:val="18"/>
                    </w:rPr>
                    <w:t>包装桶</w:t>
                  </w:r>
                </w:p>
              </w:tc>
              <w:tc>
                <w:tcPr>
                  <w:tcW w:w="763" w:type="dxa"/>
                  <w:vAlign w:val="center"/>
                </w:tcPr>
                <w:p w14:paraId="308254AD">
                  <w:pPr>
                    <w:pStyle w:val="82"/>
                    <w:spacing w:line="240" w:lineRule="auto"/>
                    <w:rPr>
                      <w:color w:val="000000"/>
                      <w:szCs w:val="18"/>
                    </w:rPr>
                  </w:pPr>
                  <w:r>
                    <w:rPr>
                      <w:rFonts w:hint="eastAsia"/>
                      <w:color w:val="000000"/>
                      <w:szCs w:val="18"/>
                    </w:rPr>
                    <w:t>胶</w:t>
                  </w:r>
                </w:p>
              </w:tc>
              <w:tc>
                <w:tcPr>
                  <w:tcW w:w="706" w:type="dxa"/>
                  <w:vAlign w:val="center"/>
                </w:tcPr>
                <w:p w14:paraId="60DD39B3">
                  <w:pPr>
                    <w:pStyle w:val="82"/>
                    <w:spacing w:line="240" w:lineRule="auto"/>
                    <w:rPr>
                      <w:color w:val="000000"/>
                      <w:szCs w:val="18"/>
                    </w:rPr>
                  </w:pPr>
                  <w:r>
                    <w:rPr>
                      <w:rFonts w:hint="eastAsia"/>
                      <w:color w:val="000000"/>
                      <w:szCs w:val="18"/>
                    </w:rPr>
                    <w:t>每月</w:t>
                  </w:r>
                </w:p>
              </w:tc>
              <w:tc>
                <w:tcPr>
                  <w:tcW w:w="548" w:type="dxa"/>
                  <w:vAlign w:val="center"/>
                </w:tcPr>
                <w:p w14:paraId="218B30E3">
                  <w:pPr>
                    <w:pStyle w:val="82"/>
                    <w:spacing w:line="240" w:lineRule="auto"/>
                    <w:rPr>
                      <w:color w:val="000000"/>
                      <w:szCs w:val="18"/>
                    </w:rPr>
                  </w:pPr>
                  <w:r>
                    <w:rPr>
                      <w:color w:val="000000"/>
                      <w:szCs w:val="18"/>
                    </w:rPr>
                    <w:t>T/In</w:t>
                  </w:r>
                </w:p>
              </w:tc>
              <w:tc>
                <w:tcPr>
                  <w:tcW w:w="872" w:type="dxa"/>
                  <w:vMerge w:val="continue"/>
                  <w:vAlign w:val="center"/>
                </w:tcPr>
                <w:p w14:paraId="02DDD70A">
                  <w:pPr>
                    <w:adjustRightInd w:val="0"/>
                    <w:snapToGrid w:val="0"/>
                    <w:jc w:val="center"/>
                    <w:rPr>
                      <w:color w:val="000000"/>
                      <w:kern w:val="0"/>
                      <w:sz w:val="18"/>
                      <w:szCs w:val="18"/>
                    </w:rPr>
                  </w:pPr>
                </w:p>
              </w:tc>
            </w:tr>
            <w:tr w14:paraId="714AB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300" w:type="dxa"/>
                  <w:vAlign w:val="center"/>
                </w:tcPr>
                <w:p w14:paraId="7C1F4144">
                  <w:pPr>
                    <w:adjustRightInd w:val="0"/>
                    <w:snapToGrid w:val="0"/>
                    <w:jc w:val="center"/>
                    <w:rPr>
                      <w:color w:val="000000"/>
                      <w:sz w:val="18"/>
                      <w:szCs w:val="18"/>
                    </w:rPr>
                  </w:pPr>
                  <w:r>
                    <w:rPr>
                      <w:rFonts w:hint="eastAsia"/>
                      <w:color w:val="000000"/>
                      <w:sz w:val="18"/>
                      <w:szCs w:val="18"/>
                    </w:rPr>
                    <w:t>4</w:t>
                  </w:r>
                </w:p>
              </w:tc>
              <w:tc>
                <w:tcPr>
                  <w:tcW w:w="697" w:type="dxa"/>
                  <w:vAlign w:val="center"/>
                </w:tcPr>
                <w:p w14:paraId="7575FF73">
                  <w:pPr>
                    <w:pStyle w:val="82"/>
                    <w:spacing w:line="240" w:lineRule="auto"/>
                    <w:rPr>
                      <w:bCs w:val="0"/>
                      <w:color w:val="000000"/>
                      <w:szCs w:val="18"/>
                    </w:rPr>
                  </w:pPr>
                  <w:r>
                    <w:rPr>
                      <w:rFonts w:hint="eastAsia"/>
                      <w:bCs w:val="0"/>
                      <w:color w:val="000000"/>
                      <w:szCs w:val="18"/>
                    </w:rPr>
                    <w:t>废活性炭</w:t>
                  </w:r>
                </w:p>
              </w:tc>
              <w:tc>
                <w:tcPr>
                  <w:tcW w:w="855" w:type="dxa"/>
                  <w:vAlign w:val="center"/>
                </w:tcPr>
                <w:p w14:paraId="7C0BC352">
                  <w:pPr>
                    <w:adjustRightInd w:val="0"/>
                    <w:snapToGrid w:val="0"/>
                    <w:jc w:val="center"/>
                    <w:rPr>
                      <w:color w:val="000000"/>
                      <w:sz w:val="18"/>
                      <w:szCs w:val="18"/>
                    </w:rPr>
                  </w:pPr>
                  <w:r>
                    <w:rPr>
                      <w:rFonts w:hint="eastAsia"/>
                      <w:color w:val="000000"/>
                      <w:sz w:val="18"/>
                      <w:szCs w:val="18"/>
                    </w:rPr>
                    <w:t>HW49其他废物</w:t>
                  </w:r>
                </w:p>
              </w:tc>
              <w:tc>
                <w:tcPr>
                  <w:tcW w:w="711" w:type="dxa"/>
                  <w:vAlign w:val="center"/>
                </w:tcPr>
                <w:p w14:paraId="7C34A2AD">
                  <w:pPr>
                    <w:adjustRightInd w:val="0"/>
                    <w:snapToGrid w:val="0"/>
                    <w:jc w:val="center"/>
                    <w:rPr>
                      <w:color w:val="000000"/>
                      <w:kern w:val="0"/>
                      <w:sz w:val="18"/>
                      <w:szCs w:val="18"/>
                    </w:rPr>
                  </w:pPr>
                  <w:r>
                    <w:rPr>
                      <w:color w:val="000000"/>
                      <w:kern w:val="0"/>
                      <w:sz w:val="18"/>
                      <w:szCs w:val="18"/>
                    </w:rPr>
                    <w:t>900-039-49</w:t>
                  </w:r>
                </w:p>
              </w:tc>
              <w:tc>
                <w:tcPr>
                  <w:tcW w:w="729" w:type="dxa"/>
                  <w:vAlign w:val="center"/>
                </w:tcPr>
                <w:p w14:paraId="5AB0297E">
                  <w:pPr>
                    <w:pStyle w:val="82"/>
                    <w:spacing w:line="240" w:lineRule="auto"/>
                    <w:rPr>
                      <w:color w:val="000000"/>
                      <w:szCs w:val="18"/>
                      <w:u w:val="single"/>
                    </w:rPr>
                  </w:pPr>
                  <w:r>
                    <w:rPr>
                      <w:rFonts w:hint="eastAsia"/>
                      <w:color w:val="000000"/>
                      <w:szCs w:val="18"/>
                      <w:u w:val="single"/>
                    </w:rPr>
                    <w:t>1t/2a</w:t>
                  </w:r>
                </w:p>
              </w:tc>
              <w:tc>
                <w:tcPr>
                  <w:tcW w:w="809" w:type="dxa"/>
                  <w:vAlign w:val="center"/>
                </w:tcPr>
                <w:p w14:paraId="668202AA">
                  <w:pPr>
                    <w:pStyle w:val="82"/>
                    <w:spacing w:line="240" w:lineRule="auto"/>
                    <w:rPr>
                      <w:color w:val="000000"/>
                      <w:szCs w:val="18"/>
                    </w:rPr>
                  </w:pPr>
                  <w:r>
                    <w:rPr>
                      <w:rFonts w:hint="eastAsia"/>
                      <w:color w:val="000000"/>
                      <w:szCs w:val="18"/>
                    </w:rPr>
                    <w:t>活性炭吸附</w:t>
                  </w:r>
                </w:p>
              </w:tc>
              <w:tc>
                <w:tcPr>
                  <w:tcW w:w="358" w:type="dxa"/>
                  <w:vAlign w:val="center"/>
                </w:tcPr>
                <w:p w14:paraId="54C94408">
                  <w:pPr>
                    <w:pStyle w:val="82"/>
                    <w:spacing w:line="240" w:lineRule="auto"/>
                    <w:rPr>
                      <w:color w:val="000000"/>
                      <w:szCs w:val="18"/>
                    </w:rPr>
                  </w:pPr>
                  <w:r>
                    <w:rPr>
                      <w:rFonts w:hint="eastAsia"/>
                      <w:color w:val="000000"/>
                      <w:szCs w:val="18"/>
                    </w:rPr>
                    <w:t>固态</w:t>
                  </w:r>
                </w:p>
              </w:tc>
              <w:tc>
                <w:tcPr>
                  <w:tcW w:w="672" w:type="dxa"/>
                  <w:vAlign w:val="center"/>
                </w:tcPr>
                <w:p w14:paraId="3BA512DF">
                  <w:pPr>
                    <w:pStyle w:val="82"/>
                    <w:spacing w:line="240" w:lineRule="auto"/>
                    <w:rPr>
                      <w:color w:val="000000"/>
                      <w:szCs w:val="18"/>
                    </w:rPr>
                  </w:pPr>
                  <w:r>
                    <w:rPr>
                      <w:rFonts w:hint="eastAsia"/>
                      <w:color w:val="000000"/>
                      <w:szCs w:val="18"/>
                    </w:rPr>
                    <w:t>活性炭</w:t>
                  </w:r>
                </w:p>
              </w:tc>
              <w:tc>
                <w:tcPr>
                  <w:tcW w:w="763" w:type="dxa"/>
                  <w:vAlign w:val="center"/>
                </w:tcPr>
                <w:p w14:paraId="31AD5573">
                  <w:pPr>
                    <w:pStyle w:val="82"/>
                    <w:spacing w:line="240" w:lineRule="auto"/>
                    <w:rPr>
                      <w:color w:val="000000"/>
                      <w:szCs w:val="18"/>
                    </w:rPr>
                  </w:pPr>
                  <w:r>
                    <w:rPr>
                      <w:rFonts w:hint="eastAsia"/>
                      <w:color w:val="000000"/>
                      <w:szCs w:val="18"/>
                    </w:rPr>
                    <w:t>VOCs</w:t>
                  </w:r>
                </w:p>
              </w:tc>
              <w:tc>
                <w:tcPr>
                  <w:tcW w:w="706" w:type="dxa"/>
                  <w:vAlign w:val="center"/>
                </w:tcPr>
                <w:p w14:paraId="0FE9AA19">
                  <w:pPr>
                    <w:pStyle w:val="82"/>
                    <w:spacing w:line="240" w:lineRule="auto"/>
                    <w:rPr>
                      <w:color w:val="000000"/>
                      <w:szCs w:val="18"/>
                    </w:rPr>
                  </w:pPr>
                  <w:r>
                    <w:rPr>
                      <w:rFonts w:hint="eastAsia"/>
                      <w:color w:val="000000"/>
                      <w:szCs w:val="18"/>
                    </w:rPr>
                    <w:t>2a</w:t>
                  </w:r>
                </w:p>
              </w:tc>
              <w:tc>
                <w:tcPr>
                  <w:tcW w:w="548" w:type="dxa"/>
                  <w:vAlign w:val="center"/>
                </w:tcPr>
                <w:p w14:paraId="6B3623E3">
                  <w:pPr>
                    <w:pStyle w:val="82"/>
                    <w:spacing w:line="240" w:lineRule="auto"/>
                    <w:rPr>
                      <w:color w:val="000000"/>
                      <w:szCs w:val="18"/>
                    </w:rPr>
                  </w:pPr>
                  <w:r>
                    <w:rPr>
                      <w:color w:val="000000"/>
                      <w:szCs w:val="18"/>
                    </w:rPr>
                    <w:t>T</w:t>
                  </w:r>
                </w:p>
              </w:tc>
              <w:tc>
                <w:tcPr>
                  <w:tcW w:w="872" w:type="dxa"/>
                  <w:vMerge w:val="continue"/>
                  <w:vAlign w:val="center"/>
                </w:tcPr>
                <w:p w14:paraId="4EAF05A7">
                  <w:pPr>
                    <w:adjustRightInd w:val="0"/>
                    <w:snapToGrid w:val="0"/>
                    <w:jc w:val="center"/>
                    <w:rPr>
                      <w:color w:val="000000"/>
                      <w:kern w:val="0"/>
                      <w:sz w:val="18"/>
                      <w:szCs w:val="18"/>
                    </w:rPr>
                  </w:pPr>
                </w:p>
              </w:tc>
            </w:tr>
            <w:tr w14:paraId="5112E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300" w:type="dxa"/>
                  <w:vAlign w:val="center"/>
                </w:tcPr>
                <w:p w14:paraId="4C49D50C">
                  <w:pPr>
                    <w:adjustRightInd w:val="0"/>
                    <w:snapToGrid w:val="0"/>
                    <w:jc w:val="center"/>
                    <w:rPr>
                      <w:color w:val="000000"/>
                      <w:sz w:val="18"/>
                      <w:szCs w:val="18"/>
                    </w:rPr>
                  </w:pPr>
                  <w:r>
                    <w:rPr>
                      <w:rFonts w:hint="eastAsia"/>
                      <w:color w:val="000000"/>
                      <w:sz w:val="18"/>
                      <w:szCs w:val="18"/>
                    </w:rPr>
                    <w:t>5</w:t>
                  </w:r>
                </w:p>
              </w:tc>
              <w:tc>
                <w:tcPr>
                  <w:tcW w:w="697" w:type="dxa"/>
                  <w:vAlign w:val="center"/>
                </w:tcPr>
                <w:p w14:paraId="1BCE706B">
                  <w:pPr>
                    <w:pStyle w:val="82"/>
                    <w:spacing w:line="240" w:lineRule="auto"/>
                    <w:rPr>
                      <w:bCs w:val="0"/>
                      <w:szCs w:val="18"/>
                    </w:rPr>
                  </w:pPr>
                  <w:r>
                    <w:rPr>
                      <w:rFonts w:hint="eastAsia"/>
                      <w:bCs w:val="0"/>
                      <w:szCs w:val="18"/>
                    </w:rPr>
                    <w:t>废催化剂</w:t>
                  </w:r>
                </w:p>
              </w:tc>
              <w:tc>
                <w:tcPr>
                  <w:tcW w:w="855" w:type="dxa"/>
                  <w:vAlign w:val="center"/>
                </w:tcPr>
                <w:p w14:paraId="7DE0D22B">
                  <w:pPr>
                    <w:adjustRightInd w:val="0"/>
                    <w:snapToGrid w:val="0"/>
                    <w:jc w:val="center"/>
                    <w:rPr>
                      <w:sz w:val="18"/>
                      <w:szCs w:val="18"/>
                    </w:rPr>
                  </w:pPr>
                  <w:r>
                    <w:rPr>
                      <w:rFonts w:hint="eastAsia"/>
                      <w:sz w:val="18"/>
                      <w:szCs w:val="18"/>
                    </w:rPr>
                    <w:t>HW49其他废物</w:t>
                  </w:r>
                </w:p>
              </w:tc>
              <w:tc>
                <w:tcPr>
                  <w:tcW w:w="711" w:type="dxa"/>
                  <w:vAlign w:val="center"/>
                </w:tcPr>
                <w:p w14:paraId="79C8EA54">
                  <w:pPr>
                    <w:adjustRightInd w:val="0"/>
                    <w:snapToGrid w:val="0"/>
                    <w:jc w:val="center"/>
                    <w:rPr>
                      <w:kern w:val="0"/>
                      <w:sz w:val="18"/>
                      <w:szCs w:val="18"/>
                    </w:rPr>
                  </w:pPr>
                  <w:r>
                    <w:rPr>
                      <w:kern w:val="0"/>
                      <w:sz w:val="18"/>
                      <w:szCs w:val="18"/>
                    </w:rPr>
                    <w:t>900-0</w:t>
                  </w:r>
                  <w:r>
                    <w:rPr>
                      <w:rFonts w:hint="eastAsia"/>
                      <w:kern w:val="0"/>
                      <w:sz w:val="18"/>
                      <w:szCs w:val="18"/>
                    </w:rPr>
                    <w:t>41</w:t>
                  </w:r>
                  <w:r>
                    <w:rPr>
                      <w:kern w:val="0"/>
                      <w:sz w:val="18"/>
                      <w:szCs w:val="18"/>
                    </w:rPr>
                    <w:t>-</w:t>
                  </w:r>
                  <w:r>
                    <w:rPr>
                      <w:rFonts w:hint="eastAsia"/>
                      <w:kern w:val="0"/>
                      <w:sz w:val="18"/>
                      <w:szCs w:val="18"/>
                    </w:rPr>
                    <w:t>49</w:t>
                  </w:r>
                </w:p>
              </w:tc>
              <w:tc>
                <w:tcPr>
                  <w:tcW w:w="729" w:type="dxa"/>
                  <w:vAlign w:val="center"/>
                </w:tcPr>
                <w:p w14:paraId="237270AB">
                  <w:pPr>
                    <w:pStyle w:val="82"/>
                    <w:spacing w:line="240" w:lineRule="auto"/>
                    <w:rPr>
                      <w:color w:val="000000"/>
                      <w:szCs w:val="18"/>
                      <w:u w:val="single"/>
                    </w:rPr>
                  </w:pPr>
                  <w:r>
                    <w:rPr>
                      <w:rFonts w:hint="eastAsia"/>
                      <w:color w:val="000000"/>
                      <w:szCs w:val="18"/>
                      <w:u w:val="single"/>
                    </w:rPr>
                    <w:t>0.04t/3a</w:t>
                  </w:r>
                </w:p>
              </w:tc>
              <w:tc>
                <w:tcPr>
                  <w:tcW w:w="809" w:type="dxa"/>
                  <w:vAlign w:val="center"/>
                </w:tcPr>
                <w:p w14:paraId="15553DE4">
                  <w:pPr>
                    <w:pStyle w:val="82"/>
                    <w:spacing w:line="240" w:lineRule="auto"/>
                    <w:rPr>
                      <w:color w:val="000000"/>
                      <w:szCs w:val="18"/>
                    </w:rPr>
                  </w:pPr>
                  <w:r>
                    <w:rPr>
                      <w:rFonts w:hint="eastAsia"/>
                      <w:color w:val="000000"/>
                      <w:szCs w:val="18"/>
                    </w:rPr>
                    <w:t>催化燃烧装置</w:t>
                  </w:r>
                </w:p>
              </w:tc>
              <w:tc>
                <w:tcPr>
                  <w:tcW w:w="358" w:type="dxa"/>
                  <w:vAlign w:val="center"/>
                </w:tcPr>
                <w:p w14:paraId="26CE611C">
                  <w:pPr>
                    <w:pStyle w:val="82"/>
                    <w:spacing w:line="240" w:lineRule="auto"/>
                    <w:rPr>
                      <w:color w:val="000000"/>
                      <w:szCs w:val="18"/>
                    </w:rPr>
                  </w:pPr>
                  <w:r>
                    <w:rPr>
                      <w:rFonts w:hint="eastAsia"/>
                      <w:color w:val="000000"/>
                      <w:szCs w:val="18"/>
                    </w:rPr>
                    <w:t>固态</w:t>
                  </w:r>
                </w:p>
              </w:tc>
              <w:tc>
                <w:tcPr>
                  <w:tcW w:w="672" w:type="dxa"/>
                  <w:vAlign w:val="center"/>
                </w:tcPr>
                <w:p w14:paraId="4B788FF8">
                  <w:pPr>
                    <w:pStyle w:val="82"/>
                    <w:spacing w:line="240" w:lineRule="auto"/>
                    <w:rPr>
                      <w:color w:val="000000"/>
                      <w:szCs w:val="18"/>
                    </w:rPr>
                  </w:pPr>
                  <w:r>
                    <w:rPr>
                      <w:color w:val="000000"/>
                      <w:szCs w:val="18"/>
                    </w:rPr>
                    <w:t>催化剂</w:t>
                  </w:r>
                </w:p>
              </w:tc>
              <w:tc>
                <w:tcPr>
                  <w:tcW w:w="763" w:type="dxa"/>
                  <w:vAlign w:val="center"/>
                </w:tcPr>
                <w:p w14:paraId="00EB53FE">
                  <w:pPr>
                    <w:pStyle w:val="82"/>
                    <w:spacing w:line="240" w:lineRule="auto"/>
                    <w:rPr>
                      <w:color w:val="000000"/>
                      <w:szCs w:val="18"/>
                    </w:rPr>
                  </w:pPr>
                  <w:r>
                    <w:rPr>
                      <w:rFonts w:hint="eastAsia"/>
                      <w:color w:val="000000"/>
                      <w:szCs w:val="18"/>
                    </w:rPr>
                    <w:t>催化剂</w:t>
                  </w:r>
                </w:p>
              </w:tc>
              <w:tc>
                <w:tcPr>
                  <w:tcW w:w="706" w:type="dxa"/>
                  <w:vAlign w:val="center"/>
                </w:tcPr>
                <w:p w14:paraId="0A214F91">
                  <w:pPr>
                    <w:pStyle w:val="82"/>
                    <w:spacing w:line="240" w:lineRule="auto"/>
                    <w:rPr>
                      <w:color w:val="000000"/>
                      <w:szCs w:val="18"/>
                    </w:rPr>
                  </w:pPr>
                  <w:r>
                    <w:rPr>
                      <w:rFonts w:hint="eastAsia"/>
                      <w:color w:val="000000"/>
                      <w:szCs w:val="18"/>
                    </w:rPr>
                    <w:t>3a</w:t>
                  </w:r>
                </w:p>
              </w:tc>
              <w:tc>
                <w:tcPr>
                  <w:tcW w:w="548" w:type="dxa"/>
                  <w:vAlign w:val="center"/>
                </w:tcPr>
                <w:p w14:paraId="2FF39542">
                  <w:pPr>
                    <w:pStyle w:val="82"/>
                    <w:spacing w:line="240" w:lineRule="auto"/>
                    <w:rPr>
                      <w:color w:val="000000"/>
                      <w:szCs w:val="18"/>
                    </w:rPr>
                  </w:pPr>
                  <w:r>
                    <w:rPr>
                      <w:rFonts w:hint="eastAsia"/>
                      <w:color w:val="000000"/>
                      <w:szCs w:val="18"/>
                    </w:rPr>
                    <w:t>T</w:t>
                  </w:r>
                </w:p>
              </w:tc>
              <w:tc>
                <w:tcPr>
                  <w:tcW w:w="872" w:type="dxa"/>
                  <w:vMerge w:val="continue"/>
                  <w:vAlign w:val="center"/>
                </w:tcPr>
                <w:p w14:paraId="01D48CEA">
                  <w:pPr>
                    <w:adjustRightInd w:val="0"/>
                    <w:snapToGrid w:val="0"/>
                    <w:jc w:val="center"/>
                    <w:rPr>
                      <w:color w:val="000000"/>
                      <w:kern w:val="0"/>
                      <w:sz w:val="18"/>
                      <w:szCs w:val="18"/>
                    </w:rPr>
                  </w:pPr>
                </w:p>
              </w:tc>
            </w:tr>
          </w:tbl>
          <w:p w14:paraId="5C756D75">
            <w:pPr>
              <w:spacing w:line="360" w:lineRule="auto"/>
              <w:ind w:firstLine="480" w:firstLineChars="200"/>
              <w:rPr>
                <w:color w:val="000000"/>
                <w:sz w:val="24"/>
                <w:u w:val="single"/>
              </w:rPr>
            </w:pPr>
            <w:r>
              <w:rPr>
                <w:color w:val="000000"/>
                <w:sz w:val="24"/>
                <w:u w:val="single"/>
              </w:rPr>
              <w:t>本项目拟在厂房内设一座危废暂存间，该危废间占地面积</w:t>
            </w:r>
            <w:r>
              <w:rPr>
                <w:rFonts w:hint="eastAsia"/>
                <w:color w:val="000000"/>
                <w:sz w:val="24"/>
                <w:u w:val="single"/>
              </w:rPr>
              <w:t>15</w:t>
            </w:r>
            <w:r>
              <w:rPr>
                <w:color w:val="000000"/>
                <w:sz w:val="24"/>
                <w:u w:val="single"/>
              </w:rPr>
              <w:t>m</w:t>
            </w:r>
            <w:r>
              <w:rPr>
                <w:color w:val="000000"/>
                <w:sz w:val="24"/>
                <w:u w:val="single"/>
                <w:vertAlign w:val="superscript"/>
              </w:rPr>
              <w:t>2</w:t>
            </w:r>
            <w:r>
              <w:rPr>
                <w:color w:val="000000"/>
                <w:sz w:val="24"/>
                <w:u w:val="single"/>
              </w:rPr>
              <w:t>。项目危废</w:t>
            </w:r>
            <w:r>
              <w:rPr>
                <w:rFonts w:hint="eastAsia"/>
                <w:color w:val="000000"/>
                <w:sz w:val="24"/>
                <w:u w:val="single"/>
              </w:rPr>
              <w:t>暂存间</w:t>
            </w:r>
            <w:r>
              <w:rPr>
                <w:color w:val="000000"/>
                <w:sz w:val="24"/>
                <w:u w:val="single"/>
              </w:rPr>
              <w:t>基本情况表见</w:t>
            </w:r>
            <w:r>
              <w:rPr>
                <w:rFonts w:hint="eastAsia"/>
                <w:color w:val="000000"/>
                <w:sz w:val="24"/>
                <w:u w:val="single"/>
              </w:rPr>
              <w:t>下表。</w:t>
            </w:r>
          </w:p>
          <w:p w14:paraId="38F7769D">
            <w:pPr>
              <w:pStyle w:val="137"/>
              <w:numPr>
                <w:ilvl w:val="0"/>
                <w:numId w:val="7"/>
              </w:numPr>
              <w:adjustRightInd w:val="0"/>
              <w:snapToGrid w:val="0"/>
              <w:ind w:firstLineChars="0"/>
              <w:jc w:val="center"/>
              <w:rPr>
                <w:b/>
                <w:snapToGrid w:val="0"/>
                <w:kern w:val="0"/>
                <w:szCs w:val="21"/>
              </w:rPr>
            </w:pPr>
            <w:r>
              <w:rPr>
                <w:rFonts w:hint="eastAsia"/>
                <w:b/>
                <w:snapToGrid w:val="0"/>
                <w:kern w:val="0"/>
                <w:szCs w:val="21"/>
              </w:rPr>
              <w:t>危险废物贮存场所（设施）</w:t>
            </w:r>
            <w:r>
              <w:rPr>
                <w:b/>
                <w:snapToGrid w:val="0"/>
                <w:kern w:val="0"/>
                <w:szCs w:val="21"/>
              </w:rPr>
              <w:t>基本情况表</w:t>
            </w:r>
          </w:p>
          <w:tbl>
            <w:tblPr>
              <w:tblStyle w:val="38"/>
              <w:tblW w:w="799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8"/>
              <w:gridCol w:w="1068"/>
              <w:gridCol w:w="1123"/>
              <w:gridCol w:w="780"/>
              <w:gridCol w:w="891"/>
              <w:gridCol w:w="631"/>
              <w:gridCol w:w="1119"/>
              <w:gridCol w:w="694"/>
              <w:gridCol w:w="771"/>
            </w:tblGrid>
            <w:tr w14:paraId="3D63BF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918" w:type="dxa"/>
                  <w:vAlign w:val="center"/>
                </w:tcPr>
                <w:p w14:paraId="1C73E74E">
                  <w:pPr>
                    <w:topLinePunct/>
                    <w:adjustRightInd w:val="0"/>
                    <w:snapToGrid w:val="0"/>
                    <w:jc w:val="center"/>
                    <w:rPr>
                      <w:b/>
                      <w:bCs/>
                      <w:color w:val="000000"/>
                      <w:kern w:val="0"/>
                      <w:sz w:val="18"/>
                      <w:szCs w:val="18"/>
                    </w:rPr>
                  </w:pPr>
                  <w:r>
                    <w:rPr>
                      <w:b/>
                      <w:bCs/>
                      <w:color w:val="000000"/>
                      <w:kern w:val="0"/>
                      <w:sz w:val="18"/>
                      <w:szCs w:val="18"/>
                    </w:rPr>
                    <w:t>贮存场所（设施）名称</w:t>
                  </w:r>
                </w:p>
              </w:tc>
              <w:tc>
                <w:tcPr>
                  <w:tcW w:w="1068" w:type="dxa"/>
                  <w:vAlign w:val="center"/>
                </w:tcPr>
                <w:p w14:paraId="139AD674">
                  <w:pPr>
                    <w:topLinePunct/>
                    <w:adjustRightInd w:val="0"/>
                    <w:snapToGrid w:val="0"/>
                    <w:jc w:val="center"/>
                    <w:rPr>
                      <w:b/>
                      <w:bCs/>
                      <w:color w:val="000000"/>
                      <w:kern w:val="0"/>
                      <w:sz w:val="18"/>
                      <w:szCs w:val="18"/>
                    </w:rPr>
                  </w:pPr>
                  <w:r>
                    <w:rPr>
                      <w:b/>
                      <w:bCs/>
                      <w:color w:val="000000"/>
                      <w:kern w:val="0"/>
                      <w:sz w:val="18"/>
                      <w:szCs w:val="18"/>
                    </w:rPr>
                    <w:t>危险废物名称</w:t>
                  </w:r>
                </w:p>
              </w:tc>
              <w:tc>
                <w:tcPr>
                  <w:tcW w:w="1123" w:type="dxa"/>
                  <w:vAlign w:val="center"/>
                </w:tcPr>
                <w:p w14:paraId="5D5C4D7A">
                  <w:pPr>
                    <w:topLinePunct/>
                    <w:adjustRightInd w:val="0"/>
                    <w:snapToGrid w:val="0"/>
                    <w:jc w:val="center"/>
                    <w:rPr>
                      <w:b/>
                      <w:bCs/>
                      <w:color w:val="000000"/>
                      <w:kern w:val="0"/>
                      <w:sz w:val="18"/>
                      <w:szCs w:val="18"/>
                    </w:rPr>
                  </w:pPr>
                  <w:r>
                    <w:rPr>
                      <w:b/>
                      <w:bCs/>
                      <w:color w:val="000000"/>
                      <w:kern w:val="0"/>
                      <w:sz w:val="18"/>
                      <w:szCs w:val="18"/>
                    </w:rPr>
                    <w:t>危险废物类别</w:t>
                  </w:r>
                </w:p>
              </w:tc>
              <w:tc>
                <w:tcPr>
                  <w:tcW w:w="780" w:type="dxa"/>
                  <w:vAlign w:val="center"/>
                </w:tcPr>
                <w:p w14:paraId="4C6F55B5">
                  <w:pPr>
                    <w:topLinePunct/>
                    <w:adjustRightInd w:val="0"/>
                    <w:snapToGrid w:val="0"/>
                    <w:jc w:val="center"/>
                    <w:rPr>
                      <w:b/>
                      <w:bCs/>
                      <w:color w:val="000000"/>
                      <w:kern w:val="0"/>
                      <w:sz w:val="18"/>
                      <w:szCs w:val="18"/>
                    </w:rPr>
                  </w:pPr>
                  <w:r>
                    <w:rPr>
                      <w:b/>
                      <w:bCs/>
                      <w:color w:val="000000"/>
                      <w:kern w:val="0"/>
                      <w:sz w:val="18"/>
                      <w:szCs w:val="18"/>
                    </w:rPr>
                    <w:t>危险废物代码</w:t>
                  </w:r>
                </w:p>
              </w:tc>
              <w:tc>
                <w:tcPr>
                  <w:tcW w:w="891" w:type="dxa"/>
                  <w:vAlign w:val="center"/>
                </w:tcPr>
                <w:p w14:paraId="68316A77">
                  <w:pPr>
                    <w:topLinePunct/>
                    <w:adjustRightInd w:val="0"/>
                    <w:snapToGrid w:val="0"/>
                    <w:jc w:val="center"/>
                    <w:rPr>
                      <w:b/>
                      <w:bCs/>
                      <w:color w:val="000000"/>
                      <w:kern w:val="0"/>
                      <w:sz w:val="18"/>
                      <w:szCs w:val="18"/>
                    </w:rPr>
                  </w:pPr>
                  <w:r>
                    <w:rPr>
                      <w:b/>
                      <w:bCs/>
                      <w:color w:val="000000"/>
                      <w:kern w:val="0"/>
                      <w:sz w:val="18"/>
                      <w:szCs w:val="18"/>
                    </w:rPr>
                    <w:t>位置</w:t>
                  </w:r>
                </w:p>
              </w:tc>
              <w:tc>
                <w:tcPr>
                  <w:tcW w:w="631" w:type="dxa"/>
                  <w:vAlign w:val="center"/>
                </w:tcPr>
                <w:p w14:paraId="2F342E82">
                  <w:pPr>
                    <w:topLinePunct/>
                    <w:adjustRightInd w:val="0"/>
                    <w:snapToGrid w:val="0"/>
                    <w:jc w:val="center"/>
                    <w:rPr>
                      <w:b/>
                      <w:bCs/>
                      <w:color w:val="000000"/>
                      <w:kern w:val="0"/>
                      <w:sz w:val="18"/>
                      <w:szCs w:val="18"/>
                    </w:rPr>
                  </w:pPr>
                  <w:r>
                    <w:rPr>
                      <w:b/>
                      <w:bCs/>
                      <w:color w:val="000000"/>
                      <w:kern w:val="0"/>
                      <w:sz w:val="18"/>
                      <w:szCs w:val="18"/>
                    </w:rPr>
                    <w:t>占地面积</w:t>
                  </w:r>
                </w:p>
              </w:tc>
              <w:tc>
                <w:tcPr>
                  <w:tcW w:w="1119" w:type="dxa"/>
                  <w:vAlign w:val="center"/>
                </w:tcPr>
                <w:p w14:paraId="74858089">
                  <w:pPr>
                    <w:topLinePunct/>
                    <w:adjustRightInd w:val="0"/>
                    <w:snapToGrid w:val="0"/>
                    <w:jc w:val="center"/>
                    <w:rPr>
                      <w:b/>
                      <w:bCs/>
                      <w:color w:val="000000"/>
                      <w:kern w:val="0"/>
                      <w:sz w:val="18"/>
                      <w:szCs w:val="18"/>
                    </w:rPr>
                  </w:pPr>
                  <w:r>
                    <w:rPr>
                      <w:b/>
                      <w:bCs/>
                      <w:color w:val="000000"/>
                      <w:kern w:val="0"/>
                      <w:sz w:val="18"/>
                      <w:szCs w:val="18"/>
                    </w:rPr>
                    <w:t>贮存方式</w:t>
                  </w:r>
                </w:p>
              </w:tc>
              <w:tc>
                <w:tcPr>
                  <w:tcW w:w="694" w:type="dxa"/>
                  <w:vAlign w:val="center"/>
                </w:tcPr>
                <w:p w14:paraId="27D4E90D">
                  <w:pPr>
                    <w:topLinePunct/>
                    <w:adjustRightInd w:val="0"/>
                    <w:snapToGrid w:val="0"/>
                    <w:jc w:val="center"/>
                    <w:rPr>
                      <w:b/>
                      <w:bCs/>
                      <w:color w:val="000000"/>
                      <w:kern w:val="0"/>
                      <w:sz w:val="18"/>
                      <w:szCs w:val="18"/>
                    </w:rPr>
                  </w:pPr>
                  <w:r>
                    <w:rPr>
                      <w:b/>
                      <w:bCs/>
                      <w:color w:val="000000"/>
                      <w:kern w:val="0"/>
                      <w:sz w:val="18"/>
                      <w:szCs w:val="18"/>
                    </w:rPr>
                    <w:t>贮存</w:t>
                  </w:r>
                </w:p>
                <w:p w14:paraId="637D2C9F">
                  <w:pPr>
                    <w:topLinePunct/>
                    <w:adjustRightInd w:val="0"/>
                    <w:snapToGrid w:val="0"/>
                    <w:jc w:val="center"/>
                    <w:rPr>
                      <w:b/>
                      <w:bCs/>
                      <w:color w:val="000000"/>
                      <w:kern w:val="0"/>
                      <w:sz w:val="18"/>
                      <w:szCs w:val="18"/>
                    </w:rPr>
                  </w:pPr>
                  <w:r>
                    <w:rPr>
                      <w:b/>
                      <w:bCs/>
                      <w:color w:val="000000"/>
                      <w:kern w:val="0"/>
                      <w:sz w:val="18"/>
                      <w:szCs w:val="18"/>
                    </w:rPr>
                    <w:t>能力</w:t>
                  </w:r>
                </w:p>
              </w:tc>
              <w:tc>
                <w:tcPr>
                  <w:tcW w:w="771" w:type="dxa"/>
                  <w:vAlign w:val="center"/>
                </w:tcPr>
                <w:p w14:paraId="25B88F24">
                  <w:pPr>
                    <w:topLinePunct/>
                    <w:adjustRightInd w:val="0"/>
                    <w:snapToGrid w:val="0"/>
                    <w:jc w:val="center"/>
                    <w:rPr>
                      <w:b/>
                      <w:bCs/>
                      <w:color w:val="000000"/>
                      <w:kern w:val="0"/>
                      <w:sz w:val="18"/>
                      <w:szCs w:val="18"/>
                    </w:rPr>
                  </w:pPr>
                  <w:r>
                    <w:rPr>
                      <w:b/>
                      <w:bCs/>
                      <w:color w:val="000000"/>
                      <w:kern w:val="0"/>
                      <w:sz w:val="18"/>
                      <w:szCs w:val="18"/>
                    </w:rPr>
                    <w:t>贮存</w:t>
                  </w:r>
                </w:p>
                <w:p w14:paraId="64EBB07B">
                  <w:pPr>
                    <w:topLinePunct/>
                    <w:adjustRightInd w:val="0"/>
                    <w:snapToGrid w:val="0"/>
                    <w:jc w:val="center"/>
                    <w:rPr>
                      <w:b/>
                      <w:bCs/>
                      <w:color w:val="000000"/>
                      <w:kern w:val="0"/>
                      <w:sz w:val="18"/>
                      <w:szCs w:val="18"/>
                    </w:rPr>
                  </w:pPr>
                  <w:r>
                    <w:rPr>
                      <w:b/>
                      <w:bCs/>
                      <w:color w:val="000000"/>
                      <w:kern w:val="0"/>
                      <w:sz w:val="18"/>
                      <w:szCs w:val="18"/>
                    </w:rPr>
                    <w:t>周期</w:t>
                  </w:r>
                </w:p>
              </w:tc>
            </w:tr>
            <w:tr w14:paraId="58AD1E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9" w:hRule="atLeast"/>
                <w:jc w:val="center"/>
              </w:trPr>
              <w:tc>
                <w:tcPr>
                  <w:tcW w:w="918" w:type="dxa"/>
                  <w:vMerge w:val="restart"/>
                  <w:vAlign w:val="center"/>
                </w:tcPr>
                <w:p w14:paraId="154E8082">
                  <w:pPr>
                    <w:topLinePunct/>
                    <w:adjustRightInd w:val="0"/>
                    <w:snapToGrid w:val="0"/>
                    <w:jc w:val="center"/>
                    <w:rPr>
                      <w:rFonts w:hint="eastAsia"/>
                      <w:color w:val="000000"/>
                      <w:kern w:val="0"/>
                      <w:sz w:val="18"/>
                      <w:szCs w:val="18"/>
                    </w:rPr>
                  </w:pPr>
                  <w:r>
                    <w:rPr>
                      <w:rFonts w:hint="eastAsia"/>
                      <w:color w:val="000000"/>
                      <w:kern w:val="0"/>
                      <w:sz w:val="18"/>
                      <w:szCs w:val="18"/>
                    </w:rPr>
                    <w:t>危废暂存间</w:t>
                  </w:r>
                </w:p>
              </w:tc>
              <w:tc>
                <w:tcPr>
                  <w:tcW w:w="1068" w:type="dxa"/>
                  <w:vAlign w:val="center"/>
                </w:tcPr>
                <w:p w14:paraId="178CB187">
                  <w:pPr>
                    <w:pStyle w:val="82"/>
                    <w:spacing w:line="240" w:lineRule="auto"/>
                    <w:rPr>
                      <w:bCs w:val="0"/>
                      <w:color w:val="000000"/>
                      <w:szCs w:val="18"/>
                      <w:u w:val="single"/>
                    </w:rPr>
                  </w:pPr>
                  <w:r>
                    <w:rPr>
                      <w:rFonts w:hint="eastAsia"/>
                      <w:bCs w:val="0"/>
                      <w:color w:val="000000"/>
                      <w:szCs w:val="18"/>
                      <w:u w:val="single"/>
                    </w:rPr>
                    <w:t>废润滑油</w:t>
                  </w:r>
                </w:p>
              </w:tc>
              <w:tc>
                <w:tcPr>
                  <w:tcW w:w="1123" w:type="dxa"/>
                  <w:vMerge w:val="restart"/>
                  <w:vAlign w:val="center"/>
                </w:tcPr>
                <w:p w14:paraId="1DCEC066">
                  <w:pPr>
                    <w:adjustRightInd w:val="0"/>
                    <w:snapToGrid w:val="0"/>
                    <w:jc w:val="center"/>
                    <w:rPr>
                      <w:rFonts w:hint="eastAsia"/>
                      <w:color w:val="000000"/>
                      <w:sz w:val="18"/>
                      <w:szCs w:val="18"/>
                      <w:u w:val="single"/>
                    </w:rPr>
                  </w:pPr>
                  <w:r>
                    <w:rPr>
                      <w:rFonts w:hint="eastAsia"/>
                      <w:color w:val="000000"/>
                      <w:sz w:val="18"/>
                      <w:szCs w:val="18"/>
                      <w:u w:val="single"/>
                    </w:rPr>
                    <w:t>HW08废矿物油与含矿物油废物</w:t>
                  </w:r>
                </w:p>
              </w:tc>
              <w:tc>
                <w:tcPr>
                  <w:tcW w:w="780" w:type="dxa"/>
                  <w:vAlign w:val="center"/>
                </w:tcPr>
                <w:p w14:paraId="02D329A2">
                  <w:pPr>
                    <w:adjustRightInd w:val="0"/>
                    <w:snapToGrid w:val="0"/>
                    <w:jc w:val="center"/>
                    <w:rPr>
                      <w:rFonts w:hint="eastAsia"/>
                      <w:color w:val="000000"/>
                      <w:kern w:val="0"/>
                      <w:sz w:val="18"/>
                      <w:szCs w:val="18"/>
                      <w:u w:val="single"/>
                    </w:rPr>
                  </w:pPr>
                  <w:r>
                    <w:rPr>
                      <w:color w:val="000000"/>
                      <w:kern w:val="0"/>
                      <w:sz w:val="18"/>
                      <w:szCs w:val="18"/>
                      <w:u w:val="single"/>
                    </w:rPr>
                    <w:t>900-217-08</w:t>
                  </w:r>
                </w:p>
              </w:tc>
              <w:tc>
                <w:tcPr>
                  <w:tcW w:w="891" w:type="dxa"/>
                  <w:vMerge w:val="restart"/>
                  <w:vAlign w:val="center"/>
                </w:tcPr>
                <w:p w14:paraId="0D512D19">
                  <w:pPr>
                    <w:topLinePunct/>
                    <w:adjustRightInd w:val="0"/>
                    <w:snapToGrid w:val="0"/>
                    <w:jc w:val="center"/>
                    <w:rPr>
                      <w:rFonts w:hint="eastAsia"/>
                      <w:color w:val="000000"/>
                      <w:kern w:val="0"/>
                      <w:sz w:val="18"/>
                      <w:szCs w:val="18"/>
                    </w:rPr>
                  </w:pPr>
                  <w:r>
                    <w:rPr>
                      <w:rFonts w:hint="eastAsia"/>
                      <w:color w:val="000000"/>
                      <w:kern w:val="0"/>
                      <w:sz w:val="18"/>
                      <w:szCs w:val="18"/>
                    </w:rPr>
                    <w:t>厂房内</w:t>
                  </w:r>
                </w:p>
              </w:tc>
              <w:tc>
                <w:tcPr>
                  <w:tcW w:w="631" w:type="dxa"/>
                  <w:vMerge w:val="restart"/>
                  <w:vAlign w:val="center"/>
                </w:tcPr>
                <w:p w14:paraId="1876A20F">
                  <w:pPr>
                    <w:topLinePunct/>
                    <w:adjustRightInd w:val="0"/>
                    <w:snapToGrid w:val="0"/>
                    <w:jc w:val="center"/>
                    <w:rPr>
                      <w:rFonts w:hint="eastAsia"/>
                      <w:color w:val="000000"/>
                      <w:kern w:val="0"/>
                      <w:sz w:val="18"/>
                      <w:szCs w:val="18"/>
                      <w:u w:val="single"/>
                    </w:rPr>
                  </w:pPr>
                  <w:r>
                    <w:rPr>
                      <w:rFonts w:hint="eastAsia"/>
                      <w:color w:val="000000"/>
                      <w:kern w:val="0"/>
                      <w:sz w:val="18"/>
                      <w:szCs w:val="18"/>
                      <w:u w:val="single"/>
                    </w:rPr>
                    <w:t>15</w:t>
                  </w:r>
                  <w:r>
                    <w:rPr>
                      <w:color w:val="000000"/>
                      <w:kern w:val="0"/>
                      <w:sz w:val="18"/>
                      <w:szCs w:val="18"/>
                      <w:u w:val="single"/>
                    </w:rPr>
                    <w:t>m</w:t>
                  </w:r>
                  <w:r>
                    <w:rPr>
                      <w:color w:val="000000"/>
                      <w:kern w:val="0"/>
                      <w:sz w:val="18"/>
                      <w:szCs w:val="18"/>
                      <w:u w:val="single"/>
                      <w:vertAlign w:val="superscript"/>
                    </w:rPr>
                    <w:t>2</w:t>
                  </w:r>
                </w:p>
              </w:tc>
              <w:tc>
                <w:tcPr>
                  <w:tcW w:w="1119" w:type="dxa"/>
                  <w:vAlign w:val="center"/>
                </w:tcPr>
                <w:p w14:paraId="0EEAAB04">
                  <w:pPr>
                    <w:topLinePunct/>
                    <w:adjustRightInd w:val="0"/>
                    <w:snapToGrid w:val="0"/>
                    <w:jc w:val="center"/>
                    <w:rPr>
                      <w:color w:val="000000"/>
                      <w:kern w:val="0"/>
                      <w:sz w:val="18"/>
                      <w:szCs w:val="18"/>
                      <w:u w:val="single"/>
                    </w:rPr>
                  </w:pPr>
                  <w:r>
                    <w:rPr>
                      <w:rFonts w:hint="eastAsia"/>
                      <w:color w:val="000000"/>
                      <w:kern w:val="0"/>
                      <w:sz w:val="18"/>
                      <w:szCs w:val="18"/>
                      <w:u w:val="single"/>
                    </w:rPr>
                    <w:t>桶装</w:t>
                  </w:r>
                  <w:r>
                    <w:rPr>
                      <w:color w:val="000000"/>
                      <w:kern w:val="0"/>
                      <w:sz w:val="18"/>
                      <w:szCs w:val="18"/>
                      <w:u w:val="single"/>
                    </w:rPr>
                    <w:t>密闭储存</w:t>
                  </w:r>
                </w:p>
              </w:tc>
              <w:tc>
                <w:tcPr>
                  <w:tcW w:w="694" w:type="dxa"/>
                  <w:vAlign w:val="center"/>
                </w:tcPr>
                <w:p w14:paraId="7E7E896E">
                  <w:pPr>
                    <w:pStyle w:val="82"/>
                    <w:spacing w:line="240" w:lineRule="auto"/>
                    <w:rPr>
                      <w:rFonts w:hint="eastAsia"/>
                      <w:color w:val="000000"/>
                      <w:szCs w:val="18"/>
                      <w:u w:val="single"/>
                    </w:rPr>
                  </w:pPr>
                  <w:r>
                    <w:rPr>
                      <w:rFonts w:hint="eastAsia"/>
                      <w:color w:val="000000"/>
                      <w:szCs w:val="18"/>
                      <w:u w:val="single"/>
                    </w:rPr>
                    <w:t>0.1t</w:t>
                  </w:r>
                </w:p>
              </w:tc>
              <w:tc>
                <w:tcPr>
                  <w:tcW w:w="771" w:type="dxa"/>
                  <w:vMerge w:val="restart"/>
                  <w:vAlign w:val="center"/>
                </w:tcPr>
                <w:p w14:paraId="01099335">
                  <w:pPr>
                    <w:topLinePunct/>
                    <w:adjustRightInd w:val="0"/>
                    <w:snapToGrid w:val="0"/>
                    <w:jc w:val="center"/>
                    <w:rPr>
                      <w:rFonts w:hint="eastAsia"/>
                      <w:color w:val="000000"/>
                      <w:kern w:val="0"/>
                      <w:sz w:val="18"/>
                      <w:szCs w:val="18"/>
                    </w:rPr>
                  </w:pPr>
                  <w:r>
                    <w:rPr>
                      <w:rFonts w:hint="eastAsia"/>
                      <w:color w:val="000000"/>
                      <w:kern w:val="0"/>
                      <w:sz w:val="18"/>
                      <w:szCs w:val="18"/>
                    </w:rPr>
                    <w:t>＜1年</w:t>
                  </w:r>
                </w:p>
              </w:tc>
            </w:tr>
            <w:tr w14:paraId="26836E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9" w:hRule="atLeast"/>
                <w:jc w:val="center"/>
              </w:trPr>
              <w:tc>
                <w:tcPr>
                  <w:tcW w:w="918" w:type="dxa"/>
                  <w:vMerge w:val="continue"/>
                  <w:vAlign w:val="center"/>
                </w:tcPr>
                <w:p w14:paraId="5FB012DD">
                  <w:pPr>
                    <w:topLinePunct/>
                    <w:adjustRightInd w:val="0"/>
                    <w:snapToGrid w:val="0"/>
                    <w:jc w:val="center"/>
                    <w:rPr>
                      <w:rFonts w:hint="eastAsia"/>
                      <w:color w:val="000000"/>
                      <w:kern w:val="0"/>
                      <w:sz w:val="18"/>
                      <w:szCs w:val="18"/>
                    </w:rPr>
                  </w:pPr>
                </w:p>
              </w:tc>
              <w:tc>
                <w:tcPr>
                  <w:tcW w:w="1068" w:type="dxa"/>
                  <w:vAlign w:val="center"/>
                </w:tcPr>
                <w:p w14:paraId="50D1F3E8">
                  <w:pPr>
                    <w:pStyle w:val="82"/>
                    <w:spacing w:line="240" w:lineRule="auto"/>
                    <w:rPr>
                      <w:bCs w:val="0"/>
                      <w:color w:val="000000"/>
                      <w:szCs w:val="18"/>
                      <w:u w:val="single"/>
                    </w:rPr>
                  </w:pPr>
                  <w:r>
                    <w:rPr>
                      <w:rFonts w:hint="eastAsia"/>
                      <w:bCs w:val="0"/>
                      <w:color w:val="000000"/>
                      <w:szCs w:val="18"/>
                      <w:u w:val="single"/>
                    </w:rPr>
                    <w:t>废润滑油包装桶</w:t>
                  </w:r>
                </w:p>
              </w:tc>
              <w:tc>
                <w:tcPr>
                  <w:tcW w:w="1123" w:type="dxa"/>
                  <w:vMerge w:val="continue"/>
                  <w:vAlign w:val="center"/>
                </w:tcPr>
                <w:p w14:paraId="082C30B6">
                  <w:pPr>
                    <w:adjustRightInd w:val="0"/>
                    <w:snapToGrid w:val="0"/>
                    <w:jc w:val="center"/>
                    <w:rPr>
                      <w:rFonts w:hint="eastAsia"/>
                      <w:color w:val="000000"/>
                      <w:sz w:val="18"/>
                      <w:szCs w:val="18"/>
                      <w:u w:val="single"/>
                    </w:rPr>
                  </w:pPr>
                </w:p>
              </w:tc>
              <w:tc>
                <w:tcPr>
                  <w:tcW w:w="780" w:type="dxa"/>
                  <w:vAlign w:val="center"/>
                </w:tcPr>
                <w:p w14:paraId="519B5827">
                  <w:pPr>
                    <w:adjustRightInd w:val="0"/>
                    <w:snapToGrid w:val="0"/>
                    <w:jc w:val="center"/>
                    <w:rPr>
                      <w:rFonts w:hint="eastAsia"/>
                      <w:color w:val="000000"/>
                      <w:kern w:val="0"/>
                      <w:sz w:val="18"/>
                      <w:szCs w:val="18"/>
                      <w:u w:val="single"/>
                    </w:rPr>
                  </w:pPr>
                  <w:r>
                    <w:rPr>
                      <w:color w:val="000000"/>
                      <w:kern w:val="0"/>
                      <w:sz w:val="18"/>
                      <w:szCs w:val="18"/>
                      <w:u w:val="single"/>
                    </w:rPr>
                    <w:t>900-249-08</w:t>
                  </w:r>
                </w:p>
              </w:tc>
              <w:tc>
                <w:tcPr>
                  <w:tcW w:w="891" w:type="dxa"/>
                  <w:vMerge w:val="continue"/>
                  <w:vAlign w:val="center"/>
                </w:tcPr>
                <w:p w14:paraId="63DA7398">
                  <w:pPr>
                    <w:topLinePunct/>
                    <w:adjustRightInd w:val="0"/>
                    <w:snapToGrid w:val="0"/>
                    <w:jc w:val="center"/>
                    <w:rPr>
                      <w:rFonts w:hint="eastAsia"/>
                      <w:color w:val="000000"/>
                      <w:kern w:val="0"/>
                      <w:sz w:val="18"/>
                      <w:szCs w:val="18"/>
                    </w:rPr>
                  </w:pPr>
                </w:p>
              </w:tc>
              <w:tc>
                <w:tcPr>
                  <w:tcW w:w="631" w:type="dxa"/>
                  <w:vMerge w:val="continue"/>
                  <w:vAlign w:val="center"/>
                </w:tcPr>
                <w:p w14:paraId="13E80535">
                  <w:pPr>
                    <w:topLinePunct/>
                    <w:adjustRightInd w:val="0"/>
                    <w:snapToGrid w:val="0"/>
                    <w:jc w:val="center"/>
                    <w:rPr>
                      <w:rFonts w:hint="eastAsia"/>
                      <w:color w:val="000000"/>
                      <w:kern w:val="0"/>
                      <w:sz w:val="18"/>
                      <w:szCs w:val="18"/>
                    </w:rPr>
                  </w:pPr>
                </w:p>
              </w:tc>
              <w:tc>
                <w:tcPr>
                  <w:tcW w:w="1119" w:type="dxa"/>
                  <w:vAlign w:val="center"/>
                </w:tcPr>
                <w:p w14:paraId="422FA9B4">
                  <w:pPr>
                    <w:topLinePunct/>
                    <w:adjustRightInd w:val="0"/>
                    <w:snapToGrid w:val="0"/>
                    <w:jc w:val="center"/>
                    <w:rPr>
                      <w:color w:val="000000"/>
                      <w:kern w:val="0"/>
                      <w:sz w:val="18"/>
                      <w:szCs w:val="18"/>
                      <w:u w:val="single"/>
                    </w:rPr>
                  </w:pPr>
                  <w:r>
                    <w:rPr>
                      <w:color w:val="000000"/>
                      <w:kern w:val="0"/>
                      <w:sz w:val="18"/>
                      <w:szCs w:val="18"/>
                      <w:u w:val="single"/>
                    </w:rPr>
                    <w:t>封盖密闭储存</w:t>
                  </w:r>
                </w:p>
              </w:tc>
              <w:tc>
                <w:tcPr>
                  <w:tcW w:w="694" w:type="dxa"/>
                  <w:vAlign w:val="center"/>
                </w:tcPr>
                <w:p w14:paraId="2CCB112A">
                  <w:pPr>
                    <w:pStyle w:val="82"/>
                    <w:spacing w:line="240" w:lineRule="auto"/>
                    <w:rPr>
                      <w:rFonts w:hint="eastAsia"/>
                      <w:color w:val="000000"/>
                      <w:szCs w:val="18"/>
                      <w:u w:val="single"/>
                    </w:rPr>
                  </w:pPr>
                  <w:r>
                    <w:rPr>
                      <w:rFonts w:hint="eastAsia"/>
                      <w:color w:val="000000"/>
                      <w:szCs w:val="18"/>
                      <w:u w:val="single"/>
                    </w:rPr>
                    <w:t>0.1t</w:t>
                  </w:r>
                </w:p>
              </w:tc>
              <w:tc>
                <w:tcPr>
                  <w:tcW w:w="771" w:type="dxa"/>
                  <w:vMerge w:val="continue"/>
                  <w:vAlign w:val="center"/>
                </w:tcPr>
                <w:p w14:paraId="57B97574">
                  <w:pPr>
                    <w:topLinePunct/>
                    <w:adjustRightInd w:val="0"/>
                    <w:snapToGrid w:val="0"/>
                    <w:jc w:val="center"/>
                    <w:rPr>
                      <w:rFonts w:hint="eastAsia"/>
                      <w:color w:val="000000"/>
                      <w:kern w:val="0"/>
                      <w:sz w:val="18"/>
                      <w:szCs w:val="18"/>
                    </w:rPr>
                  </w:pPr>
                </w:p>
              </w:tc>
            </w:tr>
            <w:tr w14:paraId="7E4731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9" w:hRule="atLeast"/>
                <w:jc w:val="center"/>
              </w:trPr>
              <w:tc>
                <w:tcPr>
                  <w:tcW w:w="918" w:type="dxa"/>
                  <w:vMerge w:val="continue"/>
                  <w:vAlign w:val="center"/>
                </w:tcPr>
                <w:p w14:paraId="13F4E1D0">
                  <w:pPr>
                    <w:topLinePunct/>
                    <w:adjustRightInd w:val="0"/>
                    <w:snapToGrid w:val="0"/>
                    <w:jc w:val="center"/>
                    <w:rPr>
                      <w:color w:val="000000"/>
                      <w:kern w:val="0"/>
                      <w:sz w:val="18"/>
                      <w:szCs w:val="18"/>
                    </w:rPr>
                  </w:pPr>
                </w:p>
              </w:tc>
              <w:tc>
                <w:tcPr>
                  <w:tcW w:w="1068" w:type="dxa"/>
                  <w:vAlign w:val="center"/>
                </w:tcPr>
                <w:p w14:paraId="63F960E8">
                  <w:pPr>
                    <w:pStyle w:val="82"/>
                    <w:spacing w:line="240" w:lineRule="auto"/>
                    <w:rPr>
                      <w:bCs w:val="0"/>
                      <w:color w:val="000000"/>
                      <w:szCs w:val="18"/>
                    </w:rPr>
                  </w:pPr>
                  <w:r>
                    <w:rPr>
                      <w:rFonts w:hint="eastAsia"/>
                      <w:bCs w:val="0"/>
                      <w:color w:val="000000"/>
                      <w:szCs w:val="18"/>
                      <w:u w:val="single"/>
                    </w:rPr>
                    <w:t>沾染胶的废塑料膜和废胶桶</w:t>
                  </w:r>
                </w:p>
              </w:tc>
              <w:tc>
                <w:tcPr>
                  <w:tcW w:w="1123" w:type="dxa"/>
                  <w:vAlign w:val="center"/>
                </w:tcPr>
                <w:p w14:paraId="7DFF3FA5">
                  <w:pPr>
                    <w:adjustRightInd w:val="0"/>
                    <w:snapToGrid w:val="0"/>
                    <w:jc w:val="center"/>
                    <w:rPr>
                      <w:color w:val="000000"/>
                      <w:sz w:val="18"/>
                      <w:szCs w:val="18"/>
                    </w:rPr>
                  </w:pPr>
                  <w:r>
                    <w:rPr>
                      <w:rFonts w:hint="eastAsia"/>
                      <w:color w:val="000000"/>
                      <w:sz w:val="18"/>
                      <w:szCs w:val="18"/>
                    </w:rPr>
                    <w:t>HW49其他废物</w:t>
                  </w:r>
                </w:p>
              </w:tc>
              <w:tc>
                <w:tcPr>
                  <w:tcW w:w="780" w:type="dxa"/>
                  <w:vAlign w:val="center"/>
                </w:tcPr>
                <w:p w14:paraId="548E6CBA">
                  <w:pPr>
                    <w:adjustRightInd w:val="0"/>
                    <w:snapToGrid w:val="0"/>
                    <w:jc w:val="center"/>
                    <w:rPr>
                      <w:color w:val="000000"/>
                      <w:kern w:val="0"/>
                      <w:sz w:val="18"/>
                      <w:szCs w:val="18"/>
                    </w:rPr>
                  </w:pPr>
                  <w:r>
                    <w:rPr>
                      <w:rFonts w:hint="eastAsia"/>
                      <w:color w:val="000000"/>
                      <w:kern w:val="0"/>
                      <w:sz w:val="18"/>
                      <w:szCs w:val="18"/>
                    </w:rPr>
                    <w:t>900-041-49</w:t>
                  </w:r>
                </w:p>
              </w:tc>
              <w:tc>
                <w:tcPr>
                  <w:tcW w:w="891" w:type="dxa"/>
                  <w:vMerge w:val="continue"/>
                  <w:vAlign w:val="center"/>
                </w:tcPr>
                <w:p w14:paraId="0BCA5D6D">
                  <w:pPr>
                    <w:topLinePunct/>
                    <w:adjustRightInd w:val="0"/>
                    <w:snapToGrid w:val="0"/>
                    <w:jc w:val="center"/>
                    <w:rPr>
                      <w:color w:val="000000"/>
                      <w:kern w:val="0"/>
                      <w:sz w:val="18"/>
                      <w:szCs w:val="18"/>
                    </w:rPr>
                  </w:pPr>
                </w:p>
              </w:tc>
              <w:tc>
                <w:tcPr>
                  <w:tcW w:w="631" w:type="dxa"/>
                  <w:vMerge w:val="continue"/>
                  <w:vAlign w:val="center"/>
                </w:tcPr>
                <w:p w14:paraId="2508376B">
                  <w:pPr>
                    <w:topLinePunct/>
                    <w:adjustRightInd w:val="0"/>
                    <w:snapToGrid w:val="0"/>
                    <w:jc w:val="center"/>
                    <w:rPr>
                      <w:color w:val="000000"/>
                      <w:kern w:val="0"/>
                      <w:sz w:val="18"/>
                      <w:szCs w:val="18"/>
                    </w:rPr>
                  </w:pPr>
                </w:p>
              </w:tc>
              <w:tc>
                <w:tcPr>
                  <w:tcW w:w="1119" w:type="dxa"/>
                  <w:vAlign w:val="center"/>
                </w:tcPr>
                <w:p w14:paraId="55BD5BED">
                  <w:pPr>
                    <w:topLinePunct/>
                    <w:adjustRightInd w:val="0"/>
                    <w:snapToGrid w:val="0"/>
                    <w:jc w:val="center"/>
                    <w:rPr>
                      <w:color w:val="000000"/>
                      <w:kern w:val="0"/>
                      <w:sz w:val="18"/>
                      <w:szCs w:val="18"/>
                    </w:rPr>
                  </w:pPr>
                  <w:r>
                    <w:rPr>
                      <w:color w:val="000000"/>
                      <w:kern w:val="0"/>
                      <w:sz w:val="18"/>
                      <w:szCs w:val="18"/>
                    </w:rPr>
                    <w:t>封盖密闭储存</w:t>
                  </w:r>
                </w:p>
              </w:tc>
              <w:tc>
                <w:tcPr>
                  <w:tcW w:w="694" w:type="dxa"/>
                  <w:vAlign w:val="center"/>
                </w:tcPr>
                <w:p w14:paraId="3ED5444E">
                  <w:pPr>
                    <w:pStyle w:val="82"/>
                    <w:spacing w:line="240" w:lineRule="auto"/>
                    <w:rPr>
                      <w:color w:val="000000"/>
                      <w:szCs w:val="18"/>
                    </w:rPr>
                  </w:pPr>
                  <w:r>
                    <w:rPr>
                      <w:rFonts w:hint="eastAsia"/>
                      <w:color w:val="000000"/>
                      <w:szCs w:val="18"/>
                    </w:rPr>
                    <w:t>1t</w:t>
                  </w:r>
                </w:p>
              </w:tc>
              <w:tc>
                <w:tcPr>
                  <w:tcW w:w="771" w:type="dxa"/>
                  <w:vMerge w:val="continue"/>
                  <w:vAlign w:val="center"/>
                </w:tcPr>
                <w:p w14:paraId="14EC9971">
                  <w:pPr>
                    <w:topLinePunct/>
                    <w:adjustRightInd w:val="0"/>
                    <w:snapToGrid w:val="0"/>
                    <w:jc w:val="center"/>
                    <w:rPr>
                      <w:color w:val="000000"/>
                      <w:kern w:val="0"/>
                      <w:sz w:val="18"/>
                      <w:szCs w:val="18"/>
                    </w:rPr>
                  </w:pPr>
                </w:p>
              </w:tc>
            </w:tr>
            <w:tr w14:paraId="32E773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918" w:type="dxa"/>
                  <w:vMerge w:val="continue"/>
                  <w:vAlign w:val="center"/>
                </w:tcPr>
                <w:p w14:paraId="6B861CE3">
                  <w:pPr>
                    <w:topLinePunct/>
                    <w:adjustRightInd w:val="0"/>
                    <w:snapToGrid w:val="0"/>
                    <w:jc w:val="center"/>
                    <w:rPr>
                      <w:color w:val="000000"/>
                      <w:kern w:val="0"/>
                      <w:sz w:val="18"/>
                      <w:szCs w:val="18"/>
                    </w:rPr>
                  </w:pPr>
                </w:p>
              </w:tc>
              <w:tc>
                <w:tcPr>
                  <w:tcW w:w="1068" w:type="dxa"/>
                  <w:vAlign w:val="center"/>
                </w:tcPr>
                <w:p w14:paraId="642EA4F2">
                  <w:pPr>
                    <w:pStyle w:val="82"/>
                    <w:spacing w:line="240" w:lineRule="auto"/>
                    <w:rPr>
                      <w:bCs w:val="0"/>
                      <w:color w:val="000000"/>
                      <w:szCs w:val="18"/>
                    </w:rPr>
                  </w:pPr>
                  <w:r>
                    <w:rPr>
                      <w:bCs w:val="0"/>
                      <w:color w:val="000000"/>
                      <w:szCs w:val="18"/>
                    </w:rPr>
                    <w:t>废活性炭</w:t>
                  </w:r>
                </w:p>
              </w:tc>
              <w:tc>
                <w:tcPr>
                  <w:tcW w:w="1123" w:type="dxa"/>
                  <w:vAlign w:val="center"/>
                </w:tcPr>
                <w:p w14:paraId="05722926">
                  <w:pPr>
                    <w:adjustRightInd w:val="0"/>
                    <w:snapToGrid w:val="0"/>
                    <w:jc w:val="center"/>
                    <w:rPr>
                      <w:color w:val="000000"/>
                      <w:sz w:val="18"/>
                      <w:szCs w:val="18"/>
                    </w:rPr>
                  </w:pPr>
                  <w:r>
                    <w:rPr>
                      <w:rFonts w:hint="eastAsia"/>
                      <w:color w:val="000000"/>
                      <w:sz w:val="18"/>
                      <w:szCs w:val="18"/>
                    </w:rPr>
                    <w:t>HW49其他废物</w:t>
                  </w:r>
                </w:p>
              </w:tc>
              <w:tc>
                <w:tcPr>
                  <w:tcW w:w="780" w:type="dxa"/>
                  <w:vAlign w:val="center"/>
                </w:tcPr>
                <w:p w14:paraId="401AB946">
                  <w:pPr>
                    <w:adjustRightInd w:val="0"/>
                    <w:snapToGrid w:val="0"/>
                    <w:jc w:val="center"/>
                    <w:rPr>
                      <w:color w:val="000000"/>
                      <w:kern w:val="0"/>
                      <w:sz w:val="18"/>
                      <w:szCs w:val="18"/>
                    </w:rPr>
                  </w:pPr>
                  <w:r>
                    <w:rPr>
                      <w:color w:val="000000"/>
                      <w:kern w:val="0"/>
                      <w:sz w:val="18"/>
                      <w:szCs w:val="18"/>
                    </w:rPr>
                    <w:t>900-039-49</w:t>
                  </w:r>
                </w:p>
              </w:tc>
              <w:tc>
                <w:tcPr>
                  <w:tcW w:w="891" w:type="dxa"/>
                  <w:vMerge w:val="continue"/>
                  <w:vAlign w:val="center"/>
                </w:tcPr>
                <w:p w14:paraId="2DECAC38">
                  <w:pPr>
                    <w:topLinePunct/>
                    <w:adjustRightInd w:val="0"/>
                    <w:snapToGrid w:val="0"/>
                    <w:jc w:val="center"/>
                    <w:rPr>
                      <w:color w:val="000000"/>
                      <w:kern w:val="0"/>
                      <w:sz w:val="18"/>
                      <w:szCs w:val="18"/>
                    </w:rPr>
                  </w:pPr>
                </w:p>
              </w:tc>
              <w:tc>
                <w:tcPr>
                  <w:tcW w:w="631" w:type="dxa"/>
                  <w:vMerge w:val="continue"/>
                  <w:vAlign w:val="center"/>
                </w:tcPr>
                <w:p w14:paraId="5F45DB52">
                  <w:pPr>
                    <w:topLinePunct/>
                    <w:adjustRightInd w:val="0"/>
                    <w:snapToGrid w:val="0"/>
                    <w:jc w:val="center"/>
                    <w:rPr>
                      <w:color w:val="000000"/>
                      <w:kern w:val="0"/>
                      <w:sz w:val="18"/>
                      <w:szCs w:val="18"/>
                    </w:rPr>
                  </w:pPr>
                </w:p>
              </w:tc>
              <w:tc>
                <w:tcPr>
                  <w:tcW w:w="1119" w:type="dxa"/>
                  <w:vAlign w:val="center"/>
                </w:tcPr>
                <w:p w14:paraId="7348C9E6">
                  <w:pPr>
                    <w:topLinePunct/>
                    <w:adjustRightInd w:val="0"/>
                    <w:snapToGrid w:val="0"/>
                    <w:jc w:val="center"/>
                    <w:rPr>
                      <w:color w:val="000000"/>
                      <w:kern w:val="0"/>
                      <w:sz w:val="18"/>
                      <w:szCs w:val="18"/>
                    </w:rPr>
                  </w:pPr>
                  <w:r>
                    <w:rPr>
                      <w:rFonts w:hint="eastAsia"/>
                      <w:color w:val="000000"/>
                      <w:kern w:val="0"/>
                      <w:sz w:val="18"/>
                      <w:szCs w:val="18"/>
                    </w:rPr>
                    <w:t>桶装密闭储存</w:t>
                  </w:r>
                </w:p>
              </w:tc>
              <w:tc>
                <w:tcPr>
                  <w:tcW w:w="694" w:type="dxa"/>
                  <w:vAlign w:val="center"/>
                </w:tcPr>
                <w:p w14:paraId="4462F524">
                  <w:pPr>
                    <w:pStyle w:val="82"/>
                    <w:spacing w:line="240" w:lineRule="auto"/>
                    <w:rPr>
                      <w:color w:val="000000"/>
                      <w:szCs w:val="18"/>
                    </w:rPr>
                  </w:pPr>
                  <w:r>
                    <w:rPr>
                      <w:rFonts w:hint="eastAsia"/>
                      <w:color w:val="000000"/>
                      <w:szCs w:val="18"/>
                    </w:rPr>
                    <w:t>1t</w:t>
                  </w:r>
                </w:p>
              </w:tc>
              <w:tc>
                <w:tcPr>
                  <w:tcW w:w="771" w:type="dxa"/>
                  <w:vMerge w:val="continue"/>
                  <w:vAlign w:val="center"/>
                </w:tcPr>
                <w:p w14:paraId="1228AB66">
                  <w:pPr>
                    <w:topLinePunct/>
                    <w:adjustRightInd w:val="0"/>
                    <w:snapToGrid w:val="0"/>
                    <w:jc w:val="center"/>
                    <w:rPr>
                      <w:color w:val="000000"/>
                      <w:kern w:val="0"/>
                      <w:sz w:val="18"/>
                      <w:szCs w:val="18"/>
                    </w:rPr>
                  </w:pPr>
                </w:p>
              </w:tc>
            </w:tr>
            <w:tr w14:paraId="4EF929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918" w:type="dxa"/>
                  <w:vMerge w:val="continue"/>
                  <w:vAlign w:val="center"/>
                </w:tcPr>
                <w:p w14:paraId="6B9C3116">
                  <w:pPr>
                    <w:topLinePunct/>
                    <w:adjustRightInd w:val="0"/>
                    <w:snapToGrid w:val="0"/>
                    <w:jc w:val="center"/>
                    <w:rPr>
                      <w:color w:val="000000"/>
                      <w:kern w:val="0"/>
                      <w:sz w:val="18"/>
                      <w:szCs w:val="18"/>
                    </w:rPr>
                  </w:pPr>
                </w:p>
              </w:tc>
              <w:tc>
                <w:tcPr>
                  <w:tcW w:w="1068" w:type="dxa"/>
                  <w:vAlign w:val="center"/>
                </w:tcPr>
                <w:p w14:paraId="50BC1397">
                  <w:pPr>
                    <w:pStyle w:val="82"/>
                    <w:spacing w:line="240" w:lineRule="auto"/>
                    <w:rPr>
                      <w:bCs w:val="0"/>
                      <w:color w:val="000000"/>
                      <w:szCs w:val="18"/>
                    </w:rPr>
                  </w:pPr>
                  <w:r>
                    <w:rPr>
                      <w:bCs w:val="0"/>
                      <w:color w:val="000000"/>
                      <w:szCs w:val="18"/>
                    </w:rPr>
                    <w:t>废催化剂</w:t>
                  </w:r>
                </w:p>
              </w:tc>
              <w:tc>
                <w:tcPr>
                  <w:tcW w:w="1123" w:type="dxa"/>
                  <w:vAlign w:val="center"/>
                </w:tcPr>
                <w:p w14:paraId="6E0D170E">
                  <w:pPr>
                    <w:adjustRightInd w:val="0"/>
                    <w:snapToGrid w:val="0"/>
                    <w:jc w:val="center"/>
                    <w:rPr>
                      <w:sz w:val="18"/>
                      <w:szCs w:val="18"/>
                    </w:rPr>
                  </w:pPr>
                  <w:r>
                    <w:rPr>
                      <w:rFonts w:hint="eastAsia"/>
                      <w:sz w:val="18"/>
                      <w:szCs w:val="18"/>
                    </w:rPr>
                    <w:t>HW49其他废物</w:t>
                  </w:r>
                </w:p>
              </w:tc>
              <w:tc>
                <w:tcPr>
                  <w:tcW w:w="780" w:type="dxa"/>
                  <w:vAlign w:val="center"/>
                </w:tcPr>
                <w:p w14:paraId="06695BAE">
                  <w:pPr>
                    <w:adjustRightInd w:val="0"/>
                    <w:snapToGrid w:val="0"/>
                    <w:jc w:val="center"/>
                    <w:rPr>
                      <w:kern w:val="0"/>
                      <w:sz w:val="18"/>
                      <w:szCs w:val="18"/>
                    </w:rPr>
                  </w:pPr>
                  <w:r>
                    <w:rPr>
                      <w:kern w:val="0"/>
                      <w:sz w:val="18"/>
                      <w:szCs w:val="18"/>
                    </w:rPr>
                    <w:t>900-0</w:t>
                  </w:r>
                  <w:r>
                    <w:rPr>
                      <w:rFonts w:hint="eastAsia"/>
                      <w:kern w:val="0"/>
                      <w:sz w:val="18"/>
                      <w:szCs w:val="18"/>
                    </w:rPr>
                    <w:t>41</w:t>
                  </w:r>
                  <w:r>
                    <w:rPr>
                      <w:kern w:val="0"/>
                      <w:sz w:val="18"/>
                      <w:szCs w:val="18"/>
                    </w:rPr>
                    <w:t>-</w:t>
                  </w:r>
                  <w:r>
                    <w:rPr>
                      <w:rFonts w:hint="eastAsia"/>
                      <w:kern w:val="0"/>
                      <w:sz w:val="18"/>
                      <w:szCs w:val="18"/>
                    </w:rPr>
                    <w:t>49</w:t>
                  </w:r>
                </w:p>
              </w:tc>
              <w:tc>
                <w:tcPr>
                  <w:tcW w:w="891" w:type="dxa"/>
                  <w:vMerge w:val="continue"/>
                  <w:vAlign w:val="center"/>
                </w:tcPr>
                <w:p w14:paraId="1E3322B5">
                  <w:pPr>
                    <w:topLinePunct/>
                    <w:adjustRightInd w:val="0"/>
                    <w:snapToGrid w:val="0"/>
                    <w:jc w:val="center"/>
                    <w:rPr>
                      <w:color w:val="000000"/>
                      <w:kern w:val="0"/>
                      <w:sz w:val="18"/>
                      <w:szCs w:val="18"/>
                    </w:rPr>
                  </w:pPr>
                </w:p>
              </w:tc>
              <w:tc>
                <w:tcPr>
                  <w:tcW w:w="631" w:type="dxa"/>
                  <w:vMerge w:val="continue"/>
                  <w:vAlign w:val="center"/>
                </w:tcPr>
                <w:p w14:paraId="76B6080E">
                  <w:pPr>
                    <w:topLinePunct/>
                    <w:adjustRightInd w:val="0"/>
                    <w:snapToGrid w:val="0"/>
                    <w:jc w:val="center"/>
                    <w:rPr>
                      <w:color w:val="000000"/>
                      <w:kern w:val="0"/>
                      <w:sz w:val="18"/>
                      <w:szCs w:val="18"/>
                    </w:rPr>
                  </w:pPr>
                </w:p>
              </w:tc>
              <w:tc>
                <w:tcPr>
                  <w:tcW w:w="1119" w:type="dxa"/>
                  <w:vAlign w:val="center"/>
                </w:tcPr>
                <w:p w14:paraId="17C42F8B">
                  <w:pPr>
                    <w:topLinePunct/>
                    <w:adjustRightInd w:val="0"/>
                    <w:snapToGrid w:val="0"/>
                    <w:jc w:val="center"/>
                    <w:rPr>
                      <w:color w:val="000000"/>
                      <w:kern w:val="0"/>
                      <w:sz w:val="18"/>
                      <w:szCs w:val="18"/>
                    </w:rPr>
                  </w:pPr>
                  <w:r>
                    <w:rPr>
                      <w:rFonts w:hint="eastAsia"/>
                      <w:color w:val="000000"/>
                      <w:kern w:val="0"/>
                      <w:sz w:val="18"/>
                      <w:szCs w:val="18"/>
                    </w:rPr>
                    <w:t>桶装密闭储存</w:t>
                  </w:r>
                </w:p>
              </w:tc>
              <w:tc>
                <w:tcPr>
                  <w:tcW w:w="694" w:type="dxa"/>
                  <w:vAlign w:val="center"/>
                </w:tcPr>
                <w:p w14:paraId="59FE840D">
                  <w:pPr>
                    <w:pStyle w:val="82"/>
                    <w:spacing w:line="240" w:lineRule="auto"/>
                    <w:rPr>
                      <w:color w:val="000000"/>
                      <w:szCs w:val="18"/>
                    </w:rPr>
                  </w:pPr>
                  <w:r>
                    <w:rPr>
                      <w:rFonts w:hint="eastAsia"/>
                      <w:color w:val="000000"/>
                      <w:szCs w:val="18"/>
                    </w:rPr>
                    <w:t>0.1t</w:t>
                  </w:r>
                </w:p>
              </w:tc>
              <w:tc>
                <w:tcPr>
                  <w:tcW w:w="771" w:type="dxa"/>
                  <w:vMerge w:val="continue"/>
                  <w:vAlign w:val="center"/>
                </w:tcPr>
                <w:p w14:paraId="73BE244C">
                  <w:pPr>
                    <w:topLinePunct/>
                    <w:adjustRightInd w:val="0"/>
                    <w:snapToGrid w:val="0"/>
                    <w:jc w:val="center"/>
                    <w:rPr>
                      <w:color w:val="000000"/>
                      <w:kern w:val="0"/>
                      <w:sz w:val="18"/>
                      <w:szCs w:val="18"/>
                    </w:rPr>
                  </w:pPr>
                </w:p>
              </w:tc>
            </w:tr>
          </w:tbl>
          <w:p w14:paraId="4D4A0365">
            <w:pPr>
              <w:adjustRightInd w:val="0"/>
              <w:snapToGrid w:val="0"/>
              <w:spacing w:line="360" w:lineRule="auto"/>
              <w:ind w:firstLine="480" w:firstLineChars="200"/>
              <w:rPr>
                <w:color w:val="000000"/>
                <w:sz w:val="24"/>
                <w:u w:val="single"/>
              </w:rPr>
            </w:pPr>
            <w:r>
              <w:rPr>
                <w:rFonts w:hint="eastAsia"/>
                <w:color w:val="000000"/>
                <w:sz w:val="24"/>
                <w:u w:val="single"/>
              </w:rPr>
              <w:t>危险废物贮存及管理要求：</w:t>
            </w:r>
          </w:p>
          <w:p w14:paraId="7BFA9482">
            <w:pPr>
              <w:adjustRightInd w:val="0"/>
              <w:snapToGrid w:val="0"/>
              <w:spacing w:line="360" w:lineRule="auto"/>
              <w:ind w:firstLine="480" w:firstLineChars="200"/>
              <w:rPr>
                <w:color w:val="000000"/>
                <w:sz w:val="24"/>
              </w:rPr>
            </w:pPr>
            <w:r>
              <w:rPr>
                <w:rFonts w:hint="eastAsia"/>
                <w:color w:val="000000"/>
                <w:sz w:val="24"/>
                <w:u w:val="single"/>
              </w:rPr>
              <w:t>（1）项目产生的危险废物按照废物类别分类、分区暂存入危废间内，</w:t>
            </w:r>
            <w:r>
              <w:rPr>
                <w:rFonts w:hint="eastAsia"/>
                <w:color w:val="000000"/>
                <w:sz w:val="24"/>
              </w:rPr>
              <w:t>危废暂存间按照《危险废物贮存污染控制标准》（GB18597-2023）进行建设，采取“四防”（防风、防雨、防晒、防渗漏）措施，</w:t>
            </w:r>
            <w:r>
              <w:rPr>
                <w:rFonts w:hint="eastAsia"/>
                <w:color w:val="000000"/>
                <w:sz w:val="24"/>
                <w:u w:val="single"/>
              </w:rPr>
              <w:t>危险废物均采取密封桶装，并设置托盘、设导流槽（或池），同时在危废暂存间进出口设置高于室内地面0.2m的墁坡，以备废物泄漏时及时收集，临时清理存放。</w:t>
            </w:r>
          </w:p>
          <w:p w14:paraId="08A6EB1E">
            <w:pPr>
              <w:adjustRightInd w:val="0"/>
              <w:snapToGrid w:val="0"/>
              <w:spacing w:line="360" w:lineRule="auto"/>
              <w:ind w:firstLine="480" w:firstLineChars="200"/>
              <w:rPr>
                <w:color w:val="000000"/>
                <w:sz w:val="24"/>
              </w:rPr>
            </w:pPr>
            <w:r>
              <w:rPr>
                <w:rFonts w:hint="eastAsia"/>
                <w:color w:val="000000"/>
                <w:sz w:val="24"/>
              </w:rPr>
              <w:t>（2）贮存设施或场所、容器和包装物应按《危险废物识别标志设置技术规范》（HJ1276-2022）要求设置危险废物贮存设施或场所标志、危险废物贮存分区标志和危险废物标签等危险废物识别标志。</w:t>
            </w:r>
          </w:p>
          <w:p w14:paraId="504BAFE9">
            <w:pPr>
              <w:adjustRightInd w:val="0"/>
              <w:snapToGrid w:val="0"/>
              <w:spacing w:line="360" w:lineRule="auto"/>
              <w:ind w:firstLine="480" w:firstLineChars="200"/>
              <w:rPr>
                <w:color w:val="000000"/>
                <w:sz w:val="24"/>
                <w:u w:val="single"/>
              </w:rPr>
            </w:pPr>
            <w:r>
              <w:rPr>
                <w:rFonts w:hint="eastAsia"/>
                <w:color w:val="000000"/>
                <w:sz w:val="24"/>
              </w:rPr>
              <w:t>（3）根据《危险废物贮存污染控制标准》（GB18597-2023）要求，危险废物暂存间设计原则：用于存放装载液体、半固体危险废物容器的地方，必须有耐腐蚀的硬化地面，且表面无裂痕；基础必须防渗，防渗层为至少1m厚黏土层，或2mm厚高密度聚乙烯，或至2mm厚的其它人工材料，渗透系数≤10</w:t>
            </w:r>
            <w:r>
              <w:rPr>
                <w:rFonts w:hint="eastAsia"/>
                <w:color w:val="000000"/>
                <w:sz w:val="24"/>
                <w:vertAlign w:val="superscript"/>
              </w:rPr>
              <w:t>-10</w:t>
            </w:r>
            <w:r>
              <w:rPr>
                <w:rFonts w:hint="eastAsia"/>
                <w:color w:val="000000"/>
                <w:sz w:val="24"/>
              </w:rPr>
              <w:t>cm/s；不相容的危险废物不能堆放在一起等。</w:t>
            </w:r>
            <w:r>
              <w:rPr>
                <w:rFonts w:hint="eastAsia"/>
                <w:color w:val="000000"/>
                <w:sz w:val="24"/>
                <w:u w:val="single"/>
              </w:rPr>
              <w:t>保留危废间防渗层施工设计及相关施工影像资料。</w:t>
            </w:r>
          </w:p>
          <w:p w14:paraId="47DD547E">
            <w:pPr>
              <w:adjustRightInd w:val="0"/>
              <w:snapToGrid w:val="0"/>
              <w:spacing w:line="360" w:lineRule="auto"/>
              <w:ind w:firstLine="480" w:firstLineChars="200"/>
              <w:rPr>
                <w:color w:val="000000"/>
                <w:sz w:val="24"/>
              </w:rPr>
            </w:pPr>
            <w:r>
              <w:rPr>
                <w:rFonts w:hint="eastAsia"/>
                <w:color w:val="000000"/>
                <w:sz w:val="24"/>
              </w:rPr>
              <w:t>（4）项目危险废物的收集、贮运和转运环节应严格按照《危险废物贮存污染控制标准》（GB18597-2023）以及《危险废物收集贮存运输技术规范》（HJ2025-2012）等相关要求进行。</w:t>
            </w:r>
          </w:p>
          <w:p w14:paraId="31F5E1F3">
            <w:pPr>
              <w:adjustRightInd w:val="0"/>
              <w:snapToGrid w:val="0"/>
              <w:spacing w:line="360" w:lineRule="auto"/>
              <w:ind w:firstLine="480" w:firstLineChars="200"/>
              <w:rPr>
                <w:rFonts w:hint="eastAsia"/>
                <w:color w:val="000000"/>
                <w:sz w:val="24"/>
                <w:u w:val="single"/>
              </w:rPr>
            </w:pPr>
            <w:r>
              <w:rPr>
                <w:rFonts w:hint="eastAsia"/>
                <w:color w:val="000000"/>
                <w:sz w:val="24"/>
              </w:rPr>
              <w:t>（5）项目应当按照国家有关规定制定危险废物管理计划；</w:t>
            </w:r>
            <w:r>
              <w:rPr>
                <w:rFonts w:hint="eastAsia"/>
                <w:color w:val="000000"/>
                <w:sz w:val="24"/>
                <w:u w:val="single"/>
              </w:rPr>
              <w:t>建立危险废物管理台账，详细记录入场的危险废物的名称、来源、数量、特性和包装容器的类别、入库日期、存放库位、废物出库日期及接受单位等信息，危险废物的记录和货单在危险废物回取后继续保留3年；并定期对所暂存的危险废物包装容器及贮存设施进行检查，发现破损，及时清理更换。</w:t>
            </w:r>
          </w:p>
          <w:p w14:paraId="2D752BA4">
            <w:pPr>
              <w:adjustRightInd w:val="0"/>
              <w:snapToGrid w:val="0"/>
              <w:spacing w:line="360" w:lineRule="auto"/>
              <w:ind w:firstLine="480" w:firstLineChars="200"/>
              <w:rPr>
                <w:color w:val="000000"/>
                <w:sz w:val="24"/>
              </w:rPr>
            </w:pPr>
            <w:r>
              <w:rPr>
                <w:rFonts w:hint="eastAsia" w:ascii="宋体" w:hAnsi="宋体"/>
                <w:color w:val="000000"/>
                <w:sz w:val="24"/>
              </w:rPr>
              <w:t>（</w:t>
            </w:r>
            <w:r>
              <w:rPr>
                <w:rFonts w:hint="eastAsia"/>
                <w:color w:val="000000"/>
                <w:sz w:val="24"/>
              </w:rPr>
              <w:t>6</w:t>
            </w:r>
            <w:r>
              <w:rPr>
                <w:rFonts w:hint="eastAsia" w:ascii="宋体" w:hAnsi="宋体"/>
                <w:color w:val="000000"/>
                <w:sz w:val="24"/>
              </w:rPr>
              <w:t>）应根据《危险废物转移管理办法》对危险废物收集并进行转移管理。</w:t>
            </w:r>
          </w:p>
          <w:p w14:paraId="3CC49282">
            <w:pPr>
              <w:spacing w:line="336" w:lineRule="auto"/>
              <w:ind w:firstLine="480" w:firstLineChars="200"/>
              <w:rPr>
                <w:sz w:val="24"/>
              </w:rPr>
            </w:pPr>
            <w:r>
              <w:rPr>
                <w:rFonts w:hint="eastAsia"/>
                <w:kern w:val="0"/>
                <w:sz w:val="24"/>
              </w:rPr>
              <w:t>经上述处理后，本项目产生的固体废物均能得到妥善处置，去向明确合理，处置措施可行，不会引发二次污染，对环境影响较小</w:t>
            </w:r>
            <w:r>
              <w:rPr>
                <w:rFonts w:hint="eastAsia"/>
                <w:sz w:val="24"/>
              </w:rPr>
              <w:t>。</w:t>
            </w:r>
          </w:p>
          <w:p w14:paraId="124E3034">
            <w:pPr>
              <w:adjustRightInd w:val="0"/>
              <w:snapToGrid w:val="0"/>
              <w:spacing w:line="360" w:lineRule="auto"/>
              <w:ind w:firstLine="482" w:firstLineChars="200"/>
              <w:rPr>
                <w:b/>
                <w:bCs/>
                <w:sz w:val="24"/>
              </w:rPr>
            </w:pPr>
            <w:r>
              <w:rPr>
                <w:rFonts w:hint="eastAsia"/>
                <w:b/>
                <w:bCs/>
                <w:sz w:val="24"/>
              </w:rPr>
              <w:t>5、地下水、土壤</w:t>
            </w:r>
          </w:p>
          <w:p w14:paraId="5CA4F601">
            <w:pPr>
              <w:spacing w:line="360" w:lineRule="auto"/>
              <w:ind w:firstLine="480" w:firstLineChars="200"/>
              <w:rPr>
                <w:bCs/>
                <w:sz w:val="24"/>
              </w:rPr>
            </w:pPr>
            <w:r>
              <w:rPr>
                <w:rFonts w:hint="eastAsia"/>
                <w:bCs/>
                <w:sz w:val="24"/>
              </w:rPr>
              <w:t>本项目营运期可能对地下水和土壤有影响的主要为危废暂存间，为有效防止土壤和地下水环境污染，建设单位应按照“源头控制、分区防控、污染监控、应急响应”的防治原则，提出相应的防控措施。针对不同的区域提出相应的防渗要求，本项目污染防治区划分及防渗措施见下表。</w:t>
            </w:r>
          </w:p>
          <w:p w14:paraId="47EC4492">
            <w:pPr>
              <w:pStyle w:val="137"/>
              <w:numPr>
                <w:ilvl w:val="0"/>
                <w:numId w:val="7"/>
              </w:numPr>
              <w:adjustRightInd w:val="0"/>
              <w:snapToGrid w:val="0"/>
              <w:ind w:firstLineChars="0"/>
              <w:jc w:val="center"/>
              <w:rPr>
                <w:b/>
                <w:snapToGrid w:val="0"/>
                <w:kern w:val="0"/>
                <w:szCs w:val="21"/>
              </w:rPr>
            </w:pPr>
            <w:bookmarkStart w:id="53" w:name="_Toc443686132"/>
            <w:r>
              <w:rPr>
                <w:rFonts w:hint="eastAsia"/>
                <w:b/>
                <w:snapToGrid w:val="0"/>
                <w:kern w:val="0"/>
                <w:szCs w:val="21"/>
              </w:rPr>
              <w:t>项目</w:t>
            </w:r>
            <w:r>
              <w:rPr>
                <w:b/>
                <w:snapToGrid w:val="0"/>
                <w:kern w:val="0"/>
                <w:szCs w:val="21"/>
              </w:rPr>
              <w:t>污染防治分区情况一览表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575"/>
              <w:gridCol w:w="1125"/>
              <w:gridCol w:w="1267"/>
              <w:gridCol w:w="3662"/>
            </w:tblGrid>
            <w:tr w14:paraId="1056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81" w:type="pct"/>
                  <w:noWrap/>
                  <w:tcMar>
                    <w:top w:w="57" w:type="dxa"/>
                    <w:bottom w:w="57" w:type="dxa"/>
                  </w:tcMar>
                  <w:vAlign w:val="center"/>
                </w:tcPr>
                <w:p w14:paraId="4A23B87A">
                  <w:pPr>
                    <w:adjustRightInd w:val="0"/>
                    <w:snapToGrid w:val="0"/>
                    <w:contextualSpacing/>
                    <w:jc w:val="center"/>
                    <w:rPr>
                      <w:b/>
                      <w:color w:val="000000"/>
                    </w:rPr>
                  </w:pPr>
                  <w:r>
                    <w:rPr>
                      <w:b/>
                      <w:color w:val="000000"/>
                    </w:rPr>
                    <w:t>序号</w:t>
                  </w:r>
                </w:p>
              </w:tc>
              <w:tc>
                <w:tcPr>
                  <w:tcW w:w="974" w:type="pct"/>
                  <w:noWrap/>
                  <w:tcMar>
                    <w:top w:w="57" w:type="dxa"/>
                    <w:bottom w:w="57" w:type="dxa"/>
                  </w:tcMar>
                  <w:vAlign w:val="center"/>
                </w:tcPr>
                <w:p w14:paraId="7CF79160">
                  <w:pPr>
                    <w:adjustRightInd w:val="0"/>
                    <w:snapToGrid w:val="0"/>
                    <w:contextualSpacing/>
                    <w:jc w:val="center"/>
                    <w:rPr>
                      <w:b/>
                      <w:color w:val="000000"/>
                    </w:rPr>
                  </w:pPr>
                  <w:r>
                    <w:rPr>
                      <w:b/>
                      <w:color w:val="000000"/>
                    </w:rPr>
                    <w:t>名称</w:t>
                  </w:r>
                </w:p>
              </w:tc>
              <w:tc>
                <w:tcPr>
                  <w:tcW w:w="696" w:type="pct"/>
                  <w:noWrap/>
                  <w:tcMar>
                    <w:top w:w="57" w:type="dxa"/>
                    <w:bottom w:w="57" w:type="dxa"/>
                  </w:tcMar>
                  <w:vAlign w:val="center"/>
                </w:tcPr>
                <w:p w14:paraId="5FC84A8F">
                  <w:pPr>
                    <w:adjustRightInd w:val="0"/>
                    <w:snapToGrid w:val="0"/>
                    <w:contextualSpacing/>
                    <w:jc w:val="center"/>
                    <w:rPr>
                      <w:b/>
                      <w:color w:val="000000"/>
                    </w:rPr>
                  </w:pPr>
                  <w:r>
                    <w:rPr>
                      <w:b/>
                      <w:color w:val="000000"/>
                    </w:rPr>
                    <w:t>防渗区域及部位</w:t>
                  </w:r>
                </w:p>
              </w:tc>
              <w:tc>
                <w:tcPr>
                  <w:tcW w:w="784" w:type="pct"/>
                  <w:noWrap/>
                  <w:tcMar>
                    <w:top w:w="57" w:type="dxa"/>
                    <w:bottom w:w="57" w:type="dxa"/>
                  </w:tcMar>
                  <w:vAlign w:val="center"/>
                </w:tcPr>
                <w:p w14:paraId="093777B3">
                  <w:pPr>
                    <w:adjustRightInd w:val="0"/>
                    <w:snapToGrid w:val="0"/>
                    <w:contextualSpacing/>
                    <w:jc w:val="center"/>
                    <w:rPr>
                      <w:b/>
                      <w:color w:val="000000"/>
                    </w:rPr>
                  </w:pPr>
                  <w:r>
                    <w:rPr>
                      <w:b/>
                      <w:color w:val="000000"/>
                    </w:rPr>
                    <w:t>防渗分区等级</w:t>
                  </w:r>
                </w:p>
              </w:tc>
              <w:tc>
                <w:tcPr>
                  <w:tcW w:w="2265" w:type="pct"/>
                  <w:noWrap/>
                  <w:tcMar>
                    <w:top w:w="57" w:type="dxa"/>
                    <w:bottom w:w="57" w:type="dxa"/>
                  </w:tcMar>
                  <w:vAlign w:val="center"/>
                </w:tcPr>
                <w:p w14:paraId="6ABC9362">
                  <w:pPr>
                    <w:adjustRightInd w:val="0"/>
                    <w:snapToGrid w:val="0"/>
                    <w:contextualSpacing/>
                    <w:jc w:val="center"/>
                    <w:rPr>
                      <w:b/>
                      <w:color w:val="000000"/>
                    </w:rPr>
                  </w:pPr>
                  <w:r>
                    <w:rPr>
                      <w:b/>
                      <w:color w:val="000000"/>
                    </w:rPr>
                    <w:t>防渗要求</w:t>
                  </w:r>
                </w:p>
              </w:tc>
            </w:tr>
            <w:tr w14:paraId="16BC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281" w:type="pct"/>
                  <w:noWrap/>
                  <w:tcMar>
                    <w:top w:w="57" w:type="dxa"/>
                    <w:bottom w:w="57" w:type="dxa"/>
                  </w:tcMar>
                  <w:vAlign w:val="center"/>
                </w:tcPr>
                <w:p w14:paraId="17E677B4">
                  <w:pPr>
                    <w:adjustRightInd w:val="0"/>
                    <w:snapToGrid w:val="0"/>
                    <w:contextualSpacing/>
                    <w:jc w:val="center"/>
                    <w:rPr>
                      <w:color w:val="000000"/>
                    </w:rPr>
                  </w:pPr>
                  <w:r>
                    <w:rPr>
                      <w:color w:val="000000"/>
                    </w:rPr>
                    <w:t>1</w:t>
                  </w:r>
                </w:p>
              </w:tc>
              <w:tc>
                <w:tcPr>
                  <w:tcW w:w="974" w:type="pct"/>
                  <w:noWrap/>
                  <w:tcMar>
                    <w:top w:w="57" w:type="dxa"/>
                    <w:bottom w:w="57" w:type="dxa"/>
                  </w:tcMar>
                  <w:vAlign w:val="center"/>
                </w:tcPr>
                <w:p w14:paraId="43EDECD2">
                  <w:pPr>
                    <w:adjustRightInd w:val="0"/>
                    <w:snapToGrid w:val="0"/>
                    <w:contextualSpacing/>
                    <w:jc w:val="center"/>
                    <w:rPr>
                      <w:color w:val="000000"/>
                    </w:rPr>
                  </w:pPr>
                  <w:r>
                    <w:rPr>
                      <w:color w:val="000000"/>
                    </w:rPr>
                    <w:t>危废暂存间</w:t>
                  </w:r>
                  <w:r>
                    <w:rPr>
                      <w:rFonts w:hint="eastAsia"/>
                      <w:color w:val="000000"/>
                    </w:rPr>
                    <w:t>、</w:t>
                  </w:r>
                  <w:r>
                    <w:rPr>
                      <w:color w:val="000000"/>
                    </w:rPr>
                    <w:t>密封胶储存区</w:t>
                  </w:r>
                </w:p>
              </w:tc>
              <w:tc>
                <w:tcPr>
                  <w:tcW w:w="696" w:type="pct"/>
                  <w:noWrap/>
                  <w:tcMar>
                    <w:top w:w="57" w:type="dxa"/>
                    <w:bottom w:w="57" w:type="dxa"/>
                  </w:tcMar>
                  <w:vAlign w:val="center"/>
                </w:tcPr>
                <w:p w14:paraId="700CA284">
                  <w:pPr>
                    <w:adjustRightInd w:val="0"/>
                    <w:snapToGrid w:val="0"/>
                    <w:contextualSpacing/>
                    <w:jc w:val="center"/>
                    <w:rPr>
                      <w:color w:val="000000"/>
                    </w:rPr>
                  </w:pPr>
                  <w:r>
                    <w:rPr>
                      <w:color w:val="000000"/>
                    </w:rPr>
                    <w:t>地面、墙裙</w:t>
                  </w:r>
                </w:p>
              </w:tc>
              <w:tc>
                <w:tcPr>
                  <w:tcW w:w="784" w:type="pct"/>
                  <w:noWrap/>
                  <w:tcMar>
                    <w:top w:w="57" w:type="dxa"/>
                    <w:bottom w:w="57" w:type="dxa"/>
                  </w:tcMar>
                  <w:vAlign w:val="center"/>
                </w:tcPr>
                <w:p w14:paraId="1E4989D3">
                  <w:pPr>
                    <w:adjustRightInd w:val="0"/>
                    <w:snapToGrid w:val="0"/>
                    <w:contextualSpacing/>
                    <w:jc w:val="center"/>
                    <w:rPr>
                      <w:color w:val="000000"/>
                    </w:rPr>
                  </w:pPr>
                  <w:r>
                    <w:rPr>
                      <w:color w:val="000000"/>
                    </w:rPr>
                    <w:t>重点防渗区</w:t>
                  </w:r>
                </w:p>
              </w:tc>
              <w:tc>
                <w:tcPr>
                  <w:tcW w:w="2265" w:type="pct"/>
                  <w:noWrap/>
                  <w:tcMar>
                    <w:top w:w="57" w:type="dxa"/>
                    <w:bottom w:w="57" w:type="dxa"/>
                  </w:tcMar>
                  <w:vAlign w:val="center"/>
                </w:tcPr>
                <w:p w14:paraId="60DECC46">
                  <w:pPr>
                    <w:adjustRightInd w:val="0"/>
                    <w:snapToGrid w:val="0"/>
                    <w:contextualSpacing/>
                    <w:jc w:val="center"/>
                    <w:rPr>
                      <w:color w:val="000000"/>
                    </w:rPr>
                  </w:pPr>
                  <w:r>
                    <w:rPr>
                      <w:color w:val="000000" w:themeColor="text1"/>
                      <w:szCs w:val="21"/>
                      <w14:textFill>
                        <w14:solidFill>
                          <w14:schemeClr w14:val="tx1"/>
                        </w14:solidFill>
                      </w14:textFill>
                    </w:rPr>
                    <w:t>防渗层至少为1m厚粘土层（渗透系数≤10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cm/s），或2mm厚高密度聚乙烯，或2mm厚其他人工材料，渗透系数≤1.0×10</w:t>
                  </w:r>
                  <w:r>
                    <w:rPr>
                      <w:color w:val="000000" w:themeColor="text1"/>
                      <w:szCs w:val="21"/>
                      <w:vertAlign w:val="superscript"/>
                      <w14:textFill>
                        <w14:solidFill>
                          <w14:schemeClr w14:val="tx1"/>
                        </w14:solidFill>
                      </w14:textFill>
                    </w:rPr>
                    <w:t>-10</w:t>
                  </w:r>
                  <w:r>
                    <w:rPr>
                      <w:color w:val="000000" w:themeColor="text1"/>
                      <w:szCs w:val="21"/>
                      <w14:textFill>
                        <w14:solidFill>
                          <w14:schemeClr w14:val="tx1"/>
                        </w14:solidFill>
                      </w14:textFill>
                    </w:rPr>
                    <w:t>cm/s</w:t>
                  </w:r>
                </w:p>
              </w:tc>
            </w:tr>
            <w:tr w14:paraId="3F88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noWrap/>
                  <w:tcMar>
                    <w:top w:w="57" w:type="dxa"/>
                    <w:bottom w:w="57" w:type="dxa"/>
                  </w:tcMar>
                  <w:vAlign w:val="center"/>
                </w:tcPr>
                <w:p w14:paraId="2B92C638">
                  <w:pPr>
                    <w:adjustRightInd w:val="0"/>
                    <w:snapToGrid w:val="0"/>
                    <w:contextualSpacing/>
                    <w:jc w:val="center"/>
                    <w:rPr>
                      <w:color w:val="000000"/>
                    </w:rPr>
                  </w:pPr>
                  <w:r>
                    <w:rPr>
                      <w:rFonts w:hint="eastAsia"/>
                      <w:color w:val="000000"/>
                    </w:rPr>
                    <w:t>2</w:t>
                  </w:r>
                </w:p>
              </w:tc>
              <w:tc>
                <w:tcPr>
                  <w:tcW w:w="974" w:type="pct"/>
                  <w:noWrap/>
                  <w:tcMar>
                    <w:top w:w="57" w:type="dxa"/>
                    <w:bottom w:w="57" w:type="dxa"/>
                  </w:tcMar>
                  <w:vAlign w:val="center"/>
                </w:tcPr>
                <w:p w14:paraId="553C3A52">
                  <w:pPr>
                    <w:adjustRightInd w:val="0"/>
                    <w:snapToGrid w:val="0"/>
                    <w:contextualSpacing/>
                    <w:jc w:val="center"/>
                    <w:rPr>
                      <w:color w:val="000000"/>
                    </w:rPr>
                  </w:pPr>
                  <w:r>
                    <w:rPr>
                      <w:color w:val="000000"/>
                    </w:rPr>
                    <w:t>其他生产区域</w:t>
                  </w:r>
                </w:p>
              </w:tc>
              <w:tc>
                <w:tcPr>
                  <w:tcW w:w="696" w:type="pct"/>
                  <w:noWrap/>
                  <w:tcMar>
                    <w:top w:w="57" w:type="dxa"/>
                    <w:bottom w:w="57" w:type="dxa"/>
                  </w:tcMar>
                  <w:vAlign w:val="center"/>
                </w:tcPr>
                <w:p w14:paraId="1950E036">
                  <w:pPr>
                    <w:adjustRightInd w:val="0"/>
                    <w:snapToGrid w:val="0"/>
                    <w:contextualSpacing/>
                    <w:jc w:val="center"/>
                    <w:rPr>
                      <w:color w:val="000000"/>
                    </w:rPr>
                  </w:pPr>
                  <w:r>
                    <w:rPr>
                      <w:color w:val="000000"/>
                    </w:rPr>
                    <w:t>地面</w:t>
                  </w:r>
                </w:p>
              </w:tc>
              <w:tc>
                <w:tcPr>
                  <w:tcW w:w="784" w:type="pct"/>
                  <w:noWrap/>
                  <w:tcMar>
                    <w:top w:w="57" w:type="dxa"/>
                    <w:bottom w:w="57" w:type="dxa"/>
                  </w:tcMar>
                  <w:vAlign w:val="center"/>
                </w:tcPr>
                <w:p w14:paraId="194B3AB5">
                  <w:pPr>
                    <w:adjustRightInd w:val="0"/>
                    <w:snapToGrid w:val="0"/>
                    <w:contextualSpacing/>
                    <w:jc w:val="center"/>
                    <w:rPr>
                      <w:color w:val="000000"/>
                    </w:rPr>
                  </w:pPr>
                  <w:r>
                    <w:rPr>
                      <w:color w:val="000000"/>
                    </w:rPr>
                    <w:t>简单防渗区</w:t>
                  </w:r>
                </w:p>
              </w:tc>
              <w:tc>
                <w:tcPr>
                  <w:tcW w:w="2265" w:type="pct"/>
                  <w:noWrap/>
                  <w:tcMar>
                    <w:top w:w="57" w:type="dxa"/>
                    <w:bottom w:w="57" w:type="dxa"/>
                  </w:tcMar>
                  <w:vAlign w:val="center"/>
                </w:tcPr>
                <w:p w14:paraId="7CDF37CE">
                  <w:pPr>
                    <w:adjustRightInd w:val="0"/>
                    <w:snapToGrid w:val="0"/>
                    <w:contextualSpacing/>
                    <w:jc w:val="center"/>
                    <w:rPr>
                      <w:color w:val="000000"/>
                    </w:rPr>
                  </w:pPr>
                  <w:r>
                    <w:rPr>
                      <w:color w:val="000000"/>
                    </w:rPr>
                    <w:t>一般地面硬化</w:t>
                  </w:r>
                </w:p>
              </w:tc>
            </w:tr>
            <w:bookmarkEnd w:id="53"/>
          </w:tbl>
          <w:p w14:paraId="6DB33825">
            <w:pPr>
              <w:spacing w:line="360" w:lineRule="auto"/>
              <w:ind w:firstLine="480" w:firstLineChars="200"/>
              <w:rPr>
                <w:bCs/>
                <w:sz w:val="24"/>
              </w:rPr>
            </w:pPr>
            <w:r>
              <w:rPr>
                <w:rFonts w:hint="eastAsia" w:ascii="宋体" w:hAnsi="宋体"/>
                <w:bCs/>
                <w:sz w:val="24"/>
              </w:rPr>
              <w:t>项目应严格落实地下水污染分区防渗措施，并建设防渗设施的检漏制度，定期对防渗层进行检查，发现破损及时修复或采取措施</w:t>
            </w:r>
            <w:r>
              <w:rPr>
                <w:rFonts w:hint="eastAsia"/>
                <w:bCs/>
                <w:sz w:val="24"/>
              </w:rPr>
              <w:t>。</w:t>
            </w:r>
          </w:p>
          <w:p w14:paraId="2C59B042">
            <w:pPr>
              <w:spacing w:line="360" w:lineRule="auto"/>
              <w:ind w:firstLine="480" w:firstLineChars="200"/>
              <w:rPr>
                <w:bCs/>
                <w:sz w:val="24"/>
              </w:rPr>
            </w:pPr>
            <w:r>
              <w:rPr>
                <w:rFonts w:hint="eastAsia"/>
                <w:bCs/>
                <w:sz w:val="24"/>
              </w:rPr>
              <w:t>经采取以上措施后可切断地下水、土壤污染途径，避免对地下水、土壤造成污染，对地下水、土壤的环境影响不大。</w:t>
            </w:r>
          </w:p>
          <w:p w14:paraId="7094C79A">
            <w:pPr>
              <w:pStyle w:val="55"/>
              <w:spacing w:line="360" w:lineRule="auto"/>
              <w:ind w:firstLine="482" w:firstLineChars="200"/>
              <w:rPr>
                <w:rFonts w:ascii="Times New Roman" w:hAnsi="Times New Roman" w:eastAsia="宋体"/>
                <w:b/>
                <w:bCs/>
                <w:color w:val="auto"/>
                <w:szCs w:val="21"/>
              </w:rPr>
            </w:pPr>
            <w:r>
              <w:rPr>
                <w:rFonts w:hint="eastAsia" w:ascii="Times New Roman" w:hAnsi="Times New Roman" w:eastAsia="宋体"/>
                <w:b/>
                <w:bCs/>
                <w:color w:val="auto"/>
                <w:szCs w:val="21"/>
              </w:rPr>
              <w:t>6、生态</w:t>
            </w:r>
          </w:p>
          <w:p w14:paraId="1DE1AFCB">
            <w:pPr>
              <w:pStyle w:val="55"/>
              <w:spacing w:line="360" w:lineRule="auto"/>
              <w:ind w:firstLine="480" w:firstLineChars="200"/>
              <w:rPr>
                <w:rFonts w:ascii="Times New Roman" w:hAnsi="Times New Roman" w:eastAsia="宋体"/>
                <w:color w:val="auto"/>
                <w:szCs w:val="21"/>
              </w:rPr>
            </w:pPr>
            <w:r>
              <w:rPr>
                <w:rFonts w:hint="eastAsia" w:ascii="Times New Roman" w:hAnsi="Times New Roman" w:eastAsia="宋体"/>
                <w:color w:val="auto"/>
                <w:szCs w:val="21"/>
              </w:rPr>
              <w:t>本项目占地范围内无生态环境保护目标，无生态环境影响。</w:t>
            </w:r>
          </w:p>
          <w:p w14:paraId="6E60BBF9">
            <w:pPr>
              <w:pStyle w:val="55"/>
              <w:spacing w:line="360" w:lineRule="auto"/>
              <w:ind w:firstLine="482" w:firstLineChars="200"/>
              <w:rPr>
                <w:rFonts w:ascii="Times New Roman" w:hAnsi="Times New Roman" w:eastAsia="宋体"/>
                <w:b/>
                <w:bCs/>
                <w:color w:val="auto"/>
                <w:szCs w:val="21"/>
              </w:rPr>
            </w:pPr>
            <w:r>
              <w:rPr>
                <w:rFonts w:hint="eastAsia" w:ascii="Times New Roman" w:hAnsi="Times New Roman" w:eastAsia="宋体"/>
                <w:b/>
                <w:bCs/>
                <w:color w:val="auto"/>
                <w:szCs w:val="21"/>
              </w:rPr>
              <w:t>7、环境风险</w:t>
            </w:r>
          </w:p>
          <w:p w14:paraId="09B7D87F">
            <w:pPr>
              <w:spacing w:line="360" w:lineRule="auto"/>
              <w:ind w:firstLine="480" w:firstLineChars="200"/>
              <w:rPr>
                <w:rFonts w:hint="eastAsia"/>
                <w:kern w:val="0"/>
                <w:sz w:val="24"/>
              </w:rPr>
            </w:pPr>
            <w:r>
              <w:rPr>
                <w:rFonts w:hint="eastAsia"/>
                <w:kern w:val="0"/>
                <w:sz w:val="24"/>
              </w:rPr>
              <w:t>环境风险评价是分析和预测建设项目对环境存在的潜在危险、有害因素，针对建设项目建设和运行期间可能发生的突发性事件或事故，引起有毒有害和易燃易爆等物质泄漏所造成的对环境影响和损害程度，提出合理可行的防范、应急与减缓措施，以使建设项目事故率、事故损失和事故造成的环境影响达到可接受水平。</w:t>
            </w:r>
          </w:p>
          <w:p w14:paraId="47A3ADF7">
            <w:pPr>
              <w:spacing w:line="360" w:lineRule="auto"/>
              <w:ind w:firstLine="480" w:firstLineChars="200"/>
              <w:rPr>
                <w:rFonts w:hint="eastAsia"/>
                <w:kern w:val="0"/>
                <w:sz w:val="24"/>
                <w:u w:val="single"/>
              </w:rPr>
            </w:pPr>
            <w:r>
              <w:rPr>
                <w:rFonts w:hint="eastAsia"/>
                <w:kern w:val="0"/>
                <w:sz w:val="24"/>
                <w:u w:val="single"/>
              </w:rPr>
              <w:t>7.1环境风险调查</w:t>
            </w:r>
          </w:p>
          <w:p w14:paraId="21906B5A">
            <w:pPr>
              <w:spacing w:line="360" w:lineRule="auto"/>
              <w:ind w:firstLine="480" w:firstLineChars="200"/>
              <w:rPr>
                <w:rFonts w:hint="eastAsia"/>
                <w:sz w:val="24"/>
                <w:u w:val="single"/>
              </w:rPr>
            </w:pPr>
            <w:r>
              <w:rPr>
                <w:rFonts w:hint="eastAsia"/>
                <w:sz w:val="24"/>
                <w:u w:val="single"/>
              </w:rPr>
              <w:t>项目中空玻璃生产过程中使用的丁基密封胶、硅酮密封胶，其最大储存量分别为0.5t，1t。上述物质不属于《建设项目环境风险评价技术导则》（HJ169-2018）附录B所列危险物质。</w:t>
            </w:r>
          </w:p>
          <w:p w14:paraId="4FD36CCD">
            <w:pPr>
              <w:spacing w:line="360" w:lineRule="auto"/>
              <w:ind w:firstLine="480" w:firstLineChars="200"/>
              <w:rPr>
                <w:rFonts w:cs="宋体"/>
                <w:sz w:val="24"/>
                <w:u w:val="single"/>
              </w:rPr>
            </w:pPr>
            <w:r>
              <w:rPr>
                <w:rFonts w:hint="eastAsia" w:ascii="宋体" w:hAnsi="宋体"/>
                <w:sz w:val="24"/>
                <w:u w:val="single"/>
              </w:rPr>
              <w:t>根据《建设项目环境风险评价技术导则》（</w:t>
            </w:r>
            <w:r>
              <w:rPr>
                <w:sz w:val="24"/>
                <w:u w:val="single"/>
              </w:rPr>
              <w:t>HJ169-2018</w:t>
            </w:r>
            <w:r>
              <w:rPr>
                <w:rFonts w:hint="eastAsia" w:ascii="宋体" w:hAnsi="宋体"/>
                <w:sz w:val="24"/>
                <w:u w:val="single"/>
              </w:rPr>
              <w:t>）附录</w:t>
            </w:r>
            <w:r>
              <w:rPr>
                <w:sz w:val="24"/>
                <w:u w:val="single"/>
              </w:rPr>
              <w:t>B</w:t>
            </w:r>
            <w:r>
              <w:rPr>
                <w:rFonts w:hint="eastAsia" w:ascii="宋体" w:hAnsi="宋体"/>
                <w:sz w:val="24"/>
                <w:u w:val="single"/>
              </w:rPr>
              <w:t>重点关注的风险物质及临界量，本项目所涉及的风险物质及其临界量见下表：</w:t>
            </w:r>
          </w:p>
          <w:p w14:paraId="40D89337">
            <w:pPr>
              <w:pStyle w:val="137"/>
              <w:numPr>
                <w:ilvl w:val="0"/>
                <w:numId w:val="7"/>
              </w:numPr>
              <w:adjustRightInd w:val="0"/>
              <w:snapToGrid w:val="0"/>
              <w:ind w:firstLineChars="0"/>
              <w:jc w:val="center"/>
              <w:rPr>
                <w:b/>
                <w:kern w:val="0"/>
                <w:szCs w:val="21"/>
              </w:rPr>
            </w:pPr>
            <w:r>
              <w:rPr>
                <w:rFonts w:hint="eastAsia" w:ascii="宋体" w:hAnsi="宋体"/>
                <w:b/>
                <w:kern w:val="0"/>
              </w:rPr>
              <w:t>本项目</w:t>
            </w:r>
            <w:r>
              <w:rPr>
                <w:b/>
                <w:kern w:val="0"/>
              </w:rPr>
              <w:t>Q</w:t>
            </w:r>
            <w:r>
              <w:rPr>
                <w:rFonts w:hint="eastAsia" w:ascii="宋体" w:hAnsi="宋体"/>
                <w:b/>
                <w:kern w:val="0"/>
              </w:rPr>
              <w:t>值确定表</w:t>
            </w:r>
          </w:p>
          <w:tbl>
            <w:tblPr>
              <w:tblStyle w:val="38"/>
              <w:tblW w:w="7964"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679"/>
              <w:gridCol w:w="1984"/>
              <w:gridCol w:w="1795"/>
              <w:gridCol w:w="1361"/>
              <w:gridCol w:w="844"/>
              <w:gridCol w:w="1301"/>
            </w:tblGrid>
            <w:tr w14:paraId="02B634B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99" w:hRule="atLeast"/>
                <w:jc w:val="center"/>
              </w:trPr>
              <w:tc>
                <w:tcPr>
                  <w:tcW w:w="679" w:type="dxa"/>
                  <w:tcBorders>
                    <w:top w:val="single" w:color="000000" w:sz="4" w:space="0"/>
                    <w:left w:val="single" w:color="000000" w:sz="4" w:space="0"/>
                    <w:bottom w:val="single" w:color="000000" w:sz="6" w:space="0"/>
                    <w:right w:val="single" w:color="000000" w:sz="6" w:space="0"/>
                  </w:tcBorders>
                  <w:vAlign w:val="center"/>
                </w:tcPr>
                <w:p w14:paraId="538C643C">
                  <w:pPr>
                    <w:jc w:val="center"/>
                    <w:rPr>
                      <w:b/>
                      <w:bCs/>
                      <w:szCs w:val="21"/>
                    </w:rPr>
                  </w:pPr>
                  <w:r>
                    <w:rPr>
                      <w:rFonts w:hint="eastAsia" w:ascii="宋体" w:hAnsi="宋体"/>
                      <w:b/>
                      <w:bCs/>
                    </w:rPr>
                    <w:t>序号</w:t>
                  </w:r>
                </w:p>
              </w:tc>
              <w:tc>
                <w:tcPr>
                  <w:tcW w:w="1984" w:type="dxa"/>
                  <w:tcBorders>
                    <w:top w:val="single" w:color="000000" w:sz="4" w:space="0"/>
                    <w:left w:val="nil"/>
                    <w:bottom w:val="single" w:color="000000" w:sz="6" w:space="0"/>
                    <w:right w:val="single" w:color="000000" w:sz="6" w:space="0"/>
                  </w:tcBorders>
                  <w:vAlign w:val="center"/>
                </w:tcPr>
                <w:p w14:paraId="644994E2">
                  <w:pPr>
                    <w:jc w:val="center"/>
                    <w:rPr>
                      <w:b/>
                      <w:bCs/>
                      <w:szCs w:val="21"/>
                    </w:rPr>
                  </w:pPr>
                  <w:r>
                    <w:rPr>
                      <w:rFonts w:hint="eastAsia" w:ascii="宋体" w:hAnsi="宋体"/>
                      <w:b/>
                      <w:bCs/>
                    </w:rPr>
                    <w:t>危险物质名称</w:t>
                  </w:r>
                </w:p>
              </w:tc>
              <w:tc>
                <w:tcPr>
                  <w:tcW w:w="1795" w:type="dxa"/>
                  <w:tcBorders>
                    <w:top w:val="single" w:color="000000" w:sz="4" w:space="0"/>
                    <w:left w:val="nil"/>
                    <w:bottom w:val="single" w:color="000000" w:sz="6" w:space="0"/>
                    <w:right w:val="single" w:color="000000" w:sz="6" w:space="0"/>
                  </w:tcBorders>
                  <w:vAlign w:val="center"/>
                </w:tcPr>
                <w:p w14:paraId="69EC32B9">
                  <w:pPr>
                    <w:jc w:val="center"/>
                    <w:rPr>
                      <w:b/>
                      <w:bCs/>
                      <w:szCs w:val="21"/>
                    </w:rPr>
                  </w:pPr>
                  <w:r>
                    <w:rPr>
                      <w:rFonts w:hint="eastAsia" w:ascii="宋体" w:hAnsi="宋体"/>
                      <w:b/>
                      <w:bCs/>
                    </w:rPr>
                    <w:t>物质</w:t>
                  </w:r>
                  <w:r>
                    <w:rPr>
                      <w:rFonts w:hint="eastAsia"/>
                      <w:b/>
                      <w:bCs/>
                    </w:rPr>
                    <w:t>/</w:t>
                  </w:r>
                  <w:r>
                    <w:rPr>
                      <w:b/>
                      <w:bCs/>
                    </w:rPr>
                    <w:t>CAS</w:t>
                  </w:r>
                  <w:r>
                    <w:rPr>
                      <w:rFonts w:hint="eastAsia" w:ascii="宋体" w:hAnsi="宋体"/>
                      <w:b/>
                      <w:bCs/>
                    </w:rPr>
                    <w:t>号</w:t>
                  </w:r>
                </w:p>
              </w:tc>
              <w:tc>
                <w:tcPr>
                  <w:tcW w:w="1361" w:type="dxa"/>
                  <w:tcBorders>
                    <w:top w:val="single" w:color="000000" w:sz="4" w:space="0"/>
                    <w:left w:val="nil"/>
                    <w:bottom w:val="single" w:color="000000" w:sz="6" w:space="0"/>
                    <w:right w:val="single" w:color="000000" w:sz="6" w:space="0"/>
                  </w:tcBorders>
                  <w:vAlign w:val="center"/>
                </w:tcPr>
                <w:p w14:paraId="1E939FAA">
                  <w:pPr>
                    <w:jc w:val="center"/>
                    <w:rPr>
                      <w:b/>
                      <w:bCs/>
                      <w:szCs w:val="21"/>
                    </w:rPr>
                  </w:pPr>
                  <w:r>
                    <w:rPr>
                      <w:rFonts w:hint="eastAsia" w:ascii="宋体" w:hAnsi="宋体"/>
                      <w:b/>
                      <w:bCs/>
                    </w:rPr>
                    <w:t>最大存在总量</w:t>
                  </w:r>
                  <w:r>
                    <w:rPr>
                      <w:b/>
                      <w:bCs/>
                    </w:rPr>
                    <w:t>q</w:t>
                  </w:r>
                  <w:r>
                    <w:rPr>
                      <w:b/>
                      <w:bCs/>
                      <w:vertAlign w:val="subscript"/>
                    </w:rPr>
                    <w:t>n</w:t>
                  </w:r>
                  <w:r>
                    <w:rPr>
                      <w:b/>
                      <w:bCs/>
                    </w:rPr>
                    <w:t>/t</w:t>
                  </w:r>
                </w:p>
              </w:tc>
              <w:tc>
                <w:tcPr>
                  <w:tcW w:w="844" w:type="dxa"/>
                  <w:tcBorders>
                    <w:top w:val="single" w:color="000000" w:sz="4" w:space="0"/>
                    <w:left w:val="nil"/>
                    <w:bottom w:val="single" w:color="000000" w:sz="6" w:space="0"/>
                    <w:right w:val="single" w:color="000000" w:sz="6" w:space="0"/>
                  </w:tcBorders>
                  <w:vAlign w:val="center"/>
                </w:tcPr>
                <w:p w14:paraId="73728A82">
                  <w:pPr>
                    <w:jc w:val="center"/>
                    <w:rPr>
                      <w:b/>
                      <w:bCs/>
                      <w:szCs w:val="21"/>
                    </w:rPr>
                  </w:pPr>
                  <w:r>
                    <w:rPr>
                      <w:rFonts w:hint="eastAsia" w:ascii="宋体" w:hAnsi="宋体"/>
                      <w:b/>
                      <w:bCs/>
                    </w:rPr>
                    <w:t>临界量</w:t>
                  </w:r>
                  <w:r>
                    <w:rPr>
                      <w:b/>
                      <w:bCs/>
                    </w:rPr>
                    <w:t>Q</w:t>
                  </w:r>
                  <w:r>
                    <w:rPr>
                      <w:b/>
                      <w:bCs/>
                      <w:vertAlign w:val="subscript"/>
                    </w:rPr>
                    <w:t>n</w:t>
                  </w:r>
                  <w:r>
                    <w:rPr>
                      <w:b/>
                      <w:bCs/>
                    </w:rPr>
                    <w:t>/t</w:t>
                  </w:r>
                </w:p>
              </w:tc>
              <w:tc>
                <w:tcPr>
                  <w:tcW w:w="1301" w:type="dxa"/>
                  <w:tcBorders>
                    <w:top w:val="single" w:color="000000" w:sz="4" w:space="0"/>
                    <w:left w:val="nil"/>
                    <w:bottom w:val="single" w:color="000000" w:sz="6" w:space="0"/>
                    <w:right w:val="single" w:color="000000" w:sz="4" w:space="0"/>
                  </w:tcBorders>
                  <w:vAlign w:val="center"/>
                </w:tcPr>
                <w:p w14:paraId="0A3D4BDF">
                  <w:pPr>
                    <w:jc w:val="center"/>
                    <w:rPr>
                      <w:b/>
                      <w:bCs/>
                      <w:szCs w:val="21"/>
                    </w:rPr>
                  </w:pPr>
                  <w:r>
                    <w:rPr>
                      <w:rFonts w:hint="eastAsia" w:ascii="宋体" w:hAnsi="宋体"/>
                      <w:b/>
                      <w:bCs/>
                    </w:rPr>
                    <w:t>该种危险物质</w:t>
                  </w:r>
                  <w:r>
                    <w:rPr>
                      <w:b/>
                      <w:bCs/>
                    </w:rPr>
                    <w:t>Q</w:t>
                  </w:r>
                  <w:r>
                    <w:rPr>
                      <w:rFonts w:hint="eastAsia" w:ascii="宋体" w:hAnsi="宋体"/>
                      <w:b/>
                      <w:bCs/>
                    </w:rPr>
                    <w:t>值</w:t>
                  </w:r>
                </w:p>
              </w:tc>
            </w:tr>
            <w:tr w14:paraId="00F7396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8" w:hRule="atLeast"/>
                <w:jc w:val="center"/>
              </w:trPr>
              <w:tc>
                <w:tcPr>
                  <w:tcW w:w="679" w:type="dxa"/>
                  <w:tcBorders>
                    <w:top w:val="single" w:color="000000" w:sz="6" w:space="0"/>
                    <w:left w:val="single" w:color="000000" w:sz="4" w:space="0"/>
                    <w:bottom w:val="single" w:color="000000" w:sz="6" w:space="0"/>
                    <w:right w:val="single" w:color="000000" w:sz="6" w:space="0"/>
                  </w:tcBorders>
                  <w:vAlign w:val="center"/>
                </w:tcPr>
                <w:p w14:paraId="0CA6BD60">
                  <w:pPr>
                    <w:jc w:val="center"/>
                    <w:rPr>
                      <w:szCs w:val="21"/>
                    </w:rPr>
                  </w:pPr>
                  <w:r>
                    <w:rPr>
                      <w:rFonts w:hint="eastAsia"/>
                    </w:rPr>
                    <w:t>1</w:t>
                  </w:r>
                </w:p>
              </w:tc>
              <w:tc>
                <w:tcPr>
                  <w:tcW w:w="1984" w:type="dxa"/>
                  <w:tcBorders>
                    <w:top w:val="single" w:color="000000" w:sz="6" w:space="0"/>
                    <w:left w:val="nil"/>
                    <w:bottom w:val="single" w:color="000000" w:sz="6" w:space="0"/>
                    <w:right w:val="single" w:color="000000" w:sz="6" w:space="0"/>
                  </w:tcBorders>
                  <w:vAlign w:val="center"/>
                </w:tcPr>
                <w:p w14:paraId="47A64352">
                  <w:pPr>
                    <w:jc w:val="center"/>
                    <w:rPr>
                      <w:szCs w:val="21"/>
                    </w:rPr>
                  </w:pPr>
                  <w:r>
                    <w:rPr>
                      <w:rFonts w:hint="eastAsia" w:ascii="宋体" w:hAnsi="宋体"/>
                    </w:rPr>
                    <w:t>润滑油及废润滑油</w:t>
                  </w:r>
                </w:p>
              </w:tc>
              <w:tc>
                <w:tcPr>
                  <w:tcW w:w="1795" w:type="dxa"/>
                  <w:tcBorders>
                    <w:top w:val="single" w:color="000000" w:sz="6" w:space="0"/>
                    <w:left w:val="nil"/>
                    <w:bottom w:val="single" w:color="000000" w:sz="6" w:space="0"/>
                    <w:right w:val="single" w:color="000000" w:sz="6" w:space="0"/>
                  </w:tcBorders>
                  <w:vAlign w:val="center"/>
                </w:tcPr>
                <w:p w14:paraId="1C7639E1">
                  <w:pPr>
                    <w:jc w:val="center"/>
                    <w:rPr>
                      <w:szCs w:val="21"/>
                    </w:rPr>
                  </w:pPr>
                  <w:r>
                    <w:rPr>
                      <w:rFonts w:hint="eastAsia" w:ascii="宋体" w:hAnsi="宋体"/>
                    </w:rPr>
                    <w:t>油类物质</w:t>
                  </w:r>
                </w:p>
              </w:tc>
              <w:tc>
                <w:tcPr>
                  <w:tcW w:w="1361" w:type="dxa"/>
                  <w:tcBorders>
                    <w:top w:val="single" w:color="000000" w:sz="6" w:space="0"/>
                    <w:left w:val="nil"/>
                    <w:bottom w:val="single" w:color="000000" w:sz="6" w:space="0"/>
                    <w:right w:val="single" w:color="000000" w:sz="6" w:space="0"/>
                  </w:tcBorders>
                  <w:vAlign w:val="center"/>
                </w:tcPr>
                <w:p w14:paraId="358209E0">
                  <w:pPr>
                    <w:jc w:val="center"/>
                    <w:rPr>
                      <w:szCs w:val="21"/>
                    </w:rPr>
                  </w:pPr>
                  <w:r>
                    <w:rPr>
                      <w:rFonts w:hint="eastAsia"/>
                      <w:szCs w:val="21"/>
                    </w:rPr>
                    <w:t>0.15</w:t>
                  </w:r>
                </w:p>
              </w:tc>
              <w:tc>
                <w:tcPr>
                  <w:tcW w:w="844" w:type="dxa"/>
                  <w:tcBorders>
                    <w:top w:val="single" w:color="000000" w:sz="6" w:space="0"/>
                    <w:left w:val="nil"/>
                    <w:bottom w:val="single" w:color="000000" w:sz="6" w:space="0"/>
                    <w:right w:val="single" w:color="000000" w:sz="6" w:space="0"/>
                  </w:tcBorders>
                  <w:vAlign w:val="center"/>
                </w:tcPr>
                <w:p w14:paraId="14540D77">
                  <w:pPr>
                    <w:jc w:val="center"/>
                    <w:rPr>
                      <w:kern w:val="0"/>
                      <w:szCs w:val="21"/>
                    </w:rPr>
                  </w:pPr>
                  <w:r>
                    <w:rPr>
                      <w:rFonts w:hint="eastAsia"/>
                      <w:kern w:val="0"/>
                    </w:rPr>
                    <w:t>2500</w:t>
                  </w:r>
                </w:p>
              </w:tc>
              <w:tc>
                <w:tcPr>
                  <w:tcW w:w="1301" w:type="dxa"/>
                  <w:tcBorders>
                    <w:top w:val="single" w:color="000000" w:sz="6" w:space="0"/>
                    <w:left w:val="nil"/>
                    <w:bottom w:val="single" w:color="000000" w:sz="6" w:space="0"/>
                    <w:right w:val="single" w:color="000000" w:sz="4" w:space="0"/>
                  </w:tcBorders>
                  <w:vAlign w:val="center"/>
                </w:tcPr>
                <w:p w14:paraId="1E155E53">
                  <w:pPr>
                    <w:widowControl/>
                    <w:jc w:val="center"/>
                    <w:textAlignment w:val="center"/>
                    <w:rPr>
                      <w:kern w:val="0"/>
                      <w:szCs w:val="21"/>
                    </w:rPr>
                  </w:pPr>
                  <w:r>
                    <w:rPr>
                      <w:rFonts w:hint="eastAsia"/>
                      <w:kern w:val="0"/>
                      <w:szCs w:val="21"/>
                    </w:rPr>
                    <w:t>0.00006</w:t>
                  </w:r>
                </w:p>
              </w:tc>
            </w:tr>
            <w:tr w14:paraId="1C4E08E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7" w:hRule="atLeast"/>
                <w:jc w:val="center"/>
              </w:trPr>
              <w:tc>
                <w:tcPr>
                  <w:tcW w:w="6663" w:type="dxa"/>
                  <w:gridSpan w:val="5"/>
                  <w:tcBorders>
                    <w:top w:val="single" w:color="000000" w:sz="6" w:space="0"/>
                    <w:left w:val="single" w:color="000000" w:sz="4" w:space="0"/>
                    <w:bottom w:val="single" w:color="000000" w:sz="4" w:space="0"/>
                    <w:right w:val="single" w:color="000000" w:sz="6" w:space="0"/>
                  </w:tcBorders>
                  <w:vAlign w:val="center"/>
                </w:tcPr>
                <w:p w14:paraId="18ECB10F">
                  <w:pPr>
                    <w:jc w:val="center"/>
                    <w:rPr>
                      <w:kern w:val="0"/>
                      <w:szCs w:val="21"/>
                    </w:rPr>
                  </w:pPr>
                  <w:r>
                    <w:rPr>
                      <w:rFonts w:hint="eastAsia" w:ascii="宋体" w:hAnsi="宋体"/>
                      <w:kern w:val="0"/>
                    </w:rPr>
                    <w:t>合计</w:t>
                  </w:r>
                </w:p>
              </w:tc>
              <w:tc>
                <w:tcPr>
                  <w:tcW w:w="1301" w:type="dxa"/>
                  <w:tcBorders>
                    <w:top w:val="single" w:color="000000" w:sz="6" w:space="0"/>
                    <w:left w:val="nil"/>
                    <w:bottom w:val="single" w:color="000000" w:sz="4" w:space="0"/>
                    <w:right w:val="single" w:color="000000" w:sz="4" w:space="0"/>
                  </w:tcBorders>
                  <w:vAlign w:val="center"/>
                </w:tcPr>
                <w:p w14:paraId="77522FD4">
                  <w:pPr>
                    <w:widowControl/>
                    <w:jc w:val="center"/>
                    <w:textAlignment w:val="center"/>
                    <w:rPr>
                      <w:kern w:val="0"/>
                      <w:szCs w:val="21"/>
                    </w:rPr>
                  </w:pPr>
                  <w:r>
                    <w:rPr>
                      <w:rFonts w:hint="eastAsia"/>
                      <w:kern w:val="0"/>
                      <w:szCs w:val="21"/>
                    </w:rPr>
                    <w:t>0.00006</w:t>
                  </w:r>
                </w:p>
              </w:tc>
            </w:tr>
          </w:tbl>
          <w:p w14:paraId="7277173E">
            <w:pPr>
              <w:spacing w:line="360" w:lineRule="auto"/>
              <w:ind w:firstLine="480" w:firstLineChars="200"/>
              <w:rPr>
                <w:rFonts w:hint="eastAsia"/>
                <w:snapToGrid w:val="0"/>
                <w:kern w:val="0"/>
                <w:sz w:val="24"/>
                <w:u w:val="single"/>
              </w:rPr>
            </w:pPr>
            <w:r>
              <w:rPr>
                <w:rFonts w:hint="eastAsia"/>
                <w:sz w:val="24"/>
                <w:u w:val="single"/>
              </w:rPr>
              <w:t>因此，本项目Q＜1，根据《建设项目环境影响报告表编制技术指南》（污染影响类）（试行），仅需对环境风险进行简单分析</w:t>
            </w:r>
            <w:r>
              <w:rPr>
                <w:rFonts w:hint="eastAsia"/>
                <w:snapToGrid w:val="0"/>
                <w:kern w:val="0"/>
                <w:sz w:val="24"/>
                <w:u w:val="single"/>
              </w:rPr>
              <w:t>。</w:t>
            </w:r>
          </w:p>
          <w:p w14:paraId="6A0A13F7">
            <w:pPr>
              <w:spacing w:line="360" w:lineRule="auto"/>
              <w:ind w:firstLine="480" w:firstLineChars="200"/>
              <w:rPr>
                <w:rFonts w:hint="eastAsia"/>
                <w:snapToGrid w:val="0"/>
                <w:kern w:val="0"/>
                <w:sz w:val="24"/>
                <w:u w:val="single"/>
              </w:rPr>
            </w:pPr>
            <w:r>
              <w:rPr>
                <w:rFonts w:hint="eastAsia"/>
                <w:snapToGrid w:val="0"/>
                <w:kern w:val="0"/>
                <w:sz w:val="24"/>
                <w:u w:val="single"/>
              </w:rPr>
              <w:t>7.2环境风险识别</w:t>
            </w:r>
          </w:p>
          <w:p w14:paraId="2C1DFCE8">
            <w:pPr>
              <w:spacing w:line="360" w:lineRule="auto"/>
              <w:ind w:firstLine="480" w:firstLineChars="200"/>
              <w:rPr>
                <w:kern w:val="0"/>
                <w:sz w:val="24"/>
                <w:u w:val="single"/>
              </w:rPr>
            </w:pPr>
            <w:r>
              <w:rPr>
                <w:kern w:val="0"/>
                <w:sz w:val="24"/>
                <w:u w:val="single"/>
              </w:rPr>
              <w:t>1、物质危险性识别</w:t>
            </w:r>
          </w:p>
          <w:p w14:paraId="507AD658">
            <w:pPr>
              <w:adjustRightInd w:val="0"/>
              <w:snapToGrid w:val="0"/>
              <w:spacing w:line="360" w:lineRule="auto"/>
              <w:ind w:firstLine="480" w:firstLineChars="200"/>
              <w:rPr>
                <w:sz w:val="24"/>
                <w:u w:val="single"/>
              </w:rPr>
            </w:pPr>
            <w:r>
              <w:rPr>
                <w:sz w:val="24"/>
                <w:u w:val="single"/>
              </w:rPr>
              <w:t>项目使用丁基密封胶、硅酮密封胶为有毒物质，一旦发生泄漏后，若个人防护措施不到位时，有可能引发中毒事故；且本项目密封胶属于易燃物质，如遇明火等可能会引发火灾事故，对环境危害主要是次生/伴生的CO污染物对环境空气的影响。</w:t>
            </w:r>
          </w:p>
          <w:p w14:paraId="019BA0ED">
            <w:pPr>
              <w:adjustRightInd w:val="0"/>
              <w:snapToGrid w:val="0"/>
              <w:spacing w:line="360" w:lineRule="auto"/>
              <w:ind w:firstLine="480" w:firstLineChars="200"/>
              <w:rPr>
                <w:sz w:val="24"/>
                <w:u w:val="single"/>
              </w:rPr>
            </w:pPr>
            <w:r>
              <w:rPr>
                <w:sz w:val="24"/>
                <w:u w:val="single"/>
              </w:rPr>
              <w:t>2、生产设施风险识别</w:t>
            </w:r>
          </w:p>
          <w:p w14:paraId="60118E5E">
            <w:pPr>
              <w:adjustRightInd w:val="0"/>
              <w:snapToGrid w:val="0"/>
              <w:spacing w:line="360" w:lineRule="auto"/>
              <w:ind w:firstLine="480" w:firstLineChars="200"/>
              <w:rPr>
                <w:sz w:val="24"/>
                <w:u w:val="single"/>
              </w:rPr>
            </w:pPr>
            <w:r>
              <w:rPr>
                <w:rFonts w:hint="eastAsia"/>
                <w:sz w:val="24"/>
                <w:u w:val="single"/>
              </w:rPr>
              <w:t>生产设施风险识别范围包括生产装置、储运系统、环保设施及辅助生产设施等，因此其识别类型包括生产过程风险识别、储运过程风险识别、事故连锁效应和其他潜在事故因素。</w:t>
            </w:r>
          </w:p>
          <w:p w14:paraId="7583567E">
            <w:pPr>
              <w:adjustRightInd w:val="0"/>
              <w:snapToGrid w:val="0"/>
              <w:spacing w:line="360" w:lineRule="auto"/>
              <w:ind w:firstLine="480" w:firstLineChars="200"/>
              <w:rPr>
                <w:sz w:val="24"/>
                <w:u w:val="single"/>
              </w:rPr>
            </w:pPr>
            <w:r>
              <w:rPr>
                <w:rFonts w:hint="eastAsia"/>
                <w:sz w:val="24"/>
                <w:u w:val="single"/>
              </w:rPr>
              <w:t>（</w:t>
            </w:r>
            <w:r>
              <w:rPr>
                <w:sz w:val="24"/>
                <w:u w:val="single"/>
              </w:rPr>
              <w:t>1</w:t>
            </w:r>
            <w:r>
              <w:rPr>
                <w:rFonts w:hint="eastAsia"/>
                <w:sz w:val="24"/>
                <w:u w:val="single"/>
              </w:rPr>
              <w:t>）生产和储存过程中风险识别</w:t>
            </w:r>
          </w:p>
          <w:p w14:paraId="2C42710B">
            <w:pPr>
              <w:adjustRightInd w:val="0"/>
              <w:snapToGrid w:val="0"/>
              <w:spacing w:line="360" w:lineRule="auto"/>
              <w:ind w:firstLine="480" w:firstLineChars="200"/>
              <w:rPr>
                <w:sz w:val="24"/>
                <w:u w:val="single"/>
              </w:rPr>
            </w:pPr>
            <w:r>
              <w:rPr>
                <w:rFonts w:hint="eastAsia"/>
                <w:sz w:val="24"/>
                <w:u w:val="single"/>
              </w:rPr>
              <w:t>根据工程实际运行情况及所用物料的危险特性，分火灾和泄漏两种事故类型进行分析。</w:t>
            </w:r>
          </w:p>
          <w:p w14:paraId="7B15EF75">
            <w:pPr>
              <w:adjustRightInd w:val="0"/>
              <w:snapToGrid w:val="0"/>
              <w:spacing w:line="360" w:lineRule="auto"/>
              <w:ind w:firstLine="480" w:firstLineChars="200"/>
              <w:rPr>
                <w:sz w:val="24"/>
                <w:u w:val="single"/>
              </w:rPr>
            </w:pPr>
            <w:r>
              <w:rPr>
                <w:rFonts w:hint="eastAsia"/>
                <w:sz w:val="24"/>
                <w:u w:val="single"/>
              </w:rPr>
              <w:t>火灾：生产过程中易燃物质如遇明火等激发能源可发生火灾事故、违章动火可引发火灾事故，产生次生污染物</w:t>
            </w:r>
            <w:r>
              <w:rPr>
                <w:sz w:val="24"/>
                <w:u w:val="single"/>
              </w:rPr>
              <w:t>CO</w:t>
            </w:r>
            <w:r>
              <w:rPr>
                <w:rFonts w:hint="eastAsia"/>
                <w:sz w:val="24"/>
                <w:u w:val="single"/>
              </w:rPr>
              <w:t>对环境空气的影响。</w:t>
            </w:r>
          </w:p>
          <w:p w14:paraId="07940876">
            <w:pPr>
              <w:adjustRightInd w:val="0"/>
              <w:snapToGrid w:val="0"/>
              <w:spacing w:line="360" w:lineRule="auto"/>
              <w:ind w:firstLine="480" w:firstLineChars="200"/>
              <w:rPr>
                <w:sz w:val="24"/>
                <w:u w:val="single"/>
              </w:rPr>
            </w:pPr>
            <w:r>
              <w:rPr>
                <w:rFonts w:hint="eastAsia"/>
                <w:sz w:val="24"/>
                <w:u w:val="single"/>
              </w:rPr>
              <w:t>泄漏：本项目所涉及的丁基密封胶、硅酮密封胶具有一定的毒性，均采用密闭塑料桶进行储存，存放量较小，但如果发生大量泄漏，室内或局部空气不流畅，个人防护措施不到位，则有可能引发中毒事故；如果发生泄漏未及时截留，可能随雨水进入地表水，从而污染地表水环境。</w:t>
            </w:r>
          </w:p>
          <w:p w14:paraId="69BF7B4A">
            <w:pPr>
              <w:adjustRightInd w:val="0"/>
              <w:snapToGrid w:val="0"/>
              <w:spacing w:line="360" w:lineRule="auto"/>
              <w:ind w:firstLine="480" w:firstLineChars="200"/>
              <w:rPr>
                <w:sz w:val="24"/>
                <w:u w:val="single"/>
              </w:rPr>
            </w:pPr>
            <w:r>
              <w:rPr>
                <w:rFonts w:hint="eastAsia"/>
                <w:sz w:val="24"/>
                <w:u w:val="single"/>
              </w:rPr>
              <w:t>（</w:t>
            </w:r>
            <w:r>
              <w:rPr>
                <w:sz w:val="24"/>
                <w:u w:val="single"/>
              </w:rPr>
              <w:t>2</w:t>
            </w:r>
            <w:r>
              <w:rPr>
                <w:rFonts w:hint="eastAsia"/>
                <w:sz w:val="24"/>
                <w:u w:val="single"/>
              </w:rPr>
              <w:t>）危险物质向环境转移的途径识别</w:t>
            </w:r>
          </w:p>
          <w:p w14:paraId="2462D786">
            <w:pPr>
              <w:adjustRightInd w:val="0"/>
              <w:snapToGrid w:val="0"/>
              <w:spacing w:line="360" w:lineRule="auto"/>
              <w:ind w:firstLine="480" w:firstLineChars="200"/>
              <w:rPr>
                <w:sz w:val="24"/>
                <w:u w:val="single"/>
              </w:rPr>
            </w:pPr>
            <w:r>
              <w:rPr>
                <w:rFonts w:hint="eastAsia"/>
                <w:sz w:val="24"/>
                <w:u w:val="single"/>
              </w:rPr>
              <w:t>危险物质向环境转移的途径识别，包括分析危险物质特性及可能的环境风险类别，识别危险物质影响环境的途径，分析可能影响的环境敏感目标。</w:t>
            </w:r>
          </w:p>
          <w:p w14:paraId="74D69590">
            <w:pPr>
              <w:adjustRightInd w:val="0"/>
              <w:snapToGrid w:val="0"/>
              <w:spacing w:line="360" w:lineRule="auto"/>
              <w:ind w:firstLine="480" w:firstLineChars="200"/>
              <w:rPr>
                <w:rFonts w:hint="eastAsia"/>
                <w:sz w:val="24"/>
                <w:u w:val="single"/>
              </w:rPr>
            </w:pPr>
            <w:r>
              <w:rPr>
                <w:rFonts w:hint="eastAsia"/>
                <w:sz w:val="24"/>
                <w:u w:val="single"/>
              </w:rPr>
              <w:t>本项目危险物质常温下为液态，当发生泄漏时物料以液体形式泄漏到地面，泄出物质造成的环境危害类型主要有：</w:t>
            </w:r>
            <w:r>
              <w:rPr>
                <w:sz w:val="24"/>
                <w:u w:val="single"/>
              </w:rPr>
              <w:t>a.</w:t>
            </w:r>
            <w:r>
              <w:rPr>
                <w:rFonts w:hint="eastAsia"/>
                <w:sz w:val="24"/>
                <w:u w:val="single"/>
              </w:rPr>
              <w:t>空气：泄漏并蒸发，污染周围大气环境。</w:t>
            </w:r>
            <w:r>
              <w:rPr>
                <w:sz w:val="24"/>
                <w:u w:val="single"/>
              </w:rPr>
              <w:t>b.</w:t>
            </w:r>
            <w:r>
              <w:rPr>
                <w:rFonts w:hint="eastAsia"/>
                <w:sz w:val="24"/>
                <w:u w:val="single"/>
              </w:rPr>
              <w:t>水体：物料泄漏，随处置废液进入水体；</w:t>
            </w:r>
            <w:r>
              <w:rPr>
                <w:sz w:val="24"/>
                <w:u w:val="single"/>
              </w:rPr>
              <w:t>c.</w:t>
            </w:r>
            <w:r>
              <w:rPr>
                <w:rFonts w:hint="eastAsia"/>
                <w:sz w:val="24"/>
                <w:u w:val="single"/>
              </w:rPr>
              <w:t>其他：泄漏物质处置废物，如沙土等不燃材料。</w:t>
            </w:r>
          </w:p>
          <w:p w14:paraId="6E9BBCDC">
            <w:pPr>
              <w:spacing w:line="360" w:lineRule="auto"/>
              <w:ind w:firstLine="480" w:firstLineChars="200"/>
              <w:rPr>
                <w:rFonts w:hint="eastAsia"/>
                <w:snapToGrid w:val="0"/>
                <w:kern w:val="0"/>
                <w:sz w:val="24"/>
                <w:u w:val="single"/>
              </w:rPr>
            </w:pPr>
            <w:r>
              <w:rPr>
                <w:rFonts w:hint="eastAsia"/>
                <w:snapToGrid w:val="0"/>
                <w:kern w:val="0"/>
                <w:sz w:val="24"/>
                <w:u w:val="single"/>
              </w:rPr>
              <w:t>7.3环境风险分析及防范措施</w:t>
            </w:r>
          </w:p>
          <w:p w14:paraId="3BE5C3E9">
            <w:pPr>
              <w:adjustRightInd w:val="0"/>
              <w:snapToGrid w:val="0"/>
              <w:spacing w:line="360" w:lineRule="auto"/>
              <w:ind w:firstLine="480" w:firstLineChars="200"/>
              <w:rPr>
                <w:rFonts w:hint="eastAsia"/>
                <w:sz w:val="24"/>
                <w:u w:val="single"/>
              </w:rPr>
            </w:pPr>
            <w:r>
              <w:rPr>
                <w:rFonts w:hint="eastAsia"/>
                <w:sz w:val="24"/>
                <w:u w:val="single"/>
              </w:rPr>
              <w:t>本项目运营期环境风险类型主要有：泄漏事故、火灾事故造成的次生/伴生污染；废气治理设施故障，废气事故排放对周围环境空气造成污染。</w:t>
            </w:r>
          </w:p>
          <w:p w14:paraId="469B1884">
            <w:pPr>
              <w:adjustRightInd w:val="0"/>
              <w:snapToGrid w:val="0"/>
              <w:spacing w:line="360" w:lineRule="auto"/>
              <w:ind w:firstLine="480" w:firstLineChars="200"/>
              <w:rPr>
                <w:rFonts w:hint="eastAsia"/>
                <w:sz w:val="24"/>
                <w:u w:val="single"/>
              </w:rPr>
            </w:pPr>
            <w:r>
              <w:rPr>
                <w:rFonts w:hint="eastAsia"/>
                <w:sz w:val="24"/>
                <w:u w:val="single"/>
              </w:rPr>
              <w:t>（1）泄漏环境风险防范措施</w:t>
            </w:r>
          </w:p>
          <w:p w14:paraId="428CA6A5">
            <w:pPr>
              <w:adjustRightInd w:val="0"/>
              <w:snapToGrid w:val="0"/>
              <w:spacing w:line="360" w:lineRule="auto"/>
              <w:ind w:firstLine="480" w:firstLineChars="200"/>
              <w:rPr>
                <w:sz w:val="24"/>
                <w:u w:val="single"/>
              </w:rPr>
            </w:pPr>
            <w:r>
              <w:rPr>
                <w:rFonts w:hint="eastAsia"/>
                <w:sz w:val="24"/>
                <w:u w:val="single"/>
              </w:rPr>
              <w:t>本项目丁基密封胶、硅酮密封胶储存在密封桶内，提出以下风险防范措施：</w:t>
            </w:r>
          </w:p>
          <w:p w14:paraId="1E2D2B47">
            <w:pPr>
              <w:adjustRightInd w:val="0"/>
              <w:snapToGrid w:val="0"/>
              <w:spacing w:line="360" w:lineRule="auto"/>
              <w:ind w:firstLine="480" w:firstLineChars="200"/>
              <w:rPr>
                <w:sz w:val="24"/>
                <w:u w:val="single"/>
              </w:rPr>
            </w:pPr>
            <w:r>
              <w:rPr>
                <w:sz w:val="24"/>
                <w:u w:val="single"/>
              </w:rPr>
              <w:t>a.</w:t>
            </w:r>
            <w:r>
              <w:rPr>
                <w:rFonts w:hint="eastAsia"/>
                <w:sz w:val="24"/>
                <w:u w:val="single"/>
              </w:rPr>
              <w:t>胶水应通过专业生产厂家购买，且由专用车辆负责运送至厂区，胶水购买后直接交专业管理员接收并入库。管理员先检查包装的完好性，封口是否严密，试剂无泄漏，标签是否粘贴牢固无破损，内容清晰，贮存条件明确。瓶签已部分脱胶的，应及时用胶水粘贴。无标签的试剂不得入库，应及时予销毁。</w:t>
            </w:r>
          </w:p>
          <w:p w14:paraId="032C8DF1">
            <w:pPr>
              <w:adjustRightInd w:val="0"/>
              <w:snapToGrid w:val="0"/>
              <w:spacing w:line="360" w:lineRule="auto"/>
              <w:ind w:firstLine="480" w:firstLineChars="200"/>
              <w:rPr>
                <w:sz w:val="24"/>
                <w:u w:val="single"/>
              </w:rPr>
            </w:pPr>
            <w:r>
              <w:rPr>
                <w:sz w:val="24"/>
                <w:u w:val="single"/>
              </w:rPr>
              <w:t>b.</w:t>
            </w:r>
            <w:r>
              <w:rPr>
                <w:rFonts w:hint="eastAsia"/>
                <w:sz w:val="24"/>
                <w:u w:val="single"/>
              </w:rPr>
              <w:t>应严格按其性质和贮存要求分类存放，并控制贮存量。</w:t>
            </w:r>
          </w:p>
          <w:p w14:paraId="5E27A823">
            <w:pPr>
              <w:adjustRightInd w:val="0"/>
              <w:snapToGrid w:val="0"/>
              <w:spacing w:line="360" w:lineRule="auto"/>
              <w:ind w:firstLine="480" w:firstLineChars="200"/>
              <w:rPr>
                <w:sz w:val="24"/>
                <w:u w:val="single"/>
              </w:rPr>
            </w:pPr>
            <w:r>
              <w:rPr>
                <w:sz w:val="24"/>
                <w:u w:val="single"/>
              </w:rPr>
              <w:t>c.</w:t>
            </w:r>
            <w:r>
              <w:rPr>
                <w:rFonts w:hint="eastAsia"/>
                <w:sz w:val="24"/>
                <w:u w:val="single"/>
              </w:rPr>
              <w:t>保管员必须每天检查一次储存情况并记录。</w:t>
            </w:r>
          </w:p>
          <w:p w14:paraId="3B505688">
            <w:pPr>
              <w:adjustRightInd w:val="0"/>
              <w:snapToGrid w:val="0"/>
              <w:spacing w:line="360" w:lineRule="auto"/>
              <w:ind w:firstLine="480" w:firstLineChars="200"/>
              <w:rPr>
                <w:rFonts w:hint="eastAsia"/>
                <w:sz w:val="24"/>
                <w:u w:val="single"/>
              </w:rPr>
            </w:pPr>
            <w:r>
              <w:rPr>
                <w:sz w:val="24"/>
                <w:u w:val="single"/>
              </w:rPr>
              <w:t>d.</w:t>
            </w:r>
            <w:r>
              <w:rPr>
                <w:rFonts w:hint="eastAsia"/>
                <w:sz w:val="24"/>
                <w:u w:val="single"/>
              </w:rPr>
              <w:t>储存间内应通风、阴凉、避光，室温应保持以</w:t>
            </w:r>
            <w:r>
              <w:rPr>
                <w:sz w:val="24"/>
                <w:u w:val="single"/>
              </w:rPr>
              <w:t>5</w:t>
            </w:r>
            <w:r>
              <w:rPr>
                <w:rFonts w:hint="eastAsia"/>
                <w:sz w:val="24"/>
                <w:u w:val="single"/>
              </w:rPr>
              <w:t>～</w:t>
            </w:r>
            <w:r>
              <w:rPr>
                <w:sz w:val="24"/>
                <w:u w:val="single"/>
              </w:rPr>
              <w:t>30</w:t>
            </w:r>
            <w:r>
              <w:rPr>
                <w:rFonts w:hint="eastAsia"/>
                <w:sz w:val="24"/>
                <w:u w:val="single"/>
              </w:rPr>
              <w:t>℃。室内严禁明火，保持场地清洁干净，并配备相应的消防器材和个人防护用品等。</w:t>
            </w:r>
          </w:p>
          <w:p w14:paraId="203B07DD">
            <w:pPr>
              <w:adjustRightInd w:val="0"/>
              <w:snapToGrid w:val="0"/>
              <w:spacing w:line="360" w:lineRule="auto"/>
              <w:ind w:firstLine="480" w:firstLineChars="200"/>
              <w:rPr>
                <w:rFonts w:hint="eastAsia"/>
                <w:sz w:val="24"/>
                <w:u w:val="single"/>
              </w:rPr>
            </w:pPr>
            <w:r>
              <w:rPr>
                <w:rFonts w:hint="eastAsia"/>
                <w:sz w:val="24"/>
                <w:u w:val="single"/>
              </w:rPr>
              <w:t>e.储存间地面应采取表面防渗措施，并在贮存容器下方设置不锈钢托盘，在储存间内设置空桶，发生少量泄漏应立即将容器内剩余溶液转移至空桶内，并收集托盘内泄漏液体，防止泄漏物料挥发到大气中，对环境产生影响。</w:t>
            </w:r>
          </w:p>
          <w:p w14:paraId="49379BC5">
            <w:pPr>
              <w:adjustRightInd w:val="0"/>
              <w:snapToGrid w:val="0"/>
              <w:spacing w:line="360" w:lineRule="auto"/>
              <w:ind w:firstLine="480" w:firstLineChars="200"/>
              <w:rPr>
                <w:rFonts w:hint="eastAsia"/>
                <w:sz w:val="24"/>
                <w:u w:val="single"/>
              </w:rPr>
            </w:pPr>
            <w:r>
              <w:rPr>
                <w:rFonts w:hint="eastAsia"/>
                <w:sz w:val="24"/>
                <w:u w:val="single"/>
              </w:rPr>
              <w:t>f.储存区设置围挡等截留设施，若发生事故泄露，将物料控制在储存间内。</w:t>
            </w:r>
          </w:p>
          <w:p w14:paraId="6F7341E6">
            <w:pPr>
              <w:adjustRightInd w:val="0"/>
              <w:snapToGrid w:val="0"/>
              <w:spacing w:line="360" w:lineRule="auto"/>
              <w:ind w:firstLine="480" w:firstLineChars="200"/>
              <w:rPr>
                <w:rFonts w:hint="eastAsia"/>
                <w:sz w:val="24"/>
                <w:u w:val="single"/>
              </w:rPr>
            </w:pPr>
            <w:r>
              <w:rPr>
                <w:rFonts w:hint="eastAsia"/>
                <w:sz w:val="24"/>
                <w:u w:val="single"/>
              </w:rPr>
              <w:t>（2）火灾导致的次生环境风险防范措施</w:t>
            </w:r>
          </w:p>
          <w:p w14:paraId="062138F3">
            <w:pPr>
              <w:adjustRightInd w:val="0"/>
              <w:snapToGrid w:val="0"/>
              <w:spacing w:line="360" w:lineRule="auto"/>
              <w:ind w:firstLine="480" w:firstLineChars="200"/>
              <w:rPr>
                <w:rFonts w:hint="eastAsia"/>
                <w:sz w:val="24"/>
                <w:u w:val="single"/>
              </w:rPr>
            </w:pPr>
            <w:r>
              <w:rPr>
                <w:rFonts w:hint="eastAsia"/>
                <w:sz w:val="24"/>
                <w:u w:val="single"/>
              </w:rPr>
              <w:t>项目发生火灾会产生一定的燃烧烟气和消防废水。当发生事故时，应采取措施，发生事故时采用沙包堵截消防废水，避免消防废水排除厂外。厂区内配备消防、灭火器材等，企业应建立严格的应急管理制度，有专职的应急管理人员。</w:t>
            </w:r>
          </w:p>
          <w:p w14:paraId="6F443095">
            <w:pPr>
              <w:adjustRightInd w:val="0"/>
              <w:snapToGrid w:val="0"/>
              <w:spacing w:line="360" w:lineRule="auto"/>
              <w:ind w:firstLine="480" w:firstLineChars="200"/>
              <w:rPr>
                <w:rFonts w:hint="eastAsia"/>
                <w:sz w:val="24"/>
                <w:u w:val="single"/>
              </w:rPr>
            </w:pPr>
            <w:r>
              <w:rPr>
                <w:rFonts w:hint="eastAsia"/>
                <w:sz w:val="24"/>
                <w:u w:val="single"/>
              </w:rPr>
              <w:t>（3）废气事故排放风险的防范措施</w:t>
            </w:r>
          </w:p>
          <w:p w14:paraId="7D62B3C1">
            <w:pPr>
              <w:adjustRightInd w:val="0"/>
              <w:snapToGrid w:val="0"/>
              <w:spacing w:line="360" w:lineRule="auto"/>
              <w:ind w:firstLine="480" w:firstLineChars="200"/>
              <w:rPr>
                <w:sz w:val="24"/>
                <w:u w:val="single"/>
              </w:rPr>
            </w:pPr>
            <w:r>
              <w:rPr>
                <w:rFonts w:hint="eastAsia"/>
                <w:sz w:val="24"/>
                <w:u w:val="single"/>
              </w:rPr>
              <w:t>本项目废气正常处理后排放浓度不超过排放标准，对周围环境的影响较小。但是，当废气治理设施发生故障情况，可能会对环境空气质量造成一定的影响。导致废气治理设施运行故障的原因主要有：抽风设备故障、人员操作失误、处理装置故障等。企业必须严加管理，杜绝事故排放的事故发生。应认真做好设备的定期维护、保修工作，使处理设施达到预期效果。现场作业人员定时记录废气抽排放系统及收集排放系统，并派专人巡视，废气处理系统出现故障，立即停止生产，切断废气来源，维修正常后再恢复生产，杜绝事故性废气直排，待检修完毕再恢复生产。</w:t>
            </w:r>
          </w:p>
          <w:p w14:paraId="755F51FD">
            <w:pPr>
              <w:adjustRightInd w:val="0"/>
              <w:snapToGrid w:val="0"/>
              <w:spacing w:line="360" w:lineRule="auto"/>
              <w:ind w:firstLine="480" w:firstLineChars="200"/>
              <w:rPr>
                <w:rFonts w:hint="eastAsia"/>
                <w:snapToGrid w:val="0"/>
                <w:kern w:val="0"/>
                <w:sz w:val="24"/>
                <w:u w:val="single"/>
              </w:rPr>
            </w:pPr>
            <w:r>
              <w:rPr>
                <w:rFonts w:hint="eastAsia"/>
                <w:snapToGrid w:val="0"/>
                <w:kern w:val="0"/>
                <w:sz w:val="24"/>
                <w:u w:val="single"/>
              </w:rPr>
              <w:t>7.4小结</w:t>
            </w:r>
          </w:p>
          <w:p w14:paraId="7D57FEC4">
            <w:pPr>
              <w:adjustRightInd w:val="0"/>
              <w:snapToGrid w:val="0"/>
              <w:spacing w:line="360" w:lineRule="auto"/>
              <w:ind w:firstLine="480" w:firstLineChars="200"/>
              <w:rPr>
                <w:rFonts w:hint="eastAsia"/>
                <w:sz w:val="24"/>
                <w:u w:val="single"/>
              </w:rPr>
            </w:pPr>
            <w:r>
              <w:rPr>
                <w:rFonts w:hint="eastAsia"/>
                <w:sz w:val="24"/>
                <w:u w:val="single"/>
              </w:rPr>
              <w:t>项目在严格采取各项风险防范应急措施、制定突发环境事件应急预案以及与周边企业建立联动的情况下，可最大限度地降低环境风险，一旦意外事件发生，环境风险可得到控制，能最大限度地减少环境污染危害，环境风险防范措施有效，风险影响程度可接受。</w:t>
            </w:r>
          </w:p>
          <w:p w14:paraId="73813E6C">
            <w:pPr>
              <w:spacing w:line="360" w:lineRule="auto"/>
              <w:ind w:firstLine="482" w:firstLineChars="200"/>
              <w:rPr>
                <w:b/>
                <w:bCs/>
                <w:sz w:val="24"/>
              </w:rPr>
            </w:pPr>
            <w:r>
              <w:rPr>
                <w:rFonts w:hint="eastAsia"/>
                <w:b/>
                <w:bCs/>
                <w:sz w:val="24"/>
              </w:rPr>
              <w:t>8、电磁辐射</w:t>
            </w:r>
          </w:p>
          <w:p w14:paraId="61B5261C">
            <w:pPr>
              <w:adjustRightInd w:val="0"/>
              <w:snapToGrid w:val="0"/>
              <w:spacing w:line="360" w:lineRule="auto"/>
              <w:ind w:firstLine="480" w:firstLineChars="200"/>
              <w:rPr>
                <w:snapToGrid w:val="0"/>
                <w:kern w:val="0"/>
                <w:sz w:val="24"/>
              </w:rPr>
            </w:pPr>
            <w:r>
              <w:rPr>
                <w:rFonts w:hint="eastAsia"/>
                <w:snapToGrid w:val="0"/>
                <w:kern w:val="0"/>
                <w:sz w:val="24"/>
              </w:rPr>
              <w:t>本项目不属于电磁辐射类项目，故本项目不涉及电磁辐射影响。</w:t>
            </w:r>
          </w:p>
          <w:p w14:paraId="3E8908A3">
            <w:pPr>
              <w:adjustRightInd w:val="0"/>
              <w:snapToGrid w:val="0"/>
              <w:spacing w:line="360" w:lineRule="auto"/>
              <w:ind w:firstLine="482" w:firstLineChars="200"/>
              <w:rPr>
                <w:rFonts w:hint="eastAsia"/>
                <w:b/>
                <w:bCs/>
                <w:snapToGrid w:val="0"/>
                <w:kern w:val="0"/>
                <w:sz w:val="24"/>
                <w:u w:val="single"/>
              </w:rPr>
            </w:pPr>
            <w:r>
              <w:rPr>
                <w:rFonts w:hint="eastAsia"/>
                <w:b/>
                <w:bCs/>
                <w:snapToGrid w:val="0"/>
                <w:kern w:val="0"/>
                <w:sz w:val="24"/>
                <w:u w:val="single"/>
              </w:rPr>
              <w:t>9、环保投资</w:t>
            </w:r>
          </w:p>
          <w:p w14:paraId="434346D8">
            <w:pPr>
              <w:adjustRightInd w:val="0"/>
              <w:snapToGrid w:val="0"/>
              <w:spacing w:line="360" w:lineRule="auto"/>
              <w:ind w:firstLine="480" w:firstLineChars="200"/>
              <w:rPr>
                <w:rFonts w:hint="eastAsia"/>
                <w:bCs/>
                <w:snapToGrid w:val="0"/>
                <w:kern w:val="0"/>
                <w:sz w:val="24"/>
              </w:rPr>
            </w:pPr>
            <w:r>
              <w:rPr>
                <w:rFonts w:hint="eastAsia"/>
                <w:bCs/>
                <w:snapToGrid w:val="0"/>
                <w:kern w:val="0"/>
                <w:sz w:val="24"/>
              </w:rPr>
              <w:t>本项目环保投资见下表：</w:t>
            </w:r>
          </w:p>
          <w:p w14:paraId="2B3F348E">
            <w:pPr>
              <w:pStyle w:val="137"/>
              <w:numPr>
                <w:ilvl w:val="0"/>
                <w:numId w:val="7"/>
              </w:numPr>
              <w:adjustRightInd w:val="0"/>
              <w:snapToGrid w:val="0"/>
              <w:ind w:firstLineChars="0"/>
              <w:jc w:val="center"/>
              <w:rPr>
                <w:b/>
                <w:bCs/>
                <w:color w:val="000000"/>
                <w:kern w:val="0"/>
                <w:sz w:val="24"/>
                <w:u w:val="single"/>
              </w:rPr>
            </w:pPr>
            <w:r>
              <w:rPr>
                <w:rFonts w:hint="eastAsia" w:ascii="宋体" w:hAnsi="宋体"/>
                <w:b/>
                <w:bCs/>
                <w:color w:val="000000"/>
                <w:u w:val="single"/>
              </w:rPr>
              <w:t>本项目环保设施及投资估算一览表</w:t>
            </w:r>
          </w:p>
          <w:tbl>
            <w:tblPr>
              <w:tblStyle w:val="38"/>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846"/>
              <w:gridCol w:w="4115"/>
              <w:gridCol w:w="1187"/>
            </w:tblGrid>
            <w:tr w14:paraId="1640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1FAC7BFD">
                  <w:pPr>
                    <w:jc w:val="center"/>
                    <w:rPr>
                      <w:b/>
                      <w:bCs/>
                      <w:color w:val="000000"/>
                      <w:szCs w:val="21"/>
                      <w:u w:val="single"/>
                    </w:rPr>
                  </w:pPr>
                  <w:r>
                    <w:rPr>
                      <w:rFonts w:hint="eastAsia" w:ascii="宋体" w:hAnsi="宋体"/>
                      <w:b/>
                      <w:bCs/>
                      <w:color w:val="000000"/>
                      <w:u w:val="single"/>
                    </w:rPr>
                    <w:t>项目</w:t>
                  </w:r>
                </w:p>
              </w:tc>
              <w:tc>
                <w:tcPr>
                  <w:tcW w:w="1846" w:type="dxa"/>
                  <w:tcBorders>
                    <w:top w:val="single" w:color="auto" w:sz="4" w:space="0"/>
                    <w:left w:val="nil"/>
                    <w:bottom w:val="single" w:color="auto" w:sz="4" w:space="0"/>
                    <w:right w:val="single" w:color="auto" w:sz="4" w:space="0"/>
                  </w:tcBorders>
                  <w:vAlign w:val="center"/>
                </w:tcPr>
                <w:p w14:paraId="340A9946">
                  <w:pPr>
                    <w:jc w:val="center"/>
                    <w:rPr>
                      <w:b/>
                      <w:bCs/>
                      <w:color w:val="000000"/>
                      <w:szCs w:val="21"/>
                      <w:u w:val="single"/>
                    </w:rPr>
                  </w:pPr>
                  <w:r>
                    <w:rPr>
                      <w:rFonts w:hint="eastAsia" w:ascii="宋体" w:hAnsi="宋体"/>
                      <w:b/>
                      <w:bCs/>
                      <w:color w:val="000000"/>
                      <w:u w:val="single"/>
                    </w:rPr>
                    <w:t>治理内容</w:t>
                  </w:r>
                </w:p>
              </w:tc>
              <w:tc>
                <w:tcPr>
                  <w:tcW w:w="4115" w:type="dxa"/>
                  <w:tcBorders>
                    <w:top w:val="single" w:color="auto" w:sz="4" w:space="0"/>
                    <w:left w:val="nil"/>
                    <w:bottom w:val="single" w:color="auto" w:sz="4" w:space="0"/>
                    <w:right w:val="single" w:color="auto" w:sz="4" w:space="0"/>
                  </w:tcBorders>
                  <w:vAlign w:val="center"/>
                </w:tcPr>
                <w:p w14:paraId="5F022293">
                  <w:pPr>
                    <w:jc w:val="center"/>
                    <w:rPr>
                      <w:b/>
                      <w:bCs/>
                      <w:color w:val="000000"/>
                      <w:szCs w:val="21"/>
                      <w:u w:val="single"/>
                    </w:rPr>
                  </w:pPr>
                  <w:r>
                    <w:rPr>
                      <w:rFonts w:hint="eastAsia" w:ascii="宋体" w:hAnsi="宋体"/>
                      <w:b/>
                      <w:bCs/>
                      <w:color w:val="000000"/>
                      <w:u w:val="single"/>
                    </w:rPr>
                    <w:t>环保设备（设施）名称</w:t>
                  </w:r>
                </w:p>
              </w:tc>
              <w:tc>
                <w:tcPr>
                  <w:tcW w:w="1187" w:type="dxa"/>
                  <w:tcBorders>
                    <w:top w:val="single" w:color="auto" w:sz="4" w:space="0"/>
                    <w:left w:val="nil"/>
                    <w:bottom w:val="single" w:color="auto" w:sz="4" w:space="0"/>
                    <w:right w:val="single" w:color="auto" w:sz="4" w:space="0"/>
                  </w:tcBorders>
                  <w:vAlign w:val="center"/>
                </w:tcPr>
                <w:p w14:paraId="16E246DB">
                  <w:pPr>
                    <w:jc w:val="center"/>
                    <w:rPr>
                      <w:b/>
                      <w:bCs/>
                      <w:color w:val="000000"/>
                      <w:szCs w:val="21"/>
                      <w:u w:val="single"/>
                    </w:rPr>
                  </w:pPr>
                  <w:r>
                    <w:rPr>
                      <w:rFonts w:hint="eastAsia" w:ascii="宋体" w:hAnsi="宋体"/>
                      <w:b/>
                      <w:bCs/>
                      <w:color w:val="000000"/>
                      <w:u w:val="single"/>
                    </w:rPr>
                    <w:t>投资额</w:t>
                  </w:r>
                </w:p>
                <w:p w14:paraId="100A683F">
                  <w:pPr>
                    <w:jc w:val="center"/>
                    <w:rPr>
                      <w:b/>
                      <w:bCs/>
                      <w:color w:val="000000"/>
                      <w:szCs w:val="21"/>
                      <w:u w:val="single"/>
                    </w:rPr>
                  </w:pPr>
                  <w:r>
                    <w:rPr>
                      <w:rFonts w:hint="eastAsia" w:ascii="宋体" w:hAnsi="宋体"/>
                      <w:b/>
                      <w:bCs/>
                      <w:color w:val="000000"/>
                      <w:u w:val="single"/>
                    </w:rPr>
                    <w:t>（万元）</w:t>
                  </w:r>
                </w:p>
              </w:tc>
            </w:tr>
            <w:tr w14:paraId="6161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49" w:type="dxa"/>
                  <w:vMerge w:val="restart"/>
                  <w:tcBorders>
                    <w:top w:val="nil"/>
                    <w:left w:val="single" w:color="auto" w:sz="4" w:space="0"/>
                    <w:bottom w:val="single" w:color="auto" w:sz="4" w:space="0"/>
                    <w:right w:val="single" w:color="auto" w:sz="4" w:space="0"/>
                  </w:tcBorders>
                  <w:vAlign w:val="center"/>
                </w:tcPr>
                <w:p w14:paraId="39A7B992">
                  <w:pPr>
                    <w:widowControl/>
                    <w:jc w:val="center"/>
                    <w:rPr>
                      <w:color w:val="000000"/>
                      <w:szCs w:val="21"/>
                      <w:u w:val="single"/>
                    </w:rPr>
                  </w:pPr>
                  <w:r>
                    <w:rPr>
                      <w:color w:val="000000"/>
                      <w:szCs w:val="21"/>
                      <w:u w:val="single"/>
                    </w:rPr>
                    <w:t>废气</w:t>
                  </w:r>
                </w:p>
              </w:tc>
              <w:tc>
                <w:tcPr>
                  <w:tcW w:w="1846" w:type="dxa"/>
                  <w:tcBorders>
                    <w:top w:val="single" w:color="auto" w:sz="4" w:space="0"/>
                    <w:left w:val="nil"/>
                    <w:bottom w:val="single" w:color="auto" w:sz="4" w:space="0"/>
                    <w:right w:val="single" w:color="auto" w:sz="4" w:space="0"/>
                  </w:tcBorders>
                </w:tcPr>
                <w:p w14:paraId="724422FA">
                  <w:pPr>
                    <w:jc w:val="center"/>
                    <w:rPr>
                      <w:rFonts w:ascii="宋体" w:hAnsi="宋体"/>
                      <w:color w:val="000000"/>
                      <w:szCs w:val="21"/>
                      <w:u w:val="single"/>
                    </w:rPr>
                  </w:pPr>
                  <w:r>
                    <w:rPr>
                      <w:rFonts w:hint="eastAsia" w:ascii="宋体" w:hAnsi="宋体"/>
                      <w:color w:val="000000"/>
                      <w:u w:val="single"/>
                    </w:rPr>
                    <w:t>中空工艺（涂胶、固定、硅酮胶搅拌混合以及封胶过程）有机废气</w:t>
                  </w:r>
                </w:p>
              </w:tc>
              <w:tc>
                <w:tcPr>
                  <w:tcW w:w="4115" w:type="dxa"/>
                  <w:tcBorders>
                    <w:top w:val="single" w:color="auto" w:sz="4" w:space="0"/>
                    <w:left w:val="nil"/>
                    <w:bottom w:val="single" w:color="auto" w:sz="4" w:space="0"/>
                    <w:right w:val="single" w:color="auto" w:sz="4" w:space="0"/>
                  </w:tcBorders>
                  <w:vAlign w:val="center"/>
                </w:tcPr>
                <w:p w14:paraId="48473CC4">
                  <w:pPr>
                    <w:jc w:val="center"/>
                    <w:rPr>
                      <w:color w:val="000000"/>
                      <w:szCs w:val="21"/>
                      <w:u w:val="single"/>
                    </w:rPr>
                  </w:pPr>
                  <w:r>
                    <w:rPr>
                      <w:rFonts w:hint="eastAsia" w:ascii="宋体" w:hAnsi="宋体"/>
                      <w:bCs/>
                      <w:color w:val="000000"/>
                      <w:u w:val="single"/>
                    </w:rPr>
                    <w:t>集气装置</w:t>
                  </w:r>
                  <w:r>
                    <w:rPr>
                      <w:bCs/>
                      <w:color w:val="000000"/>
                      <w:u w:val="single"/>
                    </w:rPr>
                    <w:t>+</w:t>
                  </w:r>
                  <w:r>
                    <w:rPr>
                      <w:rFonts w:hint="eastAsia" w:ascii="宋体" w:hAnsi="宋体"/>
                      <w:bCs/>
                      <w:color w:val="000000"/>
                      <w:u w:val="single"/>
                    </w:rPr>
                    <w:t>活性炭吸附</w:t>
                  </w:r>
                  <w:r>
                    <w:rPr>
                      <w:bCs/>
                      <w:color w:val="000000"/>
                      <w:u w:val="single"/>
                    </w:rPr>
                    <w:t>-</w:t>
                  </w:r>
                  <w:r>
                    <w:rPr>
                      <w:rFonts w:hint="eastAsia" w:ascii="宋体" w:hAnsi="宋体"/>
                      <w:bCs/>
                      <w:color w:val="000000"/>
                      <w:u w:val="single"/>
                    </w:rPr>
                    <w:t>脱附</w:t>
                  </w:r>
                  <w:r>
                    <w:rPr>
                      <w:bCs/>
                      <w:color w:val="000000"/>
                      <w:u w:val="single"/>
                    </w:rPr>
                    <w:t>+</w:t>
                  </w:r>
                  <w:r>
                    <w:rPr>
                      <w:rFonts w:hint="eastAsia" w:ascii="宋体" w:hAnsi="宋体"/>
                      <w:bCs/>
                      <w:color w:val="000000"/>
                      <w:u w:val="single"/>
                    </w:rPr>
                    <w:t>催化燃烧</w:t>
                  </w:r>
                  <w:r>
                    <w:rPr>
                      <w:bCs/>
                      <w:color w:val="000000"/>
                      <w:u w:val="single"/>
                    </w:rPr>
                    <w:t>+15m</w:t>
                  </w:r>
                  <w:r>
                    <w:rPr>
                      <w:rFonts w:hint="eastAsia" w:ascii="宋体" w:hAnsi="宋体"/>
                      <w:bCs/>
                      <w:color w:val="000000"/>
                      <w:u w:val="single"/>
                    </w:rPr>
                    <w:t>高排气筒（</w:t>
                  </w:r>
                  <w:r>
                    <w:rPr>
                      <w:bCs/>
                      <w:color w:val="000000"/>
                      <w:u w:val="single"/>
                    </w:rPr>
                    <w:t>DA00</w:t>
                  </w:r>
                  <w:r>
                    <w:rPr>
                      <w:rFonts w:hint="eastAsia"/>
                      <w:bCs/>
                      <w:color w:val="000000"/>
                      <w:u w:val="single"/>
                    </w:rPr>
                    <w:t>1</w:t>
                  </w:r>
                  <w:r>
                    <w:rPr>
                      <w:rFonts w:hint="eastAsia" w:ascii="宋体" w:hAnsi="宋体"/>
                      <w:bCs/>
                      <w:color w:val="000000"/>
                      <w:u w:val="single"/>
                    </w:rPr>
                    <w:t>）排放</w:t>
                  </w:r>
                </w:p>
              </w:tc>
              <w:tc>
                <w:tcPr>
                  <w:tcW w:w="1187" w:type="dxa"/>
                  <w:vMerge w:val="restart"/>
                  <w:tcBorders>
                    <w:top w:val="nil"/>
                    <w:left w:val="nil"/>
                    <w:bottom w:val="single" w:color="auto" w:sz="4" w:space="0"/>
                    <w:right w:val="single" w:color="auto" w:sz="4" w:space="0"/>
                  </w:tcBorders>
                  <w:vAlign w:val="center"/>
                </w:tcPr>
                <w:p w14:paraId="298B598D">
                  <w:pPr>
                    <w:jc w:val="center"/>
                    <w:rPr>
                      <w:color w:val="000000"/>
                      <w:szCs w:val="21"/>
                      <w:u w:val="single"/>
                    </w:rPr>
                  </w:pPr>
                  <w:r>
                    <w:rPr>
                      <w:rFonts w:hint="eastAsia"/>
                      <w:color w:val="000000"/>
                      <w:u w:val="single"/>
                    </w:rPr>
                    <w:t>50</w:t>
                  </w:r>
                </w:p>
              </w:tc>
            </w:tr>
            <w:tr w14:paraId="76CC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49" w:type="dxa"/>
                  <w:vMerge w:val="continue"/>
                  <w:tcBorders>
                    <w:top w:val="nil"/>
                    <w:left w:val="single" w:color="auto" w:sz="4" w:space="0"/>
                    <w:bottom w:val="single" w:color="auto" w:sz="4" w:space="0"/>
                    <w:right w:val="single" w:color="auto" w:sz="4" w:space="0"/>
                  </w:tcBorders>
                  <w:vAlign w:val="center"/>
                </w:tcPr>
                <w:p w14:paraId="4C340164">
                  <w:pPr>
                    <w:widowControl/>
                    <w:jc w:val="left"/>
                    <w:rPr>
                      <w:color w:val="000000"/>
                      <w:szCs w:val="21"/>
                      <w:u w:val="single"/>
                    </w:rPr>
                  </w:pPr>
                </w:p>
              </w:tc>
              <w:tc>
                <w:tcPr>
                  <w:tcW w:w="1846" w:type="dxa"/>
                  <w:tcBorders>
                    <w:top w:val="single" w:color="auto" w:sz="4" w:space="0"/>
                    <w:left w:val="nil"/>
                    <w:bottom w:val="single" w:color="auto" w:sz="4" w:space="0"/>
                    <w:right w:val="single" w:color="auto" w:sz="4" w:space="0"/>
                  </w:tcBorders>
                  <w:vAlign w:val="center"/>
                </w:tcPr>
                <w:p w14:paraId="2936B7D6">
                  <w:pPr>
                    <w:jc w:val="center"/>
                    <w:rPr>
                      <w:color w:val="000000"/>
                      <w:szCs w:val="21"/>
                      <w:u w:val="single"/>
                    </w:rPr>
                  </w:pPr>
                  <w:r>
                    <w:rPr>
                      <w:rFonts w:hint="eastAsia" w:ascii="宋体" w:hAnsi="宋体"/>
                      <w:color w:val="000000"/>
                      <w:u w:val="single"/>
                    </w:rPr>
                    <w:t>危废间废气</w:t>
                  </w:r>
                </w:p>
              </w:tc>
              <w:tc>
                <w:tcPr>
                  <w:tcW w:w="4115" w:type="dxa"/>
                  <w:tcBorders>
                    <w:top w:val="single" w:color="auto" w:sz="4" w:space="0"/>
                    <w:left w:val="nil"/>
                    <w:bottom w:val="single" w:color="auto" w:sz="4" w:space="0"/>
                    <w:right w:val="single" w:color="auto" w:sz="4" w:space="0"/>
                  </w:tcBorders>
                  <w:vAlign w:val="center"/>
                </w:tcPr>
                <w:p w14:paraId="4D3BCF9F">
                  <w:pPr>
                    <w:jc w:val="center"/>
                    <w:rPr>
                      <w:color w:val="000000"/>
                      <w:szCs w:val="21"/>
                      <w:u w:val="single"/>
                    </w:rPr>
                  </w:pPr>
                  <w:r>
                    <w:rPr>
                      <w:rFonts w:hint="eastAsia" w:ascii="宋体" w:hAnsi="宋体"/>
                      <w:color w:val="000000"/>
                      <w:u w:val="single"/>
                    </w:rPr>
                    <w:t>危险废物密封储存，集气管道并设置风阀，换气后废气进入活性炭吸附</w:t>
                  </w:r>
                  <w:r>
                    <w:rPr>
                      <w:rFonts w:hint="eastAsia"/>
                      <w:color w:val="000000"/>
                      <w:u w:val="single"/>
                    </w:rPr>
                    <w:t>-</w:t>
                  </w:r>
                  <w:r>
                    <w:rPr>
                      <w:rFonts w:hint="eastAsia" w:ascii="宋体" w:hAnsi="宋体"/>
                      <w:color w:val="000000"/>
                      <w:u w:val="single"/>
                    </w:rPr>
                    <w:t>脱附</w:t>
                  </w:r>
                  <w:r>
                    <w:rPr>
                      <w:rFonts w:hint="eastAsia"/>
                      <w:color w:val="000000"/>
                      <w:u w:val="single"/>
                    </w:rPr>
                    <w:t>+</w:t>
                  </w:r>
                  <w:r>
                    <w:rPr>
                      <w:rFonts w:hint="eastAsia" w:ascii="宋体" w:hAnsi="宋体"/>
                      <w:color w:val="000000"/>
                      <w:u w:val="single"/>
                    </w:rPr>
                    <w:t>催化燃烧装置</w:t>
                  </w:r>
                  <w:r>
                    <w:rPr>
                      <w:rFonts w:hint="eastAsia"/>
                      <w:color w:val="000000"/>
                      <w:u w:val="single"/>
                    </w:rPr>
                    <w:t>+15m</w:t>
                  </w:r>
                  <w:r>
                    <w:rPr>
                      <w:rFonts w:hint="eastAsia" w:ascii="宋体" w:hAnsi="宋体"/>
                      <w:color w:val="000000"/>
                      <w:u w:val="single"/>
                    </w:rPr>
                    <w:t>高排气筒（</w:t>
                  </w:r>
                  <w:r>
                    <w:rPr>
                      <w:rFonts w:hint="eastAsia"/>
                      <w:color w:val="000000"/>
                      <w:u w:val="single"/>
                    </w:rPr>
                    <w:t>DA001</w:t>
                  </w:r>
                  <w:r>
                    <w:rPr>
                      <w:rFonts w:hint="eastAsia" w:ascii="宋体" w:hAnsi="宋体"/>
                      <w:color w:val="000000"/>
                      <w:u w:val="single"/>
                    </w:rPr>
                    <w:t>）排放</w:t>
                  </w:r>
                </w:p>
              </w:tc>
              <w:tc>
                <w:tcPr>
                  <w:tcW w:w="1187" w:type="dxa"/>
                  <w:vMerge w:val="continue"/>
                  <w:tcBorders>
                    <w:top w:val="nil"/>
                    <w:left w:val="nil"/>
                    <w:bottom w:val="single" w:color="auto" w:sz="4" w:space="0"/>
                    <w:right w:val="single" w:color="auto" w:sz="4" w:space="0"/>
                  </w:tcBorders>
                  <w:vAlign w:val="center"/>
                </w:tcPr>
                <w:p w14:paraId="117ABCF0">
                  <w:pPr>
                    <w:widowControl/>
                    <w:jc w:val="left"/>
                    <w:rPr>
                      <w:color w:val="000000"/>
                      <w:szCs w:val="21"/>
                      <w:u w:val="single"/>
                    </w:rPr>
                  </w:pPr>
                </w:p>
              </w:tc>
            </w:tr>
            <w:tr w14:paraId="193D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49" w:type="dxa"/>
                  <w:vMerge w:val="restart"/>
                  <w:tcBorders>
                    <w:top w:val="nil"/>
                    <w:left w:val="single" w:color="auto" w:sz="4" w:space="0"/>
                    <w:bottom w:val="single" w:color="auto" w:sz="4" w:space="0"/>
                    <w:right w:val="single" w:color="auto" w:sz="4" w:space="0"/>
                  </w:tcBorders>
                  <w:vAlign w:val="center"/>
                </w:tcPr>
                <w:p w14:paraId="23845772">
                  <w:pPr>
                    <w:jc w:val="center"/>
                    <w:rPr>
                      <w:rFonts w:ascii="宋体" w:hAnsi="宋体"/>
                      <w:color w:val="000000"/>
                      <w:szCs w:val="21"/>
                      <w:u w:val="single"/>
                    </w:rPr>
                  </w:pPr>
                  <w:r>
                    <w:rPr>
                      <w:rFonts w:hint="eastAsia" w:ascii="宋体" w:hAnsi="宋体"/>
                      <w:color w:val="000000"/>
                      <w:u w:val="single"/>
                    </w:rPr>
                    <w:t>废水</w:t>
                  </w:r>
                </w:p>
              </w:tc>
              <w:tc>
                <w:tcPr>
                  <w:tcW w:w="1846" w:type="dxa"/>
                  <w:tcBorders>
                    <w:top w:val="single" w:color="auto" w:sz="4" w:space="0"/>
                    <w:left w:val="nil"/>
                    <w:bottom w:val="single" w:color="auto" w:sz="4" w:space="0"/>
                    <w:right w:val="single" w:color="auto" w:sz="4" w:space="0"/>
                  </w:tcBorders>
                  <w:vAlign w:val="center"/>
                </w:tcPr>
                <w:p w14:paraId="585F9FFB">
                  <w:pPr>
                    <w:jc w:val="center"/>
                    <w:rPr>
                      <w:rFonts w:ascii="宋体" w:hAnsi="宋体"/>
                      <w:color w:val="000000"/>
                      <w:szCs w:val="21"/>
                      <w:u w:val="single"/>
                    </w:rPr>
                  </w:pPr>
                  <w:r>
                    <w:rPr>
                      <w:rFonts w:hint="eastAsia" w:ascii="宋体" w:hAnsi="宋体"/>
                      <w:color w:val="000000"/>
                      <w:u w:val="single"/>
                    </w:rPr>
                    <w:t>生产废水</w:t>
                  </w:r>
                </w:p>
              </w:tc>
              <w:tc>
                <w:tcPr>
                  <w:tcW w:w="4115" w:type="dxa"/>
                  <w:tcBorders>
                    <w:top w:val="single" w:color="auto" w:sz="4" w:space="0"/>
                    <w:left w:val="nil"/>
                    <w:bottom w:val="single" w:color="auto" w:sz="4" w:space="0"/>
                    <w:right w:val="single" w:color="auto" w:sz="4" w:space="0"/>
                  </w:tcBorders>
                  <w:vAlign w:val="center"/>
                </w:tcPr>
                <w:p w14:paraId="21121CE9">
                  <w:pPr>
                    <w:jc w:val="center"/>
                    <w:rPr>
                      <w:color w:val="000000"/>
                      <w:szCs w:val="21"/>
                      <w:u w:val="single"/>
                    </w:rPr>
                  </w:pPr>
                  <w:r>
                    <w:rPr>
                      <w:rFonts w:hint="eastAsia"/>
                      <w:color w:val="000000"/>
                      <w:u w:val="single"/>
                    </w:rPr>
                    <w:t>三级</w:t>
                  </w:r>
                  <w:r>
                    <w:rPr>
                      <w:color w:val="000000"/>
                      <w:u w:val="single"/>
                    </w:rPr>
                    <w:t>沉淀池</w:t>
                  </w:r>
                  <w:r>
                    <w:rPr>
                      <w:rFonts w:hint="eastAsia"/>
                      <w:color w:val="000000"/>
                      <w:u w:val="single"/>
                    </w:rPr>
                    <w:t>（29.4m</w:t>
                  </w:r>
                  <w:r>
                    <w:rPr>
                      <w:rFonts w:hint="eastAsia"/>
                      <w:color w:val="000000"/>
                      <w:u w:val="single"/>
                      <w:vertAlign w:val="superscript"/>
                    </w:rPr>
                    <w:t>3</w:t>
                  </w:r>
                  <w:r>
                    <w:rPr>
                      <w:rFonts w:hint="eastAsia"/>
                      <w:color w:val="000000"/>
                      <w:u w:val="single"/>
                    </w:rPr>
                    <w:t>）</w:t>
                  </w:r>
                </w:p>
              </w:tc>
              <w:tc>
                <w:tcPr>
                  <w:tcW w:w="1187" w:type="dxa"/>
                  <w:tcBorders>
                    <w:top w:val="single" w:color="auto" w:sz="4" w:space="0"/>
                    <w:left w:val="nil"/>
                    <w:bottom w:val="single" w:color="auto" w:sz="4" w:space="0"/>
                    <w:right w:val="single" w:color="auto" w:sz="4" w:space="0"/>
                  </w:tcBorders>
                  <w:vAlign w:val="center"/>
                </w:tcPr>
                <w:p w14:paraId="62436E14">
                  <w:pPr>
                    <w:jc w:val="center"/>
                    <w:rPr>
                      <w:color w:val="000000"/>
                      <w:szCs w:val="21"/>
                      <w:u w:val="single"/>
                    </w:rPr>
                  </w:pPr>
                  <w:r>
                    <w:rPr>
                      <w:rFonts w:hint="eastAsia"/>
                      <w:color w:val="000000"/>
                      <w:u w:val="single"/>
                    </w:rPr>
                    <w:t>2</w:t>
                  </w:r>
                </w:p>
              </w:tc>
            </w:tr>
            <w:tr w14:paraId="2E3D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49" w:type="dxa"/>
                  <w:vMerge w:val="continue"/>
                  <w:tcBorders>
                    <w:top w:val="nil"/>
                    <w:left w:val="single" w:color="auto" w:sz="4" w:space="0"/>
                    <w:bottom w:val="single" w:color="auto" w:sz="4" w:space="0"/>
                    <w:right w:val="single" w:color="auto" w:sz="4" w:space="0"/>
                  </w:tcBorders>
                  <w:vAlign w:val="center"/>
                </w:tcPr>
                <w:p w14:paraId="24234274">
                  <w:pPr>
                    <w:widowControl/>
                    <w:jc w:val="left"/>
                    <w:rPr>
                      <w:rFonts w:ascii="宋体" w:hAnsi="宋体"/>
                      <w:color w:val="000000"/>
                      <w:szCs w:val="21"/>
                      <w:u w:val="single"/>
                    </w:rPr>
                  </w:pPr>
                </w:p>
              </w:tc>
              <w:tc>
                <w:tcPr>
                  <w:tcW w:w="1846" w:type="dxa"/>
                  <w:tcBorders>
                    <w:top w:val="single" w:color="auto" w:sz="4" w:space="0"/>
                    <w:left w:val="nil"/>
                    <w:bottom w:val="single" w:color="auto" w:sz="4" w:space="0"/>
                    <w:right w:val="single" w:color="auto" w:sz="4" w:space="0"/>
                  </w:tcBorders>
                  <w:vAlign w:val="center"/>
                </w:tcPr>
                <w:p w14:paraId="2C8367DB">
                  <w:pPr>
                    <w:jc w:val="center"/>
                    <w:rPr>
                      <w:color w:val="000000"/>
                      <w:szCs w:val="21"/>
                      <w:u w:val="single"/>
                    </w:rPr>
                  </w:pPr>
                  <w:r>
                    <w:rPr>
                      <w:rFonts w:hint="eastAsia" w:ascii="宋体" w:hAnsi="宋体"/>
                      <w:color w:val="000000"/>
                      <w:u w:val="single"/>
                    </w:rPr>
                    <w:t>生活污水</w:t>
                  </w:r>
                </w:p>
              </w:tc>
              <w:tc>
                <w:tcPr>
                  <w:tcW w:w="4115" w:type="dxa"/>
                  <w:tcBorders>
                    <w:top w:val="single" w:color="auto" w:sz="4" w:space="0"/>
                    <w:left w:val="nil"/>
                    <w:bottom w:val="single" w:color="auto" w:sz="4" w:space="0"/>
                    <w:right w:val="single" w:color="auto" w:sz="4" w:space="0"/>
                  </w:tcBorders>
                  <w:vAlign w:val="center"/>
                </w:tcPr>
                <w:p w14:paraId="54FCF25B">
                  <w:pPr>
                    <w:jc w:val="center"/>
                    <w:rPr>
                      <w:color w:val="000000"/>
                      <w:szCs w:val="21"/>
                      <w:u w:val="single"/>
                    </w:rPr>
                  </w:pPr>
                  <w:r>
                    <w:rPr>
                      <w:rFonts w:hint="eastAsia" w:ascii="宋体" w:hAnsi="宋体"/>
                      <w:color w:val="000000"/>
                      <w:u w:val="single"/>
                    </w:rPr>
                    <w:t>化粪池</w:t>
                  </w:r>
                </w:p>
              </w:tc>
              <w:tc>
                <w:tcPr>
                  <w:tcW w:w="1187" w:type="dxa"/>
                  <w:tcBorders>
                    <w:top w:val="single" w:color="auto" w:sz="4" w:space="0"/>
                    <w:left w:val="nil"/>
                    <w:bottom w:val="single" w:color="auto" w:sz="4" w:space="0"/>
                    <w:right w:val="single" w:color="auto" w:sz="4" w:space="0"/>
                  </w:tcBorders>
                  <w:vAlign w:val="center"/>
                </w:tcPr>
                <w:p w14:paraId="48D756F7">
                  <w:pPr>
                    <w:jc w:val="center"/>
                    <w:rPr>
                      <w:color w:val="000000"/>
                      <w:szCs w:val="21"/>
                      <w:u w:val="single"/>
                    </w:rPr>
                  </w:pPr>
                  <w:r>
                    <w:rPr>
                      <w:rFonts w:hint="eastAsia"/>
                      <w:color w:val="000000"/>
                      <w:u w:val="single"/>
                    </w:rPr>
                    <w:t>0.5</w:t>
                  </w:r>
                </w:p>
              </w:tc>
            </w:tr>
            <w:tr w14:paraId="100C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5841325C">
                  <w:pPr>
                    <w:jc w:val="center"/>
                    <w:rPr>
                      <w:color w:val="000000"/>
                      <w:szCs w:val="21"/>
                      <w:u w:val="single"/>
                    </w:rPr>
                  </w:pPr>
                  <w:r>
                    <w:rPr>
                      <w:rFonts w:hint="eastAsia" w:ascii="宋体" w:hAnsi="宋体"/>
                      <w:color w:val="000000"/>
                      <w:u w:val="single"/>
                    </w:rPr>
                    <w:t>噪声</w:t>
                  </w:r>
                </w:p>
              </w:tc>
              <w:tc>
                <w:tcPr>
                  <w:tcW w:w="1846" w:type="dxa"/>
                  <w:tcBorders>
                    <w:top w:val="single" w:color="auto" w:sz="4" w:space="0"/>
                    <w:left w:val="nil"/>
                    <w:bottom w:val="single" w:color="auto" w:sz="4" w:space="0"/>
                    <w:right w:val="single" w:color="auto" w:sz="4" w:space="0"/>
                  </w:tcBorders>
                  <w:vAlign w:val="center"/>
                </w:tcPr>
                <w:p w14:paraId="72AEB11A">
                  <w:pPr>
                    <w:jc w:val="center"/>
                    <w:rPr>
                      <w:color w:val="000000"/>
                      <w:szCs w:val="21"/>
                      <w:u w:val="single"/>
                    </w:rPr>
                  </w:pPr>
                  <w:r>
                    <w:rPr>
                      <w:rFonts w:hint="eastAsia" w:ascii="宋体" w:hAnsi="宋体"/>
                      <w:color w:val="000000"/>
                      <w:u w:val="single"/>
                    </w:rPr>
                    <w:t>高噪声设备</w:t>
                  </w:r>
                </w:p>
              </w:tc>
              <w:tc>
                <w:tcPr>
                  <w:tcW w:w="4115" w:type="dxa"/>
                  <w:tcBorders>
                    <w:top w:val="single" w:color="auto" w:sz="4" w:space="0"/>
                    <w:left w:val="nil"/>
                    <w:bottom w:val="single" w:color="auto" w:sz="4" w:space="0"/>
                    <w:right w:val="single" w:color="auto" w:sz="4" w:space="0"/>
                  </w:tcBorders>
                  <w:vAlign w:val="center"/>
                </w:tcPr>
                <w:p w14:paraId="13780AF4">
                  <w:pPr>
                    <w:jc w:val="center"/>
                    <w:rPr>
                      <w:color w:val="000000"/>
                      <w:szCs w:val="21"/>
                      <w:u w:val="single"/>
                    </w:rPr>
                  </w:pPr>
                  <w:r>
                    <w:rPr>
                      <w:rFonts w:hint="eastAsia" w:ascii="宋体" w:hAnsi="宋体"/>
                      <w:color w:val="000000"/>
                      <w:u w:val="single"/>
                    </w:rPr>
                    <w:t>减振基础、隔声</w:t>
                  </w:r>
                </w:p>
              </w:tc>
              <w:tc>
                <w:tcPr>
                  <w:tcW w:w="1187" w:type="dxa"/>
                  <w:tcBorders>
                    <w:top w:val="single" w:color="auto" w:sz="4" w:space="0"/>
                    <w:left w:val="nil"/>
                    <w:bottom w:val="single" w:color="auto" w:sz="4" w:space="0"/>
                    <w:right w:val="single" w:color="auto" w:sz="4" w:space="0"/>
                  </w:tcBorders>
                  <w:vAlign w:val="center"/>
                </w:tcPr>
                <w:p w14:paraId="22D00FCF">
                  <w:pPr>
                    <w:jc w:val="center"/>
                    <w:rPr>
                      <w:color w:val="000000"/>
                      <w:szCs w:val="21"/>
                      <w:u w:val="single"/>
                    </w:rPr>
                  </w:pPr>
                  <w:r>
                    <w:rPr>
                      <w:rFonts w:hint="eastAsia"/>
                      <w:color w:val="000000"/>
                      <w:u w:val="single"/>
                    </w:rPr>
                    <w:t>2</w:t>
                  </w:r>
                </w:p>
              </w:tc>
            </w:tr>
            <w:tr w14:paraId="096D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49" w:type="dxa"/>
                  <w:vMerge w:val="restart"/>
                  <w:tcBorders>
                    <w:top w:val="nil"/>
                    <w:left w:val="single" w:color="auto" w:sz="4" w:space="0"/>
                    <w:bottom w:val="single" w:color="auto" w:sz="4" w:space="0"/>
                    <w:right w:val="single" w:color="auto" w:sz="4" w:space="0"/>
                  </w:tcBorders>
                  <w:vAlign w:val="center"/>
                </w:tcPr>
                <w:p w14:paraId="4EA52A8B">
                  <w:pPr>
                    <w:jc w:val="center"/>
                    <w:rPr>
                      <w:color w:val="000000"/>
                      <w:szCs w:val="21"/>
                      <w:u w:val="single"/>
                    </w:rPr>
                  </w:pPr>
                  <w:bookmarkStart w:id="54" w:name="OLE_LINK28"/>
                  <w:r>
                    <w:rPr>
                      <w:rFonts w:hint="eastAsia" w:ascii="宋体" w:hAnsi="宋体"/>
                      <w:color w:val="000000"/>
                      <w:u w:val="single"/>
                    </w:rPr>
                    <w:t>固废</w:t>
                  </w:r>
                  <w:bookmarkEnd w:id="54"/>
                </w:p>
              </w:tc>
              <w:tc>
                <w:tcPr>
                  <w:tcW w:w="1846" w:type="dxa"/>
                  <w:tcBorders>
                    <w:top w:val="single" w:color="auto" w:sz="4" w:space="0"/>
                    <w:left w:val="nil"/>
                    <w:bottom w:val="single" w:color="auto" w:sz="4" w:space="0"/>
                    <w:right w:val="single" w:color="auto" w:sz="4" w:space="0"/>
                  </w:tcBorders>
                  <w:vAlign w:val="center"/>
                </w:tcPr>
                <w:p w14:paraId="7037BBB7">
                  <w:pPr>
                    <w:jc w:val="center"/>
                    <w:rPr>
                      <w:color w:val="000000"/>
                      <w:szCs w:val="21"/>
                      <w:u w:val="single"/>
                    </w:rPr>
                  </w:pPr>
                  <w:r>
                    <w:rPr>
                      <w:rFonts w:hint="eastAsia" w:ascii="宋体" w:hAnsi="宋体"/>
                      <w:color w:val="000000"/>
                      <w:u w:val="single"/>
                    </w:rPr>
                    <w:t>一般固废</w:t>
                  </w:r>
                </w:p>
              </w:tc>
              <w:tc>
                <w:tcPr>
                  <w:tcW w:w="4115" w:type="dxa"/>
                  <w:tcBorders>
                    <w:top w:val="single" w:color="auto" w:sz="4" w:space="0"/>
                    <w:left w:val="nil"/>
                    <w:bottom w:val="single" w:color="auto" w:sz="4" w:space="0"/>
                    <w:right w:val="single" w:color="auto" w:sz="4" w:space="0"/>
                  </w:tcBorders>
                  <w:vAlign w:val="center"/>
                </w:tcPr>
                <w:p w14:paraId="7749C273">
                  <w:pPr>
                    <w:jc w:val="center"/>
                    <w:rPr>
                      <w:color w:val="000000"/>
                      <w:szCs w:val="21"/>
                      <w:u w:val="single"/>
                    </w:rPr>
                  </w:pPr>
                  <w:r>
                    <w:rPr>
                      <w:rFonts w:hint="eastAsia" w:ascii="宋体" w:hAnsi="宋体"/>
                      <w:color w:val="000000"/>
                      <w:u w:val="single"/>
                    </w:rPr>
                    <w:t>一般固废暂存区</w:t>
                  </w:r>
                </w:p>
              </w:tc>
              <w:tc>
                <w:tcPr>
                  <w:tcW w:w="1187" w:type="dxa"/>
                  <w:tcBorders>
                    <w:top w:val="single" w:color="auto" w:sz="4" w:space="0"/>
                    <w:left w:val="nil"/>
                    <w:bottom w:val="single" w:color="auto" w:sz="4" w:space="0"/>
                    <w:right w:val="single" w:color="auto" w:sz="4" w:space="0"/>
                  </w:tcBorders>
                  <w:vAlign w:val="center"/>
                </w:tcPr>
                <w:p w14:paraId="2234EC73">
                  <w:pPr>
                    <w:jc w:val="center"/>
                    <w:rPr>
                      <w:color w:val="000000"/>
                      <w:szCs w:val="21"/>
                      <w:u w:val="single"/>
                    </w:rPr>
                  </w:pPr>
                  <w:r>
                    <w:rPr>
                      <w:rFonts w:hint="eastAsia"/>
                      <w:color w:val="000000"/>
                      <w:u w:val="single"/>
                    </w:rPr>
                    <w:t>0.5</w:t>
                  </w:r>
                </w:p>
              </w:tc>
            </w:tr>
            <w:tr w14:paraId="7087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49" w:type="dxa"/>
                  <w:vMerge w:val="continue"/>
                  <w:tcBorders>
                    <w:top w:val="nil"/>
                    <w:left w:val="single" w:color="auto" w:sz="4" w:space="0"/>
                    <w:bottom w:val="single" w:color="auto" w:sz="4" w:space="0"/>
                    <w:right w:val="single" w:color="auto" w:sz="4" w:space="0"/>
                  </w:tcBorders>
                  <w:vAlign w:val="center"/>
                </w:tcPr>
                <w:p w14:paraId="5BBC8037">
                  <w:pPr>
                    <w:widowControl/>
                    <w:jc w:val="left"/>
                    <w:rPr>
                      <w:color w:val="000000"/>
                      <w:szCs w:val="21"/>
                      <w:u w:val="single"/>
                    </w:rPr>
                  </w:pPr>
                </w:p>
              </w:tc>
              <w:tc>
                <w:tcPr>
                  <w:tcW w:w="1846" w:type="dxa"/>
                  <w:tcBorders>
                    <w:top w:val="single" w:color="auto" w:sz="4" w:space="0"/>
                    <w:left w:val="nil"/>
                    <w:bottom w:val="single" w:color="auto" w:sz="4" w:space="0"/>
                    <w:right w:val="single" w:color="auto" w:sz="4" w:space="0"/>
                  </w:tcBorders>
                  <w:vAlign w:val="center"/>
                </w:tcPr>
                <w:p w14:paraId="2DF721C9">
                  <w:pPr>
                    <w:jc w:val="center"/>
                    <w:rPr>
                      <w:color w:val="000000"/>
                      <w:szCs w:val="21"/>
                      <w:u w:val="single"/>
                    </w:rPr>
                  </w:pPr>
                  <w:r>
                    <w:rPr>
                      <w:rFonts w:hint="eastAsia" w:ascii="宋体" w:hAnsi="宋体"/>
                      <w:color w:val="000000"/>
                      <w:u w:val="single"/>
                    </w:rPr>
                    <w:t>危险废物</w:t>
                  </w:r>
                </w:p>
              </w:tc>
              <w:tc>
                <w:tcPr>
                  <w:tcW w:w="4115" w:type="dxa"/>
                  <w:tcBorders>
                    <w:top w:val="single" w:color="auto" w:sz="4" w:space="0"/>
                    <w:left w:val="nil"/>
                    <w:bottom w:val="single" w:color="auto" w:sz="4" w:space="0"/>
                    <w:right w:val="single" w:color="auto" w:sz="4" w:space="0"/>
                  </w:tcBorders>
                  <w:vAlign w:val="center"/>
                </w:tcPr>
                <w:p w14:paraId="66AC9639">
                  <w:pPr>
                    <w:jc w:val="center"/>
                    <w:rPr>
                      <w:color w:val="000000"/>
                      <w:szCs w:val="21"/>
                      <w:u w:val="single"/>
                    </w:rPr>
                  </w:pPr>
                  <w:r>
                    <w:rPr>
                      <w:color w:val="000000"/>
                      <w:u w:val="single"/>
                    </w:rPr>
                    <w:t>1×</w:t>
                  </w:r>
                  <w:r>
                    <w:rPr>
                      <w:rFonts w:hint="eastAsia"/>
                      <w:color w:val="000000"/>
                      <w:u w:val="single"/>
                    </w:rPr>
                    <w:t>15</w:t>
                  </w:r>
                  <w:r>
                    <w:rPr>
                      <w:color w:val="000000"/>
                      <w:u w:val="single"/>
                    </w:rPr>
                    <w:t>m</w:t>
                  </w:r>
                  <w:r>
                    <w:rPr>
                      <w:color w:val="000000"/>
                      <w:u w:val="single"/>
                      <w:vertAlign w:val="superscript"/>
                    </w:rPr>
                    <w:t>2</w:t>
                  </w:r>
                  <w:r>
                    <w:rPr>
                      <w:rFonts w:hint="eastAsia" w:ascii="宋体" w:hAnsi="宋体"/>
                      <w:color w:val="000000"/>
                      <w:u w:val="single"/>
                    </w:rPr>
                    <w:t>危废暂存间、危废转移处置</w:t>
                  </w:r>
                </w:p>
              </w:tc>
              <w:tc>
                <w:tcPr>
                  <w:tcW w:w="1187" w:type="dxa"/>
                  <w:tcBorders>
                    <w:top w:val="single" w:color="auto" w:sz="4" w:space="0"/>
                    <w:left w:val="nil"/>
                    <w:bottom w:val="single" w:color="auto" w:sz="4" w:space="0"/>
                    <w:right w:val="single" w:color="auto" w:sz="4" w:space="0"/>
                  </w:tcBorders>
                  <w:vAlign w:val="center"/>
                </w:tcPr>
                <w:p w14:paraId="68F13DB7">
                  <w:pPr>
                    <w:jc w:val="center"/>
                    <w:rPr>
                      <w:color w:val="000000"/>
                      <w:szCs w:val="21"/>
                      <w:u w:val="single"/>
                    </w:rPr>
                  </w:pPr>
                  <w:r>
                    <w:rPr>
                      <w:rFonts w:hint="eastAsia"/>
                      <w:color w:val="000000"/>
                      <w:u w:val="single"/>
                    </w:rPr>
                    <w:t>5</w:t>
                  </w:r>
                </w:p>
              </w:tc>
            </w:tr>
            <w:tr w14:paraId="265E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810" w:type="dxa"/>
                  <w:gridSpan w:val="3"/>
                  <w:tcBorders>
                    <w:top w:val="single" w:color="auto" w:sz="4" w:space="0"/>
                    <w:left w:val="single" w:color="auto" w:sz="4" w:space="0"/>
                    <w:bottom w:val="single" w:color="auto" w:sz="4" w:space="0"/>
                    <w:right w:val="single" w:color="auto" w:sz="4" w:space="0"/>
                  </w:tcBorders>
                  <w:vAlign w:val="center"/>
                </w:tcPr>
                <w:p w14:paraId="630249E4">
                  <w:pPr>
                    <w:jc w:val="center"/>
                    <w:rPr>
                      <w:color w:val="000000"/>
                      <w:szCs w:val="21"/>
                      <w:u w:val="single"/>
                    </w:rPr>
                  </w:pPr>
                  <w:r>
                    <w:rPr>
                      <w:rFonts w:hint="eastAsia" w:ascii="宋体" w:hAnsi="宋体"/>
                      <w:color w:val="000000"/>
                      <w:u w:val="single"/>
                    </w:rPr>
                    <w:t>合计</w:t>
                  </w:r>
                </w:p>
              </w:tc>
              <w:tc>
                <w:tcPr>
                  <w:tcW w:w="1187" w:type="dxa"/>
                  <w:tcBorders>
                    <w:top w:val="single" w:color="auto" w:sz="4" w:space="0"/>
                    <w:left w:val="nil"/>
                    <w:bottom w:val="single" w:color="auto" w:sz="4" w:space="0"/>
                    <w:right w:val="single" w:color="auto" w:sz="4" w:space="0"/>
                  </w:tcBorders>
                  <w:vAlign w:val="center"/>
                </w:tcPr>
                <w:p w14:paraId="3F73F349">
                  <w:pPr>
                    <w:jc w:val="center"/>
                    <w:rPr>
                      <w:color w:val="000000"/>
                      <w:szCs w:val="21"/>
                      <w:u w:val="single"/>
                    </w:rPr>
                  </w:pPr>
                  <w:r>
                    <w:rPr>
                      <w:rFonts w:hint="eastAsia"/>
                      <w:color w:val="000000"/>
                      <w:u w:val="single"/>
                    </w:rPr>
                    <w:t>60</w:t>
                  </w:r>
                </w:p>
              </w:tc>
            </w:tr>
            <w:tr w14:paraId="28C9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97" w:type="dxa"/>
                  <w:gridSpan w:val="4"/>
                  <w:tcBorders>
                    <w:top w:val="single" w:color="auto" w:sz="4" w:space="0"/>
                    <w:left w:val="single" w:color="auto" w:sz="4" w:space="0"/>
                    <w:bottom w:val="single" w:color="auto" w:sz="4" w:space="0"/>
                    <w:right w:val="single" w:color="auto" w:sz="4" w:space="0"/>
                  </w:tcBorders>
                  <w:vAlign w:val="center"/>
                </w:tcPr>
                <w:p w14:paraId="70745011">
                  <w:pPr>
                    <w:jc w:val="center"/>
                    <w:rPr>
                      <w:color w:val="000000"/>
                      <w:szCs w:val="21"/>
                      <w:u w:val="single"/>
                    </w:rPr>
                  </w:pPr>
                  <w:r>
                    <w:rPr>
                      <w:rFonts w:hint="eastAsia" w:ascii="宋体" w:hAnsi="宋体"/>
                      <w:color w:val="000000"/>
                      <w:u w:val="single"/>
                    </w:rPr>
                    <w:t>备注</w:t>
                  </w:r>
                  <w:r>
                    <w:rPr>
                      <w:color w:val="000000"/>
                      <w:u w:val="single"/>
                    </w:rPr>
                    <w:t>:</w:t>
                  </w:r>
                  <w:r>
                    <w:rPr>
                      <w:rFonts w:hint="eastAsia" w:ascii="宋体" w:hAnsi="宋体"/>
                      <w:color w:val="000000"/>
                      <w:u w:val="single"/>
                    </w:rPr>
                    <w:t>环保投资占总投资比例</w:t>
                  </w:r>
                  <w:r>
                    <w:rPr>
                      <w:color w:val="000000"/>
                      <w:u w:val="single"/>
                    </w:rPr>
                    <w:t>%</w:t>
                  </w:r>
                  <w:r>
                    <w:rPr>
                      <w:rFonts w:hint="eastAsia" w:ascii="宋体" w:hAnsi="宋体"/>
                      <w:color w:val="000000"/>
                      <w:u w:val="single"/>
                    </w:rPr>
                    <w:t>（</w:t>
                  </w:r>
                  <w:r>
                    <w:rPr>
                      <w:rFonts w:hint="eastAsia"/>
                      <w:color w:val="000000"/>
                      <w:u w:val="single"/>
                    </w:rPr>
                    <w:t>60</w:t>
                  </w:r>
                  <w:r>
                    <w:rPr>
                      <w:color w:val="000000"/>
                      <w:u w:val="single"/>
                    </w:rPr>
                    <w:t>/1</w:t>
                  </w:r>
                  <w:r>
                    <w:rPr>
                      <w:rFonts w:hint="eastAsia"/>
                      <w:color w:val="000000"/>
                      <w:u w:val="single"/>
                    </w:rPr>
                    <w:t>0</w:t>
                  </w:r>
                  <w:r>
                    <w:rPr>
                      <w:color w:val="000000"/>
                      <w:u w:val="single"/>
                    </w:rPr>
                    <w:t>00×100%=</w:t>
                  </w:r>
                  <w:r>
                    <w:rPr>
                      <w:rFonts w:hint="eastAsia"/>
                      <w:color w:val="000000"/>
                      <w:u w:val="single"/>
                    </w:rPr>
                    <w:t>6</w:t>
                  </w:r>
                  <w:r>
                    <w:rPr>
                      <w:color w:val="000000"/>
                      <w:u w:val="single"/>
                    </w:rPr>
                    <w:t>%</w:t>
                  </w:r>
                  <w:r>
                    <w:rPr>
                      <w:rFonts w:hint="eastAsia" w:ascii="宋体" w:hAnsi="宋体"/>
                      <w:color w:val="000000"/>
                      <w:u w:val="single"/>
                    </w:rPr>
                    <w:t>）</w:t>
                  </w:r>
                </w:p>
              </w:tc>
            </w:tr>
          </w:tbl>
          <w:p w14:paraId="63C9073F">
            <w:pPr>
              <w:adjustRightInd w:val="0"/>
              <w:snapToGrid w:val="0"/>
              <w:spacing w:line="360" w:lineRule="auto"/>
              <w:ind w:firstLine="482" w:firstLineChars="200"/>
              <w:rPr>
                <w:rFonts w:hint="eastAsia"/>
                <w:b/>
                <w:bCs/>
                <w:snapToGrid w:val="0"/>
                <w:kern w:val="0"/>
                <w:sz w:val="24"/>
                <w:u w:val="single"/>
              </w:rPr>
            </w:pPr>
            <w:r>
              <w:rPr>
                <w:rFonts w:hint="eastAsia"/>
                <w:b/>
                <w:bCs/>
                <w:snapToGrid w:val="0"/>
                <w:kern w:val="0"/>
                <w:sz w:val="24"/>
                <w:u w:val="single"/>
              </w:rPr>
              <w:t>10、污染物“三本账”汇总</w:t>
            </w:r>
          </w:p>
          <w:p w14:paraId="381B3AC4">
            <w:pPr>
              <w:pStyle w:val="137"/>
              <w:numPr>
                <w:ilvl w:val="0"/>
                <w:numId w:val="7"/>
              </w:numPr>
              <w:adjustRightInd w:val="0"/>
              <w:snapToGrid w:val="0"/>
              <w:ind w:firstLineChars="0"/>
              <w:jc w:val="center"/>
              <w:rPr>
                <w:b/>
                <w:bCs/>
                <w:color w:val="000000"/>
                <w:kern w:val="0"/>
                <w:sz w:val="24"/>
                <w:u w:val="single"/>
              </w:rPr>
            </w:pPr>
            <w:r>
              <w:rPr>
                <w:rFonts w:hint="eastAsia" w:ascii="宋体" w:hAnsi="宋体"/>
                <w:b/>
                <w:bCs/>
                <w:color w:val="000000"/>
                <w:u w:val="single"/>
              </w:rPr>
              <w:t>项目污染物“三本账”汇总一览表</w:t>
            </w:r>
          </w:p>
          <w:tbl>
            <w:tblPr>
              <w:tblStyle w:val="38"/>
              <w:tblW w:w="787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7"/>
              <w:gridCol w:w="1393"/>
              <w:gridCol w:w="1368"/>
              <w:gridCol w:w="1197"/>
              <w:gridCol w:w="1019"/>
              <w:gridCol w:w="1147"/>
              <w:gridCol w:w="1115"/>
            </w:tblGrid>
            <w:tr w14:paraId="2429AF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41" w:hRule="atLeast"/>
                <w:jc w:val="center"/>
              </w:trPr>
              <w:tc>
                <w:tcPr>
                  <w:tcW w:w="637" w:type="dxa"/>
                  <w:vAlign w:val="center"/>
                </w:tcPr>
                <w:p w14:paraId="414F222E">
                  <w:pPr>
                    <w:jc w:val="center"/>
                    <w:rPr>
                      <w:b/>
                      <w:bCs/>
                      <w:color w:val="000000"/>
                      <w:szCs w:val="21"/>
                      <w:u w:val="single"/>
                    </w:rPr>
                  </w:pPr>
                  <w:r>
                    <w:rPr>
                      <w:b/>
                      <w:bCs/>
                      <w:color w:val="000000"/>
                      <w:u w:val="single"/>
                    </w:rPr>
                    <w:t>污染源</w:t>
                  </w:r>
                </w:p>
              </w:tc>
              <w:tc>
                <w:tcPr>
                  <w:tcW w:w="1393" w:type="dxa"/>
                  <w:vAlign w:val="center"/>
                </w:tcPr>
                <w:p w14:paraId="3B1C2DDC">
                  <w:pPr>
                    <w:jc w:val="center"/>
                    <w:rPr>
                      <w:b/>
                      <w:bCs/>
                      <w:color w:val="000000"/>
                      <w:szCs w:val="21"/>
                      <w:u w:val="single"/>
                    </w:rPr>
                  </w:pPr>
                  <w:r>
                    <w:rPr>
                      <w:b/>
                      <w:bCs/>
                      <w:color w:val="000000"/>
                      <w:u w:val="single"/>
                    </w:rPr>
                    <w:t>污染物</w:t>
                  </w:r>
                </w:p>
              </w:tc>
              <w:tc>
                <w:tcPr>
                  <w:tcW w:w="1368" w:type="dxa"/>
                  <w:vAlign w:val="center"/>
                </w:tcPr>
                <w:p w14:paraId="36A78C7F">
                  <w:pPr>
                    <w:jc w:val="center"/>
                    <w:rPr>
                      <w:b/>
                      <w:bCs/>
                      <w:color w:val="000000"/>
                      <w:szCs w:val="21"/>
                      <w:u w:val="single"/>
                    </w:rPr>
                  </w:pPr>
                  <w:r>
                    <w:rPr>
                      <w:rFonts w:hint="eastAsia"/>
                      <w:b/>
                      <w:bCs/>
                      <w:color w:val="000000"/>
                      <w:u w:val="single"/>
                      <w:lang w:val="en-US" w:eastAsia="zh-CN"/>
                    </w:rPr>
                    <w:t>现有工程</w:t>
                  </w:r>
                  <w:r>
                    <w:rPr>
                      <w:b/>
                      <w:bCs/>
                      <w:color w:val="000000"/>
                      <w:u w:val="single"/>
                    </w:rPr>
                    <w:t>排放量（t/a）</w:t>
                  </w:r>
                </w:p>
              </w:tc>
              <w:tc>
                <w:tcPr>
                  <w:tcW w:w="1197" w:type="dxa"/>
                  <w:vAlign w:val="center"/>
                </w:tcPr>
                <w:p w14:paraId="00AB93A4">
                  <w:pPr>
                    <w:jc w:val="center"/>
                    <w:rPr>
                      <w:b/>
                      <w:bCs/>
                      <w:color w:val="000000"/>
                      <w:szCs w:val="21"/>
                      <w:u w:val="single"/>
                    </w:rPr>
                  </w:pPr>
                  <w:r>
                    <w:rPr>
                      <w:b/>
                      <w:bCs/>
                      <w:color w:val="000000"/>
                      <w:szCs w:val="21"/>
                      <w:u w:val="single"/>
                    </w:rPr>
                    <w:t>迁建后本项目排放量（t/a）</w:t>
                  </w:r>
                </w:p>
              </w:tc>
              <w:tc>
                <w:tcPr>
                  <w:tcW w:w="1019" w:type="dxa"/>
                  <w:vAlign w:val="center"/>
                </w:tcPr>
                <w:p w14:paraId="2C189E26">
                  <w:pPr>
                    <w:jc w:val="center"/>
                    <w:rPr>
                      <w:b/>
                      <w:bCs/>
                      <w:color w:val="000000"/>
                      <w:szCs w:val="21"/>
                      <w:u w:val="single"/>
                    </w:rPr>
                  </w:pPr>
                  <w:r>
                    <w:rPr>
                      <w:b/>
                      <w:bCs/>
                      <w:color w:val="000000"/>
                      <w:szCs w:val="21"/>
                      <w:u w:val="single"/>
                    </w:rPr>
                    <w:t>以新带老削减量</w:t>
                  </w:r>
                  <w:r>
                    <w:rPr>
                      <w:rFonts w:hint="eastAsia"/>
                      <w:b/>
                      <w:bCs/>
                      <w:color w:val="000000"/>
                      <w:szCs w:val="21"/>
                      <w:u w:val="single"/>
                    </w:rPr>
                    <w:t>（t/a）</w:t>
                  </w:r>
                </w:p>
              </w:tc>
              <w:tc>
                <w:tcPr>
                  <w:tcW w:w="1147" w:type="dxa"/>
                  <w:vAlign w:val="center"/>
                </w:tcPr>
                <w:p w14:paraId="4B7F9B0A">
                  <w:pPr>
                    <w:jc w:val="center"/>
                    <w:rPr>
                      <w:b/>
                      <w:bCs/>
                      <w:color w:val="000000"/>
                      <w:szCs w:val="21"/>
                      <w:u w:val="single"/>
                    </w:rPr>
                  </w:pPr>
                  <w:r>
                    <w:rPr>
                      <w:b/>
                      <w:bCs/>
                      <w:color w:val="000000"/>
                      <w:szCs w:val="21"/>
                      <w:u w:val="single"/>
                    </w:rPr>
                    <w:t>本项目建成厂区总排放量（t/a）</w:t>
                  </w:r>
                </w:p>
              </w:tc>
              <w:tc>
                <w:tcPr>
                  <w:tcW w:w="1115" w:type="dxa"/>
                  <w:vAlign w:val="center"/>
                </w:tcPr>
                <w:p w14:paraId="0DB3DAE3">
                  <w:pPr>
                    <w:jc w:val="center"/>
                    <w:rPr>
                      <w:b/>
                      <w:bCs/>
                      <w:color w:val="000000"/>
                      <w:szCs w:val="21"/>
                      <w:u w:val="single"/>
                    </w:rPr>
                  </w:pPr>
                  <w:r>
                    <w:rPr>
                      <w:b/>
                      <w:bCs/>
                      <w:color w:val="000000"/>
                      <w:szCs w:val="21"/>
                      <w:u w:val="single"/>
                    </w:rPr>
                    <w:t>增减量（t/a）</w:t>
                  </w:r>
                </w:p>
              </w:tc>
            </w:tr>
            <w:tr w14:paraId="3CEEDB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637" w:type="dxa"/>
                  <w:vMerge w:val="restart"/>
                  <w:vAlign w:val="center"/>
                </w:tcPr>
                <w:p w14:paraId="471319D8">
                  <w:pPr>
                    <w:widowControl/>
                    <w:jc w:val="center"/>
                    <w:rPr>
                      <w:color w:val="000000"/>
                      <w:szCs w:val="21"/>
                      <w:u w:val="single"/>
                    </w:rPr>
                  </w:pPr>
                  <w:r>
                    <w:rPr>
                      <w:color w:val="000000"/>
                      <w:szCs w:val="21"/>
                      <w:u w:val="single"/>
                    </w:rPr>
                    <w:t>废气</w:t>
                  </w:r>
                </w:p>
              </w:tc>
              <w:tc>
                <w:tcPr>
                  <w:tcW w:w="1393" w:type="dxa"/>
                  <w:vAlign w:val="center"/>
                </w:tcPr>
                <w:p w14:paraId="1B4AE8E1">
                  <w:pPr>
                    <w:jc w:val="center"/>
                    <w:rPr>
                      <w:color w:val="000000"/>
                      <w:szCs w:val="21"/>
                      <w:u w:val="single"/>
                    </w:rPr>
                  </w:pPr>
                  <w:r>
                    <w:rPr>
                      <w:color w:val="000000"/>
                      <w:szCs w:val="21"/>
                      <w:u w:val="single"/>
                    </w:rPr>
                    <w:t>非甲烷总烃</w:t>
                  </w:r>
                </w:p>
              </w:tc>
              <w:tc>
                <w:tcPr>
                  <w:tcW w:w="1368" w:type="dxa"/>
                  <w:vAlign w:val="center"/>
                </w:tcPr>
                <w:p w14:paraId="3CFAE024">
                  <w:pPr>
                    <w:jc w:val="center"/>
                    <w:rPr>
                      <w:u w:val="single"/>
                    </w:rPr>
                  </w:pPr>
                  <w:r>
                    <w:rPr>
                      <w:color w:val="000000"/>
                      <w:kern w:val="21"/>
                      <w:u w:val="single"/>
                    </w:rPr>
                    <w:t>0.</w:t>
                  </w:r>
                  <w:r>
                    <w:rPr>
                      <w:rFonts w:hint="eastAsia"/>
                      <w:color w:val="000000"/>
                      <w:kern w:val="21"/>
                      <w:u w:val="single"/>
                    </w:rPr>
                    <w:t>182</w:t>
                  </w:r>
                </w:p>
              </w:tc>
              <w:tc>
                <w:tcPr>
                  <w:tcW w:w="1197" w:type="dxa"/>
                  <w:vAlign w:val="center"/>
                </w:tcPr>
                <w:p w14:paraId="17860E9D">
                  <w:pPr>
                    <w:jc w:val="center"/>
                    <w:rPr>
                      <w:rFonts w:hint="default" w:eastAsia="宋体"/>
                      <w:color w:val="000000"/>
                      <w:szCs w:val="21"/>
                      <w:u w:val="single"/>
                      <w:lang w:val="en-US" w:eastAsia="zh-CN"/>
                    </w:rPr>
                  </w:pPr>
                  <w:r>
                    <w:rPr>
                      <w:rFonts w:hint="eastAsia"/>
                      <w:color w:val="000000"/>
                      <w:szCs w:val="21"/>
                      <w:u w:val="single"/>
                      <w:lang w:val="en-US" w:eastAsia="zh-CN"/>
                    </w:rPr>
                    <w:t>0.1677</w:t>
                  </w:r>
                </w:p>
              </w:tc>
              <w:tc>
                <w:tcPr>
                  <w:tcW w:w="1019" w:type="dxa"/>
                  <w:vAlign w:val="center"/>
                </w:tcPr>
                <w:p w14:paraId="5B91EF6E">
                  <w:pPr>
                    <w:jc w:val="center"/>
                    <w:rPr>
                      <w:rFonts w:hint="default" w:eastAsia="宋体"/>
                      <w:color w:val="000000"/>
                      <w:szCs w:val="21"/>
                      <w:u w:val="single"/>
                      <w:lang w:val="en-US" w:eastAsia="zh-CN"/>
                    </w:rPr>
                  </w:pPr>
                  <w:r>
                    <w:rPr>
                      <w:rFonts w:hint="eastAsia"/>
                      <w:color w:val="000000"/>
                      <w:szCs w:val="21"/>
                      <w:u w:val="single"/>
                      <w:lang w:val="en-US" w:eastAsia="zh-CN"/>
                    </w:rPr>
                    <w:t>0.182</w:t>
                  </w:r>
                </w:p>
              </w:tc>
              <w:tc>
                <w:tcPr>
                  <w:tcW w:w="1147" w:type="dxa"/>
                  <w:vAlign w:val="center"/>
                </w:tcPr>
                <w:p w14:paraId="07327B7B">
                  <w:pPr>
                    <w:jc w:val="center"/>
                    <w:rPr>
                      <w:rFonts w:hint="default" w:eastAsia="宋体"/>
                      <w:color w:val="000000"/>
                      <w:szCs w:val="21"/>
                      <w:u w:val="single"/>
                      <w:lang w:val="en-US" w:eastAsia="zh-CN"/>
                    </w:rPr>
                  </w:pPr>
                  <w:r>
                    <w:rPr>
                      <w:rFonts w:hint="eastAsia"/>
                      <w:color w:val="000000"/>
                      <w:szCs w:val="21"/>
                      <w:u w:val="single"/>
                    </w:rPr>
                    <w:t>0.1</w:t>
                  </w:r>
                  <w:r>
                    <w:rPr>
                      <w:rFonts w:hint="eastAsia"/>
                      <w:color w:val="000000"/>
                      <w:szCs w:val="21"/>
                      <w:u w:val="single"/>
                      <w:lang w:val="en-US" w:eastAsia="zh-CN"/>
                    </w:rPr>
                    <w:t>677</w:t>
                  </w:r>
                </w:p>
              </w:tc>
              <w:tc>
                <w:tcPr>
                  <w:tcW w:w="1115" w:type="dxa"/>
                  <w:vAlign w:val="center"/>
                </w:tcPr>
                <w:p w14:paraId="51D34564">
                  <w:pPr>
                    <w:jc w:val="center"/>
                    <w:rPr>
                      <w:rFonts w:hint="default" w:eastAsia="宋体"/>
                      <w:color w:val="000000"/>
                      <w:szCs w:val="21"/>
                      <w:u w:val="single"/>
                      <w:lang w:val="en-US" w:eastAsia="zh-CN"/>
                    </w:rPr>
                  </w:pPr>
                  <w:r>
                    <w:rPr>
                      <w:rFonts w:hint="eastAsia"/>
                      <w:color w:val="000000"/>
                      <w:szCs w:val="21"/>
                      <w:u w:val="single"/>
                      <w:lang w:val="en-US" w:eastAsia="zh-CN"/>
                    </w:rPr>
                    <w:t>-0.0143</w:t>
                  </w:r>
                </w:p>
              </w:tc>
            </w:tr>
            <w:tr w14:paraId="7E75DE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637" w:type="dxa"/>
                  <w:vMerge w:val="continue"/>
                  <w:vAlign w:val="center"/>
                </w:tcPr>
                <w:p w14:paraId="2900C96D">
                  <w:pPr>
                    <w:widowControl/>
                    <w:jc w:val="center"/>
                    <w:rPr>
                      <w:color w:val="000000"/>
                      <w:szCs w:val="21"/>
                      <w:u w:val="single"/>
                    </w:rPr>
                  </w:pPr>
                </w:p>
              </w:tc>
              <w:tc>
                <w:tcPr>
                  <w:tcW w:w="1393" w:type="dxa"/>
                  <w:vAlign w:val="center"/>
                </w:tcPr>
                <w:p w14:paraId="1210A454">
                  <w:pPr>
                    <w:jc w:val="center"/>
                    <w:rPr>
                      <w:color w:val="000000"/>
                      <w:szCs w:val="21"/>
                      <w:u w:val="single"/>
                    </w:rPr>
                  </w:pPr>
                  <w:r>
                    <w:rPr>
                      <w:color w:val="000000"/>
                      <w:szCs w:val="21"/>
                      <w:u w:val="single"/>
                    </w:rPr>
                    <w:t>油烟</w:t>
                  </w:r>
                </w:p>
              </w:tc>
              <w:tc>
                <w:tcPr>
                  <w:tcW w:w="1368" w:type="dxa"/>
                  <w:vAlign w:val="center"/>
                </w:tcPr>
                <w:p w14:paraId="1D2A3C05">
                  <w:pPr>
                    <w:jc w:val="center"/>
                    <w:rPr>
                      <w:color w:val="000000"/>
                      <w:szCs w:val="21"/>
                      <w:u w:val="single"/>
                    </w:rPr>
                  </w:pPr>
                  <w:r>
                    <w:rPr>
                      <w:color w:val="000000"/>
                      <w:szCs w:val="21"/>
                      <w:u w:val="single"/>
                    </w:rPr>
                    <w:t>0.000485</w:t>
                  </w:r>
                </w:p>
              </w:tc>
              <w:tc>
                <w:tcPr>
                  <w:tcW w:w="1197" w:type="dxa"/>
                  <w:vAlign w:val="center"/>
                </w:tcPr>
                <w:p w14:paraId="26B87649">
                  <w:pPr>
                    <w:jc w:val="center"/>
                    <w:rPr>
                      <w:color w:val="000000"/>
                      <w:szCs w:val="21"/>
                      <w:u w:val="single"/>
                    </w:rPr>
                  </w:pPr>
                  <w:r>
                    <w:rPr>
                      <w:rFonts w:hint="eastAsia"/>
                      <w:color w:val="000000"/>
                      <w:szCs w:val="21"/>
                      <w:u w:val="single"/>
                    </w:rPr>
                    <w:t>0</w:t>
                  </w:r>
                </w:p>
              </w:tc>
              <w:tc>
                <w:tcPr>
                  <w:tcW w:w="1019" w:type="dxa"/>
                  <w:vAlign w:val="center"/>
                </w:tcPr>
                <w:p w14:paraId="3324EAC2">
                  <w:pPr>
                    <w:jc w:val="center"/>
                    <w:rPr>
                      <w:color w:val="000000"/>
                      <w:szCs w:val="21"/>
                      <w:u w:val="single"/>
                    </w:rPr>
                  </w:pPr>
                  <w:r>
                    <w:rPr>
                      <w:color w:val="000000"/>
                      <w:szCs w:val="21"/>
                      <w:u w:val="single"/>
                    </w:rPr>
                    <w:t>0.000485</w:t>
                  </w:r>
                </w:p>
              </w:tc>
              <w:tc>
                <w:tcPr>
                  <w:tcW w:w="1147" w:type="dxa"/>
                  <w:vAlign w:val="center"/>
                </w:tcPr>
                <w:p w14:paraId="1127CD9A">
                  <w:pPr>
                    <w:jc w:val="center"/>
                    <w:rPr>
                      <w:color w:val="000000"/>
                      <w:szCs w:val="21"/>
                      <w:u w:val="single"/>
                    </w:rPr>
                  </w:pPr>
                  <w:r>
                    <w:rPr>
                      <w:rFonts w:hint="eastAsia"/>
                      <w:color w:val="000000"/>
                      <w:szCs w:val="21"/>
                      <w:u w:val="single"/>
                    </w:rPr>
                    <w:t>0</w:t>
                  </w:r>
                </w:p>
              </w:tc>
              <w:tc>
                <w:tcPr>
                  <w:tcW w:w="1115" w:type="dxa"/>
                  <w:vAlign w:val="center"/>
                </w:tcPr>
                <w:p w14:paraId="68A8E38D">
                  <w:pPr>
                    <w:jc w:val="center"/>
                    <w:rPr>
                      <w:color w:val="000000"/>
                      <w:szCs w:val="21"/>
                      <w:u w:val="single"/>
                    </w:rPr>
                  </w:pPr>
                  <w:r>
                    <w:rPr>
                      <w:rFonts w:hint="eastAsia"/>
                      <w:color w:val="000000"/>
                      <w:szCs w:val="21"/>
                      <w:u w:val="single"/>
                    </w:rPr>
                    <w:t>-0.000485</w:t>
                  </w:r>
                </w:p>
              </w:tc>
            </w:tr>
            <w:tr w14:paraId="3F5DFA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637" w:type="dxa"/>
                  <w:vMerge w:val="restart"/>
                  <w:vAlign w:val="center"/>
                </w:tcPr>
                <w:p w14:paraId="1DC54101">
                  <w:pPr>
                    <w:widowControl/>
                    <w:jc w:val="center"/>
                    <w:rPr>
                      <w:color w:val="000000"/>
                      <w:szCs w:val="21"/>
                      <w:u w:val="single"/>
                    </w:rPr>
                  </w:pPr>
                  <w:r>
                    <w:rPr>
                      <w:color w:val="000000"/>
                      <w:szCs w:val="21"/>
                      <w:u w:val="single"/>
                    </w:rPr>
                    <w:t>废水</w:t>
                  </w:r>
                </w:p>
              </w:tc>
              <w:tc>
                <w:tcPr>
                  <w:tcW w:w="1393" w:type="dxa"/>
                  <w:vAlign w:val="center"/>
                </w:tcPr>
                <w:p w14:paraId="7FA31879">
                  <w:pPr>
                    <w:jc w:val="center"/>
                    <w:rPr>
                      <w:color w:val="000000"/>
                      <w:szCs w:val="21"/>
                      <w:u w:val="single"/>
                    </w:rPr>
                  </w:pPr>
                  <w:r>
                    <w:rPr>
                      <w:color w:val="000000"/>
                      <w:szCs w:val="21"/>
                      <w:u w:val="single"/>
                    </w:rPr>
                    <w:t>水量（m</w:t>
                  </w:r>
                  <w:r>
                    <w:rPr>
                      <w:rFonts w:hint="eastAsia"/>
                      <w:color w:val="000000"/>
                      <w:szCs w:val="21"/>
                      <w:u w:val="single"/>
                      <w:vertAlign w:val="superscript"/>
                    </w:rPr>
                    <w:t>3</w:t>
                  </w:r>
                  <w:r>
                    <w:rPr>
                      <w:rFonts w:hint="eastAsia"/>
                      <w:color w:val="000000"/>
                      <w:szCs w:val="21"/>
                      <w:u w:val="single"/>
                    </w:rPr>
                    <w:t>/a</w:t>
                  </w:r>
                  <w:r>
                    <w:rPr>
                      <w:color w:val="000000"/>
                      <w:szCs w:val="21"/>
                      <w:u w:val="single"/>
                    </w:rPr>
                    <w:t>）</w:t>
                  </w:r>
                </w:p>
              </w:tc>
              <w:tc>
                <w:tcPr>
                  <w:tcW w:w="1368" w:type="dxa"/>
                  <w:vAlign w:val="center"/>
                </w:tcPr>
                <w:p w14:paraId="18D77330">
                  <w:pPr>
                    <w:jc w:val="center"/>
                    <w:rPr>
                      <w:color w:val="000000"/>
                      <w:szCs w:val="21"/>
                      <w:u w:val="single"/>
                    </w:rPr>
                  </w:pPr>
                  <w:r>
                    <w:rPr>
                      <w:rFonts w:hint="eastAsia"/>
                      <w:color w:val="000000"/>
                      <w:szCs w:val="21"/>
                      <w:u w:val="single"/>
                    </w:rPr>
                    <w:t>798</w:t>
                  </w:r>
                </w:p>
              </w:tc>
              <w:tc>
                <w:tcPr>
                  <w:tcW w:w="1197" w:type="dxa"/>
                  <w:vAlign w:val="center"/>
                </w:tcPr>
                <w:p w14:paraId="1D1AB157">
                  <w:pPr>
                    <w:jc w:val="center"/>
                    <w:rPr>
                      <w:rFonts w:hint="default" w:eastAsia="宋体"/>
                      <w:color w:val="000000"/>
                      <w:szCs w:val="21"/>
                      <w:u w:val="single"/>
                      <w:lang w:val="en-US" w:eastAsia="zh-CN"/>
                    </w:rPr>
                  </w:pPr>
                  <w:r>
                    <w:rPr>
                      <w:rFonts w:hint="eastAsia"/>
                      <w:color w:val="000000"/>
                      <w:szCs w:val="21"/>
                      <w:u w:val="single"/>
                    </w:rPr>
                    <w:t>6</w:t>
                  </w:r>
                  <w:r>
                    <w:rPr>
                      <w:rFonts w:hint="eastAsia"/>
                      <w:color w:val="000000"/>
                      <w:szCs w:val="21"/>
                      <w:u w:val="single"/>
                      <w:lang w:val="en-US" w:eastAsia="zh-CN"/>
                    </w:rPr>
                    <w:t>60</w:t>
                  </w:r>
                </w:p>
              </w:tc>
              <w:tc>
                <w:tcPr>
                  <w:tcW w:w="1019" w:type="dxa"/>
                  <w:vAlign w:val="center"/>
                </w:tcPr>
                <w:p w14:paraId="3712C156">
                  <w:pPr>
                    <w:jc w:val="center"/>
                    <w:rPr>
                      <w:rFonts w:hint="default" w:eastAsia="宋体"/>
                      <w:color w:val="000000"/>
                      <w:szCs w:val="21"/>
                      <w:u w:val="single"/>
                      <w:lang w:val="en-US" w:eastAsia="zh-CN"/>
                    </w:rPr>
                  </w:pPr>
                  <w:r>
                    <w:rPr>
                      <w:rFonts w:hint="eastAsia"/>
                      <w:color w:val="000000"/>
                      <w:szCs w:val="21"/>
                      <w:u w:val="single"/>
                      <w:lang w:val="en-US" w:eastAsia="zh-CN"/>
                    </w:rPr>
                    <w:t>798</w:t>
                  </w:r>
                </w:p>
              </w:tc>
              <w:tc>
                <w:tcPr>
                  <w:tcW w:w="1147" w:type="dxa"/>
                  <w:vAlign w:val="center"/>
                </w:tcPr>
                <w:p w14:paraId="78602CD8">
                  <w:pPr>
                    <w:jc w:val="center"/>
                    <w:rPr>
                      <w:rFonts w:hint="default" w:eastAsia="宋体"/>
                      <w:color w:val="000000"/>
                      <w:szCs w:val="21"/>
                      <w:u w:val="single"/>
                      <w:lang w:val="en-US" w:eastAsia="zh-CN"/>
                    </w:rPr>
                  </w:pPr>
                  <w:r>
                    <w:rPr>
                      <w:rFonts w:hint="eastAsia"/>
                      <w:color w:val="000000"/>
                      <w:szCs w:val="21"/>
                      <w:u w:val="single"/>
                    </w:rPr>
                    <w:t>6</w:t>
                  </w:r>
                  <w:r>
                    <w:rPr>
                      <w:rFonts w:hint="eastAsia"/>
                      <w:color w:val="000000"/>
                      <w:szCs w:val="21"/>
                      <w:u w:val="single"/>
                      <w:lang w:val="en-US" w:eastAsia="zh-CN"/>
                    </w:rPr>
                    <w:t>60</w:t>
                  </w:r>
                </w:p>
              </w:tc>
              <w:tc>
                <w:tcPr>
                  <w:tcW w:w="1115" w:type="dxa"/>
                  <w:vAlign w:val="center"/>
                </w:tcPr>
                <w:p w14:paraId="4E504733">
                  <w:pPr>
                    <w:jc w:val="center"/>
                    <w:rPr>
                      <w:rFonts w:hint="default" w:eastAsia="宋体"/>
                      <w:color w:val="000000"/>
                      <w:szCs w:val="21"/>
                      <w:u w:val="single"/>
                      <w:lang w:val="en-US" w:eastAsia="zh-CN"/>
                    </w:rPr>
                  </w:pPr>
                  <w:r>
                    <w:rPr>
                      <w:rFonts w:hint="eastAsia"/>
                      <w:color w:val="000000"/>
                      <w:szCs w:val="21"/>
                      <w:u w:val="single"/>
                      <w:lang w:val="en-US" w:eastAsia="zh-CN"/>
                    </w:rPr>
                    <w:t>-138</w:t>
                  </w:r>
                </w:p>
              </w:tc>
            </w:tr>
            <w:tr w14:paraId="02F899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637" w:type="dxa"/>
                  <w:vMerge w:val="continue"/>
                  <w:vAlign w:val="center"/>
                </w:tcPr>
                <w:p w14:paraId="6B582029">
                  <w:pPr>
                    <w:widowControl/>
                    <w:jc w:val="center"/>
                    <w:rPr>
                      <w:color w:val="000000"/>
                      <w:szCs w:val="21"/>
                      <w:u w:val="single"/>
                    </w:rPr>
                  </w:pPr>
                </w:p>
              </w:tc>
              <w:tc>
                <w:tcPr>
                  <w:tcW w:w="1393" w:type="dxa"/>
                  <w:vAlign w:val="center"/>
                </w:tcPr>
                <w:p w14:paraId="7C12518C">
                  <w:pPr>
                    <w:jc w:val="center"/>
                    <w:rPr>
                      <w:color w:val="000000"/>
                      <w:szCs w:val="21"/>
                      <w:u w:val="single"/>
                    </w:rPr>
                  </w:pPr>
                  <w:r>
                    <w:rPr>
                      <w:rFonts w:hint="eastAsia"/>
                      <w:color w:val="000000"/>
                      <w:szCs w:val="21"/>
                      <w:u w:val="single"/>
                    </w:rPr>
                    <w:t>COD</w:t>
                  </w:r>
                </w:p>
              </w:tc>
              <w:tc>
                <w:tcPr>
                  <w:tcW w:w="1368" w:type="dxa"/>
                  <w:vAlign w:val="center"/>
                </w:tcPr>
                <w:p w14:paraId="50945C78">
                  <w:pPr>
                    <w:jc w:val="center"/>
                    <w:rPr>
                      <w:color w:val="000000"/>
                      <w:szCs w:val="21"/>
                      <w:u w:val="single"/>
                    </w:rPr>
                  </w:pPr>
                  <w:r>
                    <w:rPr>
                      <w:rFonts w:hint="eastAsia"/>
                      <w:color w:val="000000"/>
                      <w:szCs w:val="21"/>
                      <w:u w:val="single"/>
                    </w:rPr>
                    <w:t>0.0319</w:t>
                  </w:r>
                </w:p>
              </w:tc>
              <w:tc>
                <w:tcPr>
                  <w:tcW w:w="1197" w:type="dxa"/>
                  <w:vAlign w:val="center"/>
                </w:tcPr>
                <w:p w14:paraId="782230CA">
                  <w:pPr>
                    <w:jc w:val="center"/>
                    <w:rPr>
                      <w:rFonts w:hint="default" w:eastAsia="宋体"/>
                      <w:szCs w:val="21"/>
                      <w:u w:val="single"/>
                      <w:lang w:val="en-US" w:eastAsia="zh-CN"/>
                    </w:rPr>
                  </w:pPr>
                  <w:r>
                    <w:rPr>
                      <w:rFonts w:hint="eastAsia"/>
                      <w:szCs w:val="21"/>
                      <w:u w:val="single"/>
                    </w:rPr>
                    <w:t>0.02</w:t>
                  </w:r>
                  <w:r>
                    <w:rPr>
                      <w:rFonts w:hint="eastAsia"/>
                      <w:szCs w:val="21"/>
                      <w:u w:val="single"/>
                      <w:lang w:val="en-US" w:eastAsia="zh-CN"/>
                    </w:rPr>
                    <w:t>64</w:t>
                  </w:r>
                </w:p>
              </w:tc>
              <w:tc>
                <w:tcPr>
                  <w:tcW w:w="1019" w:type="dxa"/>
                  <w:vAlign w:val="center"/>
                </w:tcPr>
                <w:p w14:paraId="0A21CB11">
                  <w:pPr>
                    <w:jc w:val="center"/>
                    <w:rPr>
                      <w:szCs w:val="21"/>
                      <w:u w:val="single"/>
                    </w:rPr>
                  </w:pPr>
                  <w:r>
                    <w:rPr>
                      <w:rFonts w:hint="eastAsia"/>
                      <w:color w:val="000000"/>
                      <w:szCs w:val="21"/>
                      <w:u w:val="single"/>
                    </w:rPr>
                    <w:t>0.0319</w:t>
                  </w:r>
                </w:p>
              </w:tc>
              <w:tc>
                <w:tcPr>
                  <w:tcW w:w="1147" w:type="dxa"/>
                  <w:vAlign w:val="center"/>
                </w:tcPr>
                <w:p w14:paraId="3011D74C">
                  <w:pPr>
                    <w:jc w:val="center"/>
                    <w:rPr>
                      <w:rFonts w:hint="default" w:eastAsia="宋体"/>
                      <w:szCs w:val="21"/>
                      <w:u w:val="single"/>
                      <w:lang w:val="en-US" w:eastAsia="zh-CN"/>
                    </w:rPr>
                  </w:pPr>
                  <w:r>
                    <w:rPr>
                      <w:rFonts w:hint="eastAsia"/>
                      <w:szCs w:val="21"/>
                      <w:u w:val="single"/>
                    </w:rPr>
                    <w:t>0.0</w:t>
                  </w:r>
                  <w:r>
                    <w:rPr>
                      <w:rFonts w:hint="eastAsia"/>
                      <w:szCs w:val="21"/>
                      <w:u w:val="single"/>
                      <w:lang w:val="en-US" w:eastAsia="zh-CN"/>
                    </w:rPr>
                    <w:t>264</w:t>
                  </w:r>
                </w:p>
              </w:tc>
              <w:tc>
                <w:tcPr>
                  <w:tcW w:w="1115" w:type="dxa"/>
                  <w:vAlign w:val="center"/>
                </w:tcPr>
                <w:p w14:paraId="5A60D2A5">
                  <w:pPr>
                    <w:widowControl/>
                    <w:jc w:val="center"/>
                    <w:textAlignment w:val="center"/>
                    <w:rPr>
                      <w:rFonts w:hint="default" w:eastAsia="宋体"/>
                      <w:szCs w:val="21"/>
                      <w:u w:val="single"/>
                      <w:lang w:val="en-US" w:eastAsia="zh-CN"/>
                    </w:rPr>
                  </w:pPr>
                  <w:r>
                    <w:rPr>
                      <w:rFonts w:hint="eastAsia"/>
                      <w:szCs w:val="21"/>
                      <w:u w:val="single"/>
                      <w:lang w:val="en-US" w:eastAsia="zh-CN"/>
                    </w:rPr>
                    <w:t>-0.0055</w:t>
                  </w:r>
                </w:p>
              </w:tc>
            </w:tr>
            <w:tr w14:paraId="481E46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637" w:type="dxa"/>
                  <w:vMerge w:val="continue"/>
                  <w:vAlign w:val="center"/>
                </w:tcPr>
                <w:p w14:paraId="2AA6C9D7">
                  <w:pPr>
                    <w:widowControl/>
                    <w:jc w:val="center"/>
                    <w:rPr>
                      <w:color w:val="000000"/>
                      <w:szCs w:val="21"/>
                      <w:u w:val="single"/>
                    </w:rPr>
                  </w:pPr>
                </w:p>
              </w:tc>
              <w:tc>
                <w:tcPr>
                  <w:tcW w:w="1393" w:type="dxa"/>
                  <w:vAlign w:val="center"/>
                </w:tcPr>
                <w:p w14:paraId="65F04BE9">
                  <w:pPr>
                    <w:jc w:val="center"/>
                    <w:rPr>
                      <w:color w:val="000000"/>
                      <w:szCs w:val="21"/>
                      <w:u w:val="single"/>
                    </w:rPr>
                  </w:pPr>
                  <w:r>
                    <w:rPr>
                      <w:rFonts w:hint="eastAsia"/>
                      <w:color w:val="000000"/>
                      <w:szCs w:val="21"/>
                      <w:u w:val="single"/>
                    </w:rPr>
                    <w:t>氨氮</w:t>
                  </w:r>
                </w:p>
              </w:tc>
              <w:tc>
                <w:tcPr>
                  <w:tcW w:w="1368" w:type="dxa"/>
                  <w:vAlign w:val="center"/>
                </w:tcPr>
                <w:p w14:paraId="6D9E9B7C">
                  <w:pPr>
                    <w:jc w:val="center"/>
                    <w:rPr>
                      <w:color w:val="000000"/>
                      <w:szCs w:val="21"/>
                      <w:u w:val="single"/>
                    </w:rPr>
                  </w:pPr>
                  <w:r>
                    <w:rPr>
                      <w:rFonts w:hint="eastAsia"/>
                      <w:color w:val="000000"/>
                      <w:szCs w:val="21"/>
                      <w:u w:val="single"/>
                    </w:rPr>
                    <w:t>0.0016</w:t>
                  </w:r>
                </w:p>
              </w:tc>
              <w:tc>
                <w:tcPr>
                  <w:tcW w:w="1197" w:type="dxa"/>
                  <w:vAlign w:val="center"/>
                </w:tcPr>
                <w:p w14:paraId="58AF39F6">
                  <w:pPr>
                    <w:jc w:val="center"/>
                    <w:rPr>
                      <w:szCs w:val="21"/>
                      <w:u w:val="single"/>
                    </w:rPr>
                  </w:pPr>
                  <w:r>
                    <w:rPr>
                      <w:rFonts w:hint="eastAsia"/>
                      <w:szCs w:val="21"/>
                      <w:u w:val="single"/>
                    </w:rPr>
                    <w:t>0.0013</w:t>
                  </w:r>
                </w:p>
              </w:tc>
              <w:tc>
                <w:tcPr>
                  <w:tcW w:w="1019" w:type="dxa"/>
                  <w:vAlign w:val="center"/>
                </w:tcPr>
                <w:p w14:paraId="4A4852CE">
                  <w:pPr>
                    <w:jc w:val="center"/>
                    <w:rPr>
                      <w:szCs w:val="21"/>
                      <w:u w:val="single"/>
                    </w:rPr>
                  </w:pPr>
                  <w:r>
                    <w:rPr>
                      <w:rFonts w:hint="eastAsia"/>
                      <w:color w:val="000000"/>
                      <w:szCs w:val="21"/>
                      <w:u w:val="single"/>
                    </w:rPr>
                    <w:t>0.0016</w:t>
                  </w:r>
                </w:p>
              </w:tc>
              <w:tc>
                <w:tcPr>
                  <w:tcW w:w="1147" w:type="dxa"/>
                  <w:vAlign w:val="center"/>
                </w:tcPr>
                <w:p w14:paraId="2269D0C1">
                  <w:pPr>
                    <w:jc w:val="center"/>
                    <w:rPr>
                      <w:szCs w:val="21"/>
                      <w:u w:val="single"/>
                    </w:rPr>
                  </w:pPr>
                  <w:r>
                    <w:rPr>
                      <w:rFonts w:hint="eastAsia"/>
                      <w:szCs w:val="21"/>
                      <w:u w:val="single"/>
                    </w:rPr>
                    <w:t>0.0013</w:t>
                  </w:r>
                </w:p>
              </w:tc>
              <w:tc>
                <w:tcPr>
                  <w:tcW w:w="1115" w:type="dxa"/>
                  <w:vAlign w:val="center"/>
                </w:tcPr>
                <w:p w14:paraId="684A1E9D">
                  <w:pPr>
                    <w:widowControl/>
                    <w:jc w:val="center"/>
                    <w:textAlignment w:val="center"/>
                    <w:rPr>
                      <w:rFonts w:hint="default" w:eastAsia="宋体"/>
                      <w:szCs w:val="21"/>
                      <w:u w:val="single"/>
                      <w:lang w:val="en-US" w:eastAsia="zh-CN"/>
                    </w:rPr>
                  </w:pPr>
                  <w:r>
                    <w:rPr>
                      <w:rFonts w:hint="eastAsia"/>
                      <w:szCs w:val="21"/>
                      <w:u w:val="single"/>
                      <w:lang w:val="en-US" w:eastAsia="zh-CN"/>
                    </w:rPr>
                    <w:t>-0.0003</w:t>
                  </w:r>
                </w:p>
              </w:tc>
            </w:tr>
            <w:tr w14:paraId="074BEC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637" w:type="dxa"/>
                  <w:vMerge w:val="restart"/>
                  <w:vAlign w:val="center"/>
                </w:tcPr>
                <w:p w14:paraId="7FFA1BFE">
                  <w:pPr>
                    <w:widowControl/>
                    <w:jc w:val="center"/>
                    <w:rPr>
                      <w:color w:val="000000"/>
                      <w:szCs w:val="21"/>
                      <w:u w:val="single"/>
                    </w:rPr>
                  </w:pPr>
                  <w:r>
                    <w:rPr>
                      <w:color w:val="000000"/>
                      <w:szCs w:val="21"/>
                      <w:u w:val="single"/>
                    </w:rPr>
                    <w:t>固体废物</w:t>
                  </w:r>
                </w:p>
              </w:tc>
              <w:tc>
                <w:tcPr>
                  <w:tcW w:w="1393" w:type="dxa"/>
                  <w:vAlign w:val="center"/>
                </w:tcPr>
                <w:p w14:paraId="6B97BBF0">
                  <w:pPr>
                    <w:jc w:val="center"/>
                    <w:rPr>
                      <w:rFonts w:hint="eastAsia"/>
                      <w:color w:val="000000"/>
                      <w:szCs w:val="21"/>
                      <w:u w:val="single"/>
                    </w:rPr>
                  </w:pPr>
                  <w:r>
                    <w:rPr>
                      <w:rFonts w:hint="eastAsia"/>
                      <w:color w:val="000000"/>
                      <w:szCs w:val="21"/>
                      <w:u w:val="single"/>
                    </w:rPr>
                    <w:t>废玻璃边角料、不合格品</w:t>
                  </w:r>
                </w:p>
              </w:tc>
              <w:tc>
                <w:tcPr>
                  <w:tcW w:w="1368" w:type="dxa"/>
                  <w:vAlign w:val="center"/>
                </w:tcPr>
                <w:p w14:paraId="35D102CA">
                  <w:pPr>
                    <w:jc w:val="center"/>
                    <w:rPr>
                      <w:color w:val="000000"/>
                      <w:szCs w:val="21"/>
                      <w:u w:val="single"/>
                    </w:rPr>
                  </w:pPr>
                  <w:r>
                    <w:rPr>
                      <w:rFonts w:hint="eastAsia"/>
                      <w:color w:val="000000"/>
                      <w:szCs w:val="21"/>
                      <w:u w:val="single"/>
                    </w:rPr>
                    <w:t>370.6</w:t>
                  </w:r>
                </w:p>
              </w:tc>
              <w:tc>
                <w:tcPr>
                  <w:tcW w:w="1197" w:type="dxa"/>
                  <w:vAlign w:val="center"/>
                </w:tcPr>
                <w:p w14:paraId="150E49C4">
                  <w:pPr>
                    <w:jc w:val="center"/>
                    <w:rPr>
                      <w:color w:val="000000"/>
                      <w:szCs w:val="21"/>
                      <w:u w:val="single"/>
                    </w:rPr>
                  </w:pPr>
                  <w:r>
                    <w:rPr>
                      <w:rFonts w:hint="eastAsia"/>
                      <w:color w:val="000000"/>
                      <w:szCs w:val="21"/>
                      <w:u w:val="single"/>
                    </w:rPr>
                    <w:t>112.5</w:t>
                  </w:r>
                </w:p>
              </w:tc>
              <w:tc>
                <w:tcPr>
                  <w:tcW w:w="1019" w:type="dxa"/>
                  <w:vAlign w:val="center"/>
                </w:tcPr>
                <w:p w14:paraId="1B5EB9FF">
                  <w:pPr>
                    <w:jc w:val="center"/>
                    <w:rPr>
                      <w:rFonts w:hint="default" w:eastAsia="宋体"/>
                      <w:color w:val="000000"/>
                      <w:szCs w:val="21"/>
                      <w:u w:val="single"/>
                      <w:lang w:val="en-US" w:eastAsia="zh-CN"/>
                    </w:rPr>
                  </w:pPr>
                  <w:r>
                    <w:rPr>
                      <w:rFonts w:hint="eastAsia"/>
                      <w:color w:val="000000"/>
                      <w:szCs w:val="21"/>
                      <w:u w:val="single"/>
                      <w:lang w:val="en-US" w:eastAsia="zh-CN"/>
                    </w:rPr>
                    <w:t>370.6</w:t>
                  </w:r>
                </w:p>
              </w:tc>
              <w:tc>
                <w:tcPr>
                  <w:tcW w:w="1147" w:type="dxa"/>
                  <w:vAlign w:val="center"/>
                </w:tcPr>
                <w:p w14:paraId="08F5547E">
                  <w:pPr>
                    <w:jc w:val="center"/>
                    <w:rPr>
                      <w:color w:val="000000"/>
                      <w:szCs w:val="21"/>
                      <w:u w:val="single"/>
                    </w:rPr>
                  </w:pPr>
                  <w:r>
                    <w:rPr>
                      <w:rFonts w:hint="eastAsia"/>
                      <w:color w:val="000000"/>
                      <w:szCs w:val="21"/>
                      <w:u w:val="single"/>
                    </w:rPr>
                    <w:t>112.5</w:t>
                  </w:r>
                </w:p>
              </w:tc>
              <w:tc>
                <w:tcPr>
                  <w:tcW w:w="1115" w:type="dxa"/>
                  <w:vAlign w:val="center"/>
                </w:tcPr>
                <w:p w14:paraId="40843516">
                  <w:pPr>
                    <w:jc w:val="center"/>
                    <w:rPr>
                      <w:rFonts w:hint="default" w:eastAsia="宋体"/>
                      <w:color w:val="000000"/>
                      <w:szCs w:val="21"/>
                      <w:u w:val="single"/>
                      <w:lang w:val="en-US" w:eastAsia="zh-CN"/>
                    </w:rPr>
                  </w:pPr>
                  <w:r>
                    <w:rPr>
                      <w:rFonts w:hint="eastAsia"/>
                      <w:color w:val="000000"/>
                      <w:szCs w:val="21"/>
                      <w:u w:val="single"/>
                      <w:lang w:val="en-US" w:eastAsia="zh-CN"/>
                    </w:rPr>
                    <w:t>-258.1</w:t>
                  </w:r>
                </w:p>
              </w:tc>
            </w:tr>
            <w:tr w14:paraId="31CDF9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637" w:type="dxa"/>
                  <w:vMerge w:val="continue"/>
                  <w:vAlign w:val="center"/>
                </w:tcPr>
                <w:p w14:paraId="7707E9D6">
                  <w:pPr>
                    <w:widowControl/>
                    <w:jc w:val="center"/>
                    <w:rPr>
                      <w:color w:val="000000"/>
                      <w:szCs w:val="21"/>
                      <w:u w:val="single"/>
                    </w:rPr>
                  </w:pPr>
                </w:p>
              </w:tc>
              <w:tc>
                <w:tcPr>
                  <w:tcW w:w="1393" w:type="dxa"/>
                  <w:vAlign w:val="center"/>
                </w:tcPr>
                <w:p w14:paraId="70C6F367">
                  <w:pPr>
                    <w:jc w:val="center"/>
                    <w:rPr>
                      <w:szCs w:val="21"/>
                    </w:rPr>
                  </w:pPr>
                  <w:r>
                    <w:rPr>
                      <w:rFonts w:hint="eastAsia"/>
                      <w:szCs w:val="21"/>
                    </w:rPr>
                    <w:t>废铝条</w:t>
                  </w:r>
                </w:p>
              </w:tc>
              <w:tc>
                <w:tcPr>
                  <w:tcW w:w="1368" w:type="dxa"/>
                  <w:vAlign w:val="center"/>
                </w:tcPr>
                <w:p w14:paraId="381053E6">
                  <w:pPr>
                    <w:jc w:val="center"/>
                    <w:rPr>
                      <w:color w:val="000000"/>
                      <w:szCs w:val="21"/>
                      <w:u w:val="single"/>
                    </w:rPr>
                  </w:pPr>
                  <w:r>
                    <w:rPr>
                      <w:rFonts w:hint="eastAsia"/>
                      <w:color w:val="000000"/>
                      <w:szCs w:val="21"/>
                      <w:u w:val="single"/>
                    </w:rPr>
                    <w:t>/</w:t>
                  </w:r>
                </w:p>
              </w:tc>
              <w:tc>
                <w:tcPr>
                  <w:tcW w:w="1197" w:type="dxa"/>
                  <w:vAlign w:val="center"/>
                </w:tcPr>
                <w:p w14:paraId="49E38CA8">
                  <w:pPr>
                    <w:jc w:val="center"/>
                    <w:rPr>
                      <w:color w:val="000000"/>
                      <w:szCs w:val="21"/>
                      <w:u w:val="single"/>
                    </w:rPr>
                  </w:pPr>
                  <w:r>
                    <w:rPr>
                      <w:rFonts w:hint="eastAsia"/>
                      <w:color w:val="000000"/>
                      <w:szCs w:val="21"/>
                      <w:u w:val="single"/>
                    </w:rPr>
                    <w:t>0.2</w:t>
                  </w:r>
                </w:p>
              </w:tc>
              <w:tc>
                <w:tcPr>
                  <w:tcW w:w="1019" w:type="dxa"/>
                  <w:vAlign w:val="center"/>
                </w:tcPr>
                <w:p w14:paraId="0210FA5B">
                  <w:pPr>
                    <w:jc w:val="center"/>
                    <w:rPr>
                      <w:color w:val="000000"/>
                      <w:szCs w:val="21"/>
                      <w:u w:val="single"/>
                    </w:rPr>
                  </w:pPr>
                  <w:r>
                    <w:rPr>
                      <w:rFonts w:hint="eastAsia"/>
                      <w:color w:val="000000"/>
                      <w:szCs w:val="21"/>
                      <w:u w:val="single"/>
                    </w:rPr>
                    <w:t>0</w:t>
                  </w:r>
                </w:p>
              </w:tc>
              <w:tc>
                <w:tcPr>
                  <w:tcW w:w="1147" w:type="dxa"/>
                  <w:vAlign w:val="center"/>
                </w:tcPr>
                <w:p w14:paraId="2E9903A7">
                  <w:pPr>
                    <w:jc w:val="center"/>
                    <w:rPr>
                      <w:color w:val="000000"/>
                      <w:szCs w:val="21"/>
                      <w:u w:val="single"/>
                    </w:rPr>
                  </w:pPr>
                  <w:r>
                    <w:rPr>
                      <w:rFonts w:hint="eastAsia"/>
                      <w:color w:val="000000"/>
                      <w:szCs w:val="21"/>
                      <w:u w:val="single"/>
                    </w:rPr>
                    <w:t>0.2</w:t>
                  </w:r>
                </w:p>
              </w:tc>
              <w:tc>
                <w:tcPr>
                  <w:tcW w:w="1115" w:type="dxa"/>
                  <w:vAlign w:val="center"/>
                </w:tcPr>
                <w:p w14:paraId="321E54BC">
                  <w:pPr>
                    <w:jc w:val="center"/>
                    <w:rPr>
                      <w:color w:val="000000"/>
                      <w:szCs w:val="21"/>
                      <w:u w:val="single"/>
                    </w:rPr>
                  </w:pPr>
                  <w:r>
                    <w:rPr>
                      <w:rFonts w:hint="eastAsia"/>
                      <w:color w:val="000000"/>
                      <w:szCs w:val="21"/>
                      <w:u w:val="single"/>
                    </w:rPr>
                    <w:t>+0.2</w:t>
                  </w:r>
                </w:p>
              </w:tc>
            </w:tr>
            <w:tr w14:paraId="18BD17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637" w:type="dxa"/>
                  <w:vMerge w:val="continue"/>
                  <w:vAlign w:val="center"/>
                </w:tcPr>
                <w:p w14:paraId="1F32FD05">
                  <w:pPr>
                    <w:widowControl/>
                    <w:jc w:val="center"/>
                    <w:rPr>
                      <w:color w:val="000000"/>
                      <w:szCs w:val="21"/>
                      <w:u w:val="single"/>
                    </w:rPr>
                  </w:pPr>
                </w:p>
              </w:tc>
              <w:tc>
                <w:tcPr>
                  <w:tcW w:w="1393" w:type="dxa"/>
                  <w:vAlign w:val="center"/>
                </w:tcPr>
                <w:p w14:paraId="15EE2E24">
                  <w:pPr>
                    <w:jc w:val="center"/>
                    <w:rPr>
                      <w:szCs w:val="21"/>
                    </w:rPr>
                  </w:pPr>
                  <w:r>
                    <w:rPr>
                      <w:rFonts w:hint="eastAsia"/>
                      <w:szCs w:val="21"/>
                    </w:rPr>
                    <w:t>玻璃沉渣</w:t>
                  </w:r>
                </w:p>
              </w:tc>
              <w:tc>
                <w:tcPr>
                  <w:tcW w:w="1368" w:type="dxa"/>
                  <w:vAlign w:val="center"/>
                </w:tcPr>
                <w:p w14:paraId="6836A5A4">
                  <w:pPr>
                    <w:jc w:val="center"/>
                    <w:rPr>
                      <w:color w:val="000000"/>
                      <w:szCs w:val="21"/>
                      <w:u w:val="single"/>
                    </w:rPr>
                  </w:pPr>
                  <w:r>
                    <w:rPr>
                      <w:rFonts w:hint="eastAsia"/>
                      <w:color w:val="000000"/>
                      <w:szCs w:val="21"/>
                      <w:u w:val="single"/>
                    </w:rPr>
                    <w:t>0.6</w:t>
                  </w:r>
                </w:p>
              </w:tc>
              <w:tc>
                <w:tcPr>
                  <w:tcW w:w="1197" w:type="dxa"/>
                  <w:vAlign w:val="center"/>
                </w:tcPr>
                <w:p w14:paraId="1B162257">
                  <w:pPr>
                    <w:jc w:val="center"/>
                    <w:rPr>
                      <w:color w:val="000000"/>
                      <w:szCs w:val="21"/>
                      <w:u w:val="single"/>
                    </w:rPr>
                  </w:pPr>
                  <w:r>
                    <w:rPr>
                      <w:rFonts w:hint="eastAsia"/>
                      <w:color w:val="000000"/>
                      <w:szCs w:val="21"/>
                      <w:u w:val="single"/>
                    </w:rPr>
                    <w:t>0.6</w:t>
                  </w:r>
                </w:p>
              </w:tc>
              <w:tc>
                <w:tcPr>
                  <w:tcW w:w="1019" w:type="dxa"/>
                  <w:vAlign w:val="center"/>
                </w:tcPr>
                <w:p w14:paraId="51DD1E53">
                  <w:pPr>
                    <w:jc w:val="center"/>
                    <w:rPr>
                      <w:rFonts w:hint="default" w:eastAsia="宋体"/>
                      <w:color w:val="000000"/>
                      <w:szCs w:val="21"/>
                      <w:u w:val="single"/>
                      <w:lang w:val="en-US" w:eastAsia="zh-CN"/>
                    </w:rPr>
                  </w:pPr>
                  <w:r>
                    <w:rPr>
                      <w:rFonts w:hint="eastAsia"/>
                      <w:color w:val="000000"/>
                      <w:szCs w:val="21"/>
                      <w:u w:val="single"/>
                      <w:lang w:val="en-US" w:eastAsia="zh-CN"/>
                    </w:rPr>
                    <w:t>0.6</w:t>
                  </w:r>
                </w:p>
              </w:tc>
              <w:tc>
                <w:tcPr>
                  <w:tcW w:w="1147" w:type="dxa"/>
                  <w:vAlign w:val="center"/>
                </w:tcPr>
                <w:p w14:paraId="189A8E39">
                  <w:pPr>
                    <w:jc w:val="center"/>
                    <w:rPr>
                      <w:color w:val="000000"/>
                      <w:szCs w:val="21"/>
                      <w:u w:val="single"/>
                    </w:rPr>
                  </w:pPr>
                  <w:r>
                    <w:rPr>
                      <w:rFonts w:hint="eastAsia"/>
                      <w:color w:val="000000"/>
                      <w:szCs w:val="21"/>
                      <w:u w:val="single"/>
                    </w:rPr>
                    <w:t>0.6</w:t>
                  </w:r>
                </w:p>
              </w:tc>
              <w:tc>
                <w:tcPr>
                  <w:tcW w:w="1115" w:type="dxa"/>
                  <w:vAlign w:val="center"/>
                </w:tcPr>
                <w:p w14:paraId="588C6F2D">
                  <w:pPr>
                    <w:jc w:val="center"/>
                    <w:rPr>
                      <w:rFonts w:hint="eastAsia" w:eastAsia="宋体"/>
                      <w:color w:val="000000"/>
                      <w:szCs w:val="21"/>
                      <w:u w:val="single"/>
                      <w:lang w:eastAsia="zh-CN"/>
                    </w:rPr>
                  </w:pPr>
                  <w:r>
                    <w:rPr>
                      <w:rFonts w:hint="eastAsia"/>
                      <w:color w:val="000000"/>
                      <w:szCs w:val="21"/>
                      <w:u w:val="single"/>
                      <w:lang w:val="en-US" w:eastAsia="zh-CN"/>
                    </w:rPr>
                    <w:t>0</w:t>
                  </w:r>
                </w:p>
              </w:tc>
            </w:tr>
            <w:tr w14:paraId="7E43DC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637" w:type="dxa"/>
                  <w:vMerge w:val="continue"/>
                  <w:vAlign w:val="center"/>
                </w:tcPr>
                <w:p w14:paraId="5F3D1271">
                  <w:pPr>
                    <w:widowControl/>
                    <w:jc w:val="center"/>
                    <w:rPr>
                      <w:color w:val="000000"/>
                      <w:szCs w:val="21"/>
                      <w:u w:val="single"/>
                    </w:rPr>
                  </w:pPr>
                </w:p>
              </w:tc>
              <w:tc>
                <w:tcPr>
                  <w:tcW w:w="1393" w:type="dxa"/>
                  <w:vAlign w:val="center"/>
                </w:tcPr>
                <w:p w14:paraId="72B7EED6">
                  <w:pPr>
                    <w:jc w:val="center"/>
                    <w:rPr>
                      <w:rFonts w:hint="eastAsia"/>
                      <w:szCs w:val="21"/>
                      <w:u w:val="single"/>
                    </w:rPr>
                  </w:pPr>
                  <w:r>
                    <w:rPr>
                      <w:rFonts w:hint="eastAsia"/>
                      <w:szCs w:val="21"/>
                      <w:u w:val="single"/>
                    </w:rPr>
                    <w:t>废滤材</w:t>
                  </w:r>
                </w:p>
              </w:tc>
              <w:tc>
                <w:tcPr>
                  <w:tcW w:w="1368" w:type="dxa"/>
                  <w:vAlign w:val="center"/>
                </w:tcPr>
                <w:p w14:paraId="0F2AB3E9">
                  <w:pPr>
                    <w:jc w:val="center"/>
                    <w:rPr>
                      <w:color w:val="000000"/>
                      <w:szCs w:val="21"/>
                      <w:u w:val="single"/>
                    </w:rPr>
                  </w:pPr>
                  <w:r>
                    <w:rPr>
                      <w:rFonts w:hint="eastAsia"/>
                      <w:color w:val="000000"/>
                      <w:szCs w:val="21"/>
                      <w:u w:val="single"/>
                    </w:rPr>
                    <w:t>/</w:t>
                  </w:r>
                </w:p>
              </w:tc>
              <w:tc>
                <w:tcPr>
                  <w:tcW w:w="1197" w:type="dxa"/>
                  <w:vAlign w:val="center"/>
                </w:tcPr>
                <w:p w14:paraId="78273177">
                  <w:pPr>
                    <w:jc w:val="center"/>
                    <w:rPr>
                      <w:color w:val="000000"/>
                      <w:szCs w:val="21"/>
                      <w:u w:val="single"/>
                    </w:rPr>
                  </w:pPr>
                  <w:r>
                    <w:rPr>
                      <w:rFonts w:hint="eastAsia"/>
                      <w:color w:val="000000"/>
                      <w:szCs w:val="21"/>
                      <w:u w:val="single"/>
                    </w:rPr>
                    <w:t>0.2</w:t>
                  </w:r>
                </w:p>
              </w:tc>
              <w:tc>
                <w:tcPr>
                  <w:tcW w:w="1019" w:type="dxa"/>
                  <w:vAlign w:val="center"/>
                </w:tcPr>
                <w:p w14:paraId="0C068CE1">
                  <w:pPr>
                    <w:jc w:val="center"/>
                    <w:rPr>
                      <w:color w:val="000000"/>
                      <w:szCs w:val="21"/>
                      <w:u w:val="single"/>
                    </w:rPr>
                  </w:pPr>
                  <w:r>
                    <w:rPr>
                      <w:rFonts w:hint="eastAsia"/>
                      <w:color w:val="000000"/>
                      <w:szCs w:val="21"/>
                      <w:u w:val="single"/>
                    </w:rPr>
                    <w:t>0</w:t>
                  </w:r>
                </w:p>
              </w:tc>
              <w:tc>
                <w:tcPr>
                  <w:tcW w:w="1147" w:type="dxa"/>
                  <w:vAlign w:val="center"/>
                </w:tcPr>
                <w:p w14:paraId="3B5EB3E4">
                  <w:pPr>
                    <w:jc w:val="center"/>
                    <w:rPr>
                      <w:color w:val="000000"/>
                      <w:szCs w:val="21"/>
                      <w:u w:val="single"/>
                    </w:rPr>
                  </w:pPr>
                  <w:r>
                    <w:rPr>
                      <w:rFonts w:hint="eastAsia"/>
                      <w:color w:val="000000"/>
                      <w:szCs w:val="21"/>
                      <w:u w:val="single"/>
                    </w:rPr>
                    <w:t>0.2</w:t>
                  </w:r>
                </w:p>
              </w:tc>
              <w:tc>
                <w:tcPr>
                  <w:tcW w:w="1115" w:type="dxa"/>
                  <w:vAlign w:val="center"/>
                </w:tcPr>
                <w:p w14:paraId="48A58A0B">
                  <w:pPr>
                    <w:jc w:val="center"/>
                    <w:rPr>
                      <w:color w:val="000000"/>
                      <w:szCs w:val="21"/>
                      <w:u w:val="single"/>
                    </w:rPr>
                  </w:pPr>
                  <w:r>
                    <w:rPr>
                      <w:rFonts w:hint="eastAsia"/>
                      <w:color w:val="000000"/>
                      <w:szCs w:val="21"/>
                      <w:u w:val="single"/>
                    </w:rPr>
                    <w:t>+0.2</w:t>
                  </w:r>
                </w:p>
              </w:tc>
            </w:tr>
            <w:tr w14:paraId="4FD00D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637" w:type="dxa"/>
                  <w:vMerge w:val="continue"/>
                  <w:vAlign w:val="center"/>
                </w:tcPr>
                <w:p w14:paraId="0CFA48E0">
                  <w:pPr>
                    <w:widowControl/>
                    <w:jc w:val="center"/>
                    <w:rPr>
                      <w:color w:val="000000"/>
                      <w:szCs w:val="21"/>
                      <w:u w:val="single"/>
                    </w:rPr>
                  </w:pPr>
                </w:p>
              </w:tc>
              <w:tc>
                <w:tcPr>
                  <w:tcW w:w="1393" w:type="dxa"/>
                  <w:vAlign w:val="center"/>
                </w:tcPr>
                <w:p w14:paraId="2FBF0AB4">
                  <w:pPr>
                    <w:jc w:val="center"/>
                    <w:rPr>
                      <w:rFonts w:hint="eastAsia"/>
                      <w:szCs w:val="21"/>
                      <w:u w:val="single"/>
                    </w:rPr>
                  </w:pPr>
                  <w:r>
                    <w:rPr>
                      <w:rFonts w:hint="eastAsia"/>
                      <w:szCs w:val="21"/>
                      <w:u w:val="single"/>
                    </w:rPr>
                    <w:t>未沾染胶的废胶桶</w:t>
                  </w:r>
                </w:p>
              </w:tc>
              <w:tc>
                <w:tcPr>
                  <w:tcW w:w="1368" w:type="dxa"/>
                  <w:vAlign w:val="center"/>
                </w:tcPr>
                <w:p w14:paraId="66C568A6">
                  <w:pPr>
                    <w:jc w:val="center"/>
                    <w:rPr>
                      <w:rFonts w:hint="default" w:eastAsia="宋体"/>
                      <w:color w:val="000000"/>
                      <w:szCs w:val="21"/>
                      <w:u w:val="single"/>
                      <w:lang w:val="en-US" w:eastAsia="zh-CN"/>
                    </w:rPr>
                  </w:pPr>
                  <w:r>
                    <w:rPr>
                      <w:rFonts w:hint="eastAsia"/>
                      <w:color w:val="000000"/>
                      <w:szCs w:val="21"/>
                      <w:u w:val="single"/>
                      <w:lang w:val="en-US" w:eastAsia="zh-CN"/>
                    </w:rPr>
                    <w:t>1.0</w:t>
                  </w:r>
                </w:p>
              </w:tc>
              <w:tc>
                <w:tcPr>
                  <w:tcW w:w="1197" w:type="dxa"/>
                  <w:vAlign w:val="center"/>
                </w:tcPr>
                <w:p w14:paraId="69204459">
                  <w:pPr>
                    <w:jc w:val="center"/>
                    <w:rPr>
                      <w:color w:val="000000"/>
                      <w:szCs w:val="21"/>
                      <w:u w:val="single"/>
                    </w:rPr>
                  </w:pPr>
                  <w:r>
                    <w:rPr>
                      <w:rFonts w:hint="eastAsia"/>
                      <w:color w:val="000000"/>
                      <w:szCs w:val="21"/>
                      <w:u w:val="single"/>
                    </w:rPr>
                    <w:t>1.0</w:t>
                  </w:r>
                </w:p>
              </w:tc>
              <w:tc>
                <w:tcPr>
                  <w:tcW w:w="1019" w:type="dxa"/>
                  <w:vAlign w:val="center"/>
                </w:tcPr>
                <w:p w14:paraId="5C2CA795">
                  <w:pPr>
                    <w:jc w:val="center"/>
                    <w:rPr>
                      <w:rFonts w:hint="default" w:eastAsia="宋体"/>
                      <w:color w:val="000000"/>
                      <w:szCs w:val="21"/>
                      <w:u w:val="single"/>
                      <w:lang w:val="en-US" w:eastAsia="zh-CN"/>
                    </w:rPr>
                  </w:pPr>
                  <w:r>
                    <w:rPr>
                      <w:rFonts w:hint="eastAsia"/>
                      <w:color w:val="000000"/>
                      <w:szCs w:val="21"/>
                      <w:u w:val="single"/>
                      <w:lang w:val="en-US" w:eastAsia="zh-CN"/>
                    </w:rPr>
                    <w:t>1.0</w:t>
                  </w:r>
                </w:p>
              </w:tc>
              <w:tc>
                <w:tcPr>
                  <w:tcW w:w="1147" w:type="dxa"/>
                  <w:vAlign w:val="center"/>
                </w:tcPr>
                <w:p w14:paraId="73420615">
                  <w:pPr>
                    <w:jc w:val="center"/>
                    <w:rPr>
                      <w:color w:val="000000"/>
                      <w:szCs w:val="21"/>
                      <w:u w:val="single"/>
                    </w:rPr>
                  </w:pPr>
                  <w:r>
                    <w:rPr>
                      <w:rFonts w:hint="eastAsia"/>
                      <w:color w:val="000000"/>
                      <w:szCs w:val="21"/>
                      <w:u w:val="single"/>
                    </w:rPr>
                    <w:t>1.0</w:t>
                  </w:r>
                </w:p>
              </w:tc>
              <w:tc>
                <w:tcPr>
                  <w:tcW w:w="1115" w:type="dxa"/>
                  <w:vAlign w:val="center"/>
                </w:tcPr>
                <w:p w14:paraId="1FD37A3D">
                  <w:pPr>
                    <w:jc w:val="center"/>
                    <w:rPr>
                      <w:rFonts w:hint="eastAsia" w:eastAsia="宋体"/>
                      <w:color w:val="000000"/>
                      <w:szCs w:val="21"/>
                      <w:u w:val="single"/>
                      <w:lang w:eastAsia="zh-CN"/>
                    </w:rPr>
                  </w:pPr>
                  <w:r>
                    <w:rPr>
                      <w:rFonts w:hint="eastAsia"/>
                      <w:color w:val="000000"/>
                      <w:szCs w:val="21"/>
                      <w:u w:val="single"/>
                      <w:lang w:val="en-US" w:eastAsia="zh-CN"/>
                    </w:rPr>
                    <w:t>0</w:t>
                  </w:r>
                </w:p>
              </w:tc>
            </w:tr>
            <w:tr w14:paraId="330AC4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637" w:type="dxa"/>
                  <w:vMerge w:val="continue"/>
                  <w:vAlign w:val="center"/>
                </w:tcPr>
                <w:p w14:paraId="7E443C02">
                  <w:pPr>
                    <w:widowControl/>
                    <w:jc w:val="center"/>
                    <w:rPr>
                      <w:color w:val="000000"/>
                      <w:szCs w:val="21"/>
                      <w:u w:val="single"/>
                    </w:rPr>
                  </w:pPr>
                </w:p>
              </w:tc>
              <w:tc>
                <w:tcPr>
                  <w:tcW w:w="1393" w:type="dxa"/>
                  <w:vAlign w:val="center"/>
                </w:tcPr>
                <w:p w14:paraId="18A51587">
                  <w:pPr>
                    <w:jc w:val="center"/>
                    <w:rPr>
                      <w:rFonts w:hint="eastAsia"/>
                      <w:szCs w:val="21"/>
                      <w:u w:val="single"/>
                    </w:rPr>
                  </w:pPr>
                  <w:r>
                    <w:rPr>
                      <w:rFonts w:hint="eastAsia"/>
                      <w:szCs w:val="21"/>
                      <w:u w:val="single"/>
                    </w:rPr>
                    <w:t>废润滑油及其包装桶</w:t>
                  </w:r>
                </w:p>
              </w:tc>
              <w:tc>
                <w:tcPr>
                  <w:tcW w:w="1368" w:type="dxa"/>
                  <w:vAlign w:val="center"/>
                </w:tcPr>
                <w:p w14:paraId="3EF6EC50">
                  <w:pPr>
                    <w:jc w:val="center"/>
                    <w:rPr>
                      <w:rFonts w:hint="eastAsia"/>
                      <w:color w:val="000000"/>
                      <w:szCs w:val="21"/>
                      <w:u w:val="single"/>
                    </w:rPr>
                  </w:pPr>
                  <w:r>
                    <w:rPr>
                      <w:rFonts w:hint="eastAsia"/>
                      <w:color w:val="000000"/>
                      <w:szCs w:val="21"/>
                      <w:u w:val="single"/>
                    </w:rPr>
                    <w:t>/</w:t>
                  </w:r>
                </w:p>
              </w:tc>
              <w:tc>
                <w:tcPr>
                  <w:tcW w:w="1197" w:type="dxa"/>
                  <w:vAlign w:val="center"/>
                </w:tcPr>
                <w:p w14:paraId="6D1CC64B">
                  <w:pPr>
                    <w:jc w:val="center"/>
                    <w:rPr>
                      <w:rFonts w:hint="eastAsia"/>
                      <w:color w:val="000000"/>
                      <w:szCs w:val="21"/>
                      <w:u w:val="single"/>
                    </w:rPr>
                  </w:pPr>
                  <w:r>
                    <w:rPr>
                      <w:rFonts w:hint="eastAsia"/>
                      <w:color w:val="000000"/>
                      <w:szCs w:val="21"/>
                      <w:u w:val="single"/>
                    </w:rPr>
                    <w:t>0.055</w:t>
                  </w:r>
                </w:p>
              </w:tc>
              <w:tc>
                <w:tcPr>
                  <w:tcW w:w="1019" w:type="dxa"/>
                  <w:vAlign w:val="center"/>
                </w:tcPr>
                <w:p w14:paraId="3159AB15">
                  <w:pPr>
                    <w:jc w:val="center"/>
                    <w:rPr>
                      <w:color w:val="000000"/>
                      <w:szCs w:val="21"/>
                      <w:u w:val="single"/>
                    </w:rPr>
                  </w:pPr>
                  <w:r>
                    <w:rPr>
                      <w:rFonts w:hint="eastAsia"/>
                      <w:color w:val="000000"/>
                      <w:szCs w:val="21"/>
                      <w:u w:val="single"/>
                    </w:rPr>
                    <w:t>0</w:t>
                  </w:r>
                </w:p>
              </w:tc>
              <w:tc>
                <w:tcPr>
                  <w:tcW w:w="1147" w:type="dxa"/>
                  <w:vAlign w:val="center"/>
                </w:tcPr>
                <w:p w14:paraId="7DA2F8BF">
                  <w:pPr>
                    <w:jc w:val="center"/>
                    <w:rPr>
                      <w:color w:val="000000"/>
                      <w:szCs w:val="21"/>
                      <w:u w:val="single"/>
                    </w:rPr>
                  </w:pPr>
                  <w:r>
                    <w:rPr>
                      <w:rFonts w:hint="eastAsia"/>
                      <w:color w:val="000000"/>
                      <w:szCs w:val="21"/>
                      <w:u w:val="single"/>
                    </w:rPr>
                    <w:t>0.055</w:t>
                  </w:r>
                </w:p>
              </w:tc>
              <w:tc>
                <w:tcPr>
                  <w:tcW w:w="1115" w:type="dxa"/>
                  <w:vAlign w:val="center"/>
                </w:tcPr>
                <w:p w14:paraId="23325C05">
                  <w:pPr>
                    <w:jc w:val="center"/>
                    <w:rPr>
                      <w:color w:val="000000"/>
                      <w:szCs w:val="21"/>
                      <w:u w:val="single"/>
                    </w:rPr>
                  </w:pPr>
                  <w:r>
                    <w:rPr>
                      <w:rFonts w:hint="eastAsia"/>
                      <w:color w:val="000000"/>
                      <w:szCs w:val="21"/>
                      <w:u w:val="single"/>
                    </w:rPr>
                    <w:t>+0.055</w:t>
                  </w:r>
                </w:p>
              </w:tc>
            </w:tr>
            <w:tr w14:paraId="13073F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7" w:hRule="atLeast"/>
                <w:jc w:val="center"/>
              </w:trPr>
              <w:tc>
                <w:tcPr>
                  <w:tcW w:w="637" w:type="dxa"/>
                  <w:vMerge w:val="continue"/>
                  <w:vAlign w:val="center"/>
                </w:tcPr>
                <w:p w14:paraId="77FFADC2">
                  <w:pPr>
                    <w:widowControl/>
                    <w:jc w:val="center"/>
                    <w:rPr>
                      <w:color w:val="000000"/>
                      <w:szCs w:val="21"/>
                      <w:u w:val="single"/>
                    </w:rPr>
                  </w:pPr>
                </w:p>
              </w:tc>
              <w:tc>
                <w:tcPr>
                  <w:tcW w:w="1393" w:type="dxa"/>
                  <w:vAlign w:val="center"/>
                </w:tcPr>
                <w:p w14:paraId="3D199749">
                  <w:pPr>
                    <w:jc w:val="center"/>
                    <w:rPr>
                      <w:rFonts w:hint="eastAsia"/>
                      <w:color w:val="000000"/>
                      <w:szCs w:val="21"/>
                      <w:u w:val="single"/>
                    </w:rPr>
                  </w:pPr>
                  <w:r>
                    <w:rPr>
                      <w:rFonts w:hint="eastAsia"/>
                      <w:color w:val="000000"/>
                      <w:szCs w:val="21"/>
                      <w:u w:val="single"/>
                    </w:rPr>
                    <w:t>沾染胶的废塑料膜和废胶桶</w:t>
                  </w:r>
                </w:p>
              </w:tc>
              <w:tc>
                <w:tcPr>
                  <w:tcW w:w="1368" w:type="dxa"/>
                  <w:vAlign w:val="center"/>
                </w:tcPr>
                <w:p w14:paraId="2C57C125">
                  <w:pPr>
                    <w:jc w:val="center"/>
                    <w:rPr>
                      <w:rFonts w:hint="default" w:eastAsia="宋体"/>
                      <w:color w:val="000000"/>
                      <w:szCs w:val="21"/>
                      <w:u w:val="single"/>
                      <w:lang w:val="en-US" w:eastAsia="zh-CN"/>
                    </w:rPr>
                  </w:pPr>
                  <w:r>
                    <w:rPr>
                      <w:rFonts w:hint="eastAsia"/>
                      <w:color w:val="000000"/>
                      <w:szCs w:val="21"/>
                      <w:u w:val="single"/>
                      <w:lang w:val="en-US" w:eastAsia="zh-CN"/>
                    </w:rPr>
                    <w:t>0.25</w:t>
                  </w:r>
                </w:p>
              </w:tc>
              <w:tc>
                <w:tcPr>
                  <w:tcW w:w="1197" w:type="dxa"/>
                  <w:vAlign w:val="center"/>
                </w:tcPr>
                <w:p w14:paraId="7547F348">
                  <w:pPr>
                    <w:jc w:val="center"/>
                    <w:rPr>
                      <w:color w:val="000000"/>
                      <w:szCs w:val="21"/>
                      <w:u w:val="single"/>
                    </w:rPr>
                  </w:pPr>
                  <w:r>
                    <w:rPr>
                      <w:rFonts w:hint="eastAsia"/>
                      <w:color w:val="000000"/>
                      <w:szCs w:val="21"/>
                      <w:u w:val="single"/>
                    </w:rPr>
                    <w:t>0.75</w:t>
                  </w:r>
                </w:p>
              </w:tc>
              <w:tc>
                <w:tcPr>
                  <w:tcW w:w="1019" w:type="dxa"/>
                  <w:vAlign w:val="center"/>
                </w:tcPr>
                <w:p w14:paraId="720B25A1">
                  <w:pPr>
                    <w:jc w:val="center"/>
                    <w:rPr>
                      <w:rFonts w:hint="default" w:eastAsia="宋体"/>
                      <w:color w:val="000000"/>
                      <w:szCs w:val="21"/>
                      <w:u w:val="single"/>
                      <w:lang w:val="en-US" w:eastAsia="zh-CN"/>
                    </w:rPr>
                  </w:pPr>
                  <w:r>
                    <w:rPr>
                      <w:rFonts w:hint="eastAsia"/>
                      <w:color w:val="000000"/>
                      <w:szCs w:val="21"/>
                      <w:u w:val="single"/>
                      <w:lang w:val="en-US" w:eastAsia="zh-CN"/>
                    </w:rPr>
                    <w:t>0.25</w:t>
                  </w:r>
                </w:p>
              </w:tc>
              <w:tc>
                <w:tcPr>
                  <w:tcW w:w="1147" w:type="dxa"/>
                  <w:vAlign w:val="center"/>
                </w:tcPr>
                <w:p w14:paraId="61820B0E">
                  <w:pPr>
                    <w:jc w:val="center"/>
                    <w:rPr>
                      <w:color w:val="000000"/>
                      <w:szCs w:val="21"/>
                      <w:u w:val="single"/>
                    </w:rPr>
                  </w:pPr>
                  <w:r>
                    <w:rPr>
                      <w:rFonts w:hint="eastAsia"/>
                      <w:color w:val="000000"/>
                      <w:szCs w:val="21"/>
                      <w:u w:val="single"/>
                    </w:rPr>
                    <w:t>0.75</w:t>
                  </w:r>
                </w:p>
              </w:tc>
              <w:tc>
                <w:tcPr>
                  <w:tcW w:w="1115" w:type="dxa"/>
                  <w:vAlign w:val="center"/>
                </w:tcPr>
                <w:p w14:paraId="0E506D3D">
                  <w:pPr>
                    <w:jc w:val="center"/>
                    <w:rPr>
                      <w:rFonts w:hint="default" w:eastAsia="宋体"/>
                      <w:color w:val="000000"/>
                      <w:szCs w:val="21"/>
                      <w:u w:val="single"/>
                      <w:lang w:val="en-US" w:eastAsia="zh-CN"/>
                    </w:rPr>
                  </w:pPr>
                  <w:r>
                    <w:rPr>
                      <w:rFonts w:hint="eastAsia"/>
                      <w:color w:val="000000"/>
                      <w:szCs w:val="21"/>
                      <w:u w:val="single"/>
                      <w:lang w:val="en-US" w:eastAsia="zh-CN"/>
                    </w:rPr>
                    <w:t>+0.5</w:t>
                  </w:r>
                </w:p>
              </w:tc>
            </w:tr>
            <w:tr w14:paraId="285EBA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637" w:type="dxa"/>
                  <w:vMerge w:val="continue"/>
                  <w:vAlign w:val="center"/>
                </w:tcPr>
                <w:p w14:paraId="460D300D">
                  <w:pPr>
                    <w:widowControl/>
                    <w:jc w:val="center"/>
                    <w:rPr>
                      <w:color w:val="000000"/>
                      <w:szCs w:val="21"/>
                      <w:u w:val="single"/>
                    </w:rPr>
                  </w:pPr>
                </w:p>
              </w:tc>
              <w:tc>
                <w:tcPr>
                  <w:tcW w:w="1393" w:type="dxa"/>
                  <w:vAlign w:val="center"/>
                </w:tcPr>
                <w:p w14:paraId="3D8D66D4">
                  <w:pPr>
                    <w:jc w:val="center"/>
                    <w:rPr>
                      <w:rFonts w:hint="eastAsia"/>
                      <w:color w:val="000000"/>
                      <w:szCs w:val="21"/>
                      <w:u w:val="single"/>
                    </w:rPr>
                  </w:pPr>
                  <w:r>
                    <w:rPr>
                      <w:rFonts w:hint="eastAsia"/>
                      <w:color w:val="000000"/>
                      <w:szCs w:val="21"/>
                      <w:u w:val="single"/>
                    </w:rPr>
                    <w:t>废活性炭</w:t>
                  </w:r>
                </w:p>
              </w:tc>
              <w:tc>
                <w:tcPr>
                  <w:tcW w:w="1368" w:type="dxa"/>
                  <w:vAlign w:val="center"/>
                </w:tcPr>
                <w:p w14:paraId="67EE3F65">
                  <w:pPr>
                    <w:jc w:val="center"/>
                    <w:rPr>
                      <w:color w:val="000000"/>
                      <w:szCs w:val="21"/>
                      <w:u w:val="single"/>
                    </w:rPr>
                  </w:pPr>
                  <w:r>
                    <w:rPr>
                      <w:rFonts w:hint="eastAsia"/>
                      <w:color w:val="000000"/>
                      <w:szCs w:val="21"/>
                      <w:u w:val="single"/>
                    </w:rPr>
                    <w:t>0.195</w:t>
                  </w:r>
                </w:p>
              </w:tc>
              <w:tc>
                <w:tcPr>
                  <w:tcW w:w="1197" w:type="dxa"/>
                  <w:vAlign w:val="center"/>
                </w:tcPr>
                <w:p w14:paraId="63CF8C52">
                  <w:pPr>
                    <w:pStyle w:val="82"/>
                    <w:spacing w:line="240" w:lineRule="auto"/>
                    <w:rPr>
                      <w:rFonts w:hint="default" w:eastAsia="宋体"/>
                      <w:color w:val="000000"/>
                      <w:sz w:val="21"/>
                      <w:szCs w:val="21"/>
                      <w:u w:val="single"/>
                      <w:lang w:val="en-US" w:eastAsia="zh-CN"/>
                    </w:rPr>
                  </w:pPr>
                  <w:r>
                    <w:rPr>
                      <w:rFonts w:hint="eastAsia"/>
                      <w:color w:val="000000"/>
                      <w:sz w:val="21"/>
                      <w:szCs w:val="21"/>
                      <w:u w:val="single"/>
                      <w:lang w:val="en-US" w:eastAsia="zh-CN"/>
                    </w:rPr>
                    <w:t>0.5</w:t>
                  </w:r>
                </w:p>
              </w:tc>
              <w:tc>
                <w:tcPr>
                  <w:tcW w:w="1019" w:type="dxa"/>
                  <w:vAlign w:val="center"/>
                </w:tcPr>
                <w:p w14:paraId="0EE56FCA">
                  <w:pPr>
                    <w:jc w:val="center"/>
                    <w:rPr>
                      <w:rFonts w:hint="default" w:eastAsia="宋体"/>
                      <w:color w:val="000000"/>
                      <w:sz w:val="21"/>
                      <w:szCs w:val="21"/>
                      <w:u w:val="single"/>
                      <w:lang w:val="en-US" w:eastAsia="zh-CN"/>
                    </w:rPr>
                  </w:pPr>
                  <w:r>
                    <w:rPr>
                      <w:rFonts w:hint="eastAsia"/>
                      <w:color w:val="000000"/>
                      <w:sz w:val="21"/>
                      <w:szCs w:val="21"/>
                      <w:u w:val="single"/>
                      <w:lang w:val="en-US" w:eastAsia="zh-CN"/>
                    </w:rPr>
                    <w:t>0.195</w:t>
                  </w:r>
                </w:p>
              </w:tc>
              <w:tc>
                <w:tcPr>
                  <w:tcW w:w="1147" w:type="dxa"/>
                  <w:vAlign w:val="center"/>
                </w:tcPr>
                <w:p w14:paraId="76F93994">
                  <w:pPr>
                    <w:pStyle w:val="82"/>
                    <w:spacing w:line="240" w:lineRule="auto"/>
                    <w:rPr>
                      <w:rFonts w:hint="default" w:eastAsia="宋体"/>
                      <w:color w:val="000000"/>
                      <w:sz w:val="21"/>
                      <w:szCs w:val="21"/>
                      <w:u w:val="single"/>
                      <w:lang w:val="en-US" w:eastAsia="zh-CN"/>
                    </w:rPr>
                  </w:pPr>
                  <w:r>
                    <w:rPr>
                      <w:rFonts w:hint="eastAsia"/>
                      <w:color w:val="000000"/>
                      <w:sz w:val="21"/>
                      <w:szCs w:val="21"/>
                      <w:u w:val="single"/>
                      <w:lang w:val="en-US" w:eastAsia="zh-CN"/>
                    </w:rPr>
                    <w:t>0.5</w:t>
                  </w:r>
                </w:p>
              </w:tc>
              <w:tc>
                <w:tcPr>
                  <w:tcW w:w="1115" w:type="dxa"/>
                  <w:vAlign w:val="center"/>
                </w:tcPr>
                <w:p w14:paraId="72AD3E15">
                  <w:pPr>
                    <w:pStyle w:val="82"/>
                    <w:spacing w:line="240" w:lineRule="auto"/>
                    <w:rPr>
                      <w:rFonts w:hint="default" w:eastAsia="宋体"/>
                      <w:color w:val="000000"/>
                      <w:sz w:val="21"/>
                      <w:szCs w:val="21"/>
                      <w:u w:val="single"/>
                      <w:lang w:val="en-US" w:eastAsia="zh-CN"/>
                    </w:rPr>
                  </w:pPr>
                  <w:r>
                    <w:rPr>
                      <w:rFonts w:hint="eastAsia"/>
                      <w:color w:val="000000"/>
                      <w:sz w:val="21"/>
                      <w:szCs w:val="21"/>
                      <w:u w:val="single"/>
                      <w:lang w:val="en-US" w:eastAsia="zh-CN"/>
                    </w:rPr>
                    <w:t>+0.305</w:t>
                  </w:r>
                </w:p>
              </w:tc>
            </w:tr>
            <w:tr w14:paraId="1127DD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637" w:type="dxa"/>
                  <w:vMerge w:val="continue"/>
                  <w:vAlign w:val="center"/>
                </w:tcPr>
                <w:p w14:paraId="77E1F52A">
                  <w:pPr>
                    <w:widowControl/>
                    <w:jc w:val="center"/>
                    <w:rPr>
                      <w:color w:val="000000"/>
                      <w:szCs w:val="21"/>
                      <w:u w:val="single"/>
                    </w:rPr>
                  </w:pPr>
                </w:p>
              </w:tc>
              <w:tc>
                <w:tcPr>
                  <w:tcW w:w="1393" w:type="dxa"/>
                  <w:vAlign w:val="center"/>
                </w:tcPr>
                <w:p w14:paraId="673B8F63">
                  <w:pPr>
                    <w:jc w:val="center"/>
                    <w:rPr>
                      <w:rFonts w:hint="eastAsia"/>
                      <w:color w:val="000000"/>
                      <w:szCs w:val="21"/>
                      <w:u w:val="single"/>
                    </w:rPr>
                  </w:pPr>
                  <w:r>
                    <w:rPr>
                      <w:rFonts w:hint="eastAsia"/>
                      <w:color w:val="000000"/>
                      <w:szCs w:val="21"/>
                      <w:u w:val="single"/>
                    </w:rPr>
                    <w:t>废催化剂</w:t>
                  </w:r>
                </w:p>
              </w:tc>
              <w:tc>
                <w:tcPr>
                  <w:tcW w:w="1368" w:type="dxa"/>
                  <w:vAlign w:val="center"/>
                </w:tcPr>
                <w:p w14:paraId="63D273F7">
                  <w:pPr>
                    <w:jc w:val="center"/>
                    <w:rPr>
                      <w:color w:val="000000"/>
                      <w:szCs w:val="21"/>
                      <w:u w:val="single"/>
                    </w:rPr>
                  </w:pPr>
                  <w:r>
                    <w:rPr>
                      <w:rFonts w:hint="eastAsia"/>
                      <w:color w:val="000000"/>
                      <w:szCs w:val="21"/>
                      <w:u w:val="single"/>
                    </w:rPr>
                    <w:t>0.01</w:t>
                  </w:r>
                </w:p>
              </w:tc>
              <w:tc>
                <w:tcPr>
                  <w:tcW w:w="1197" w:type="dxa"/>
                  <w:vAlign w:val="center"/>
                </w:tcPr>
                <w:p w14:paraId="6042C136">
                  <w:pPr>
                    <w:pStyle w:val="82"/>
                    <w:spacing w:line="240" w:lineRule="auto"/>
                    <w:rPr>
                      <w:rFonts w:hint="default" w:eastAsia="宋体"/>
                      <w:color w:val="000000"/>
                      <w:sz w:val="21"/>
                      <w:szCs w:val="21"/>
                      <w:u w:val="single"/>
                      <w:lang w:val="en-US" w:eastAsia="zh-CN"/>
                    </w:rPr>
                  </w:pPr>
                  <w:r>
                    <w:rPr>
                      <w:rFonts w:hint="eastAsia"/>
                      <w:color w:val="000000"/>
                      <w:sz w:val="21"/>
                      <w:szCs w:val="21"/>
                      <w:u w:val="single"/>
                      <w:lang w:val="en-US" w:eastAsia="zh-CN"/>
                    </w:rPr>
                    <w:t>0.0133</w:t>
                  </w:r>
                </w:p>
              </w:tc>
              <w:tc>
                <w:tcPr>
                  <w:tcW w:w="1019" w:type="dxa"/>
                  <w:vAlign w:val="center"/>
                </w:tcPr>
                <w:p w14:paraId="7B2CB274">
                  <w:pPr>
                    <w:jc w:val="center"/>
                    <w:rPr>
                      <w:color w:val="000000"/>
                      <w:sz w:val="21"/>
                      <w:szCs w:val="21"/>
                      <w:u w:val="single"/>
                    </w:rPr>
                  </w:pPr>
                  <w:r>
                    <w:rPr>
                      <w:rFonts w:hint="eastAsia"/>
                      <w:color w:val="000000"/>
                      <w:sz w:val="21"/>
                      <w:szCs w:val="21"/>
                      <w:u w:val="single"/>
                    </w:rPr>
                    <w:t>0</w:t>
                  </w:r>
                </w:p>
              </w:tc>
              <w:tc>
                <w:tcPr>
                  <w:tcW w:w="1147" w:type="dxa"/>
                  <w:vAlign w:val="center"/>
                </w:tcPr>
                <w:p w14:paraId="58FFA3BE">
                  <w:pPr>
                    <w:pStyle w:val="82"/>
                    <w:spacing w:line="240" w:lineRule="auto"/>
                    <w:rPr>
                      <w:rFonts w:hint="default" w:eastAsia="宋体"/>
                      <w:color w:val="000000"/>
                      <w:sz w:val="21"/>
                      <w:szCs w:val="21"/>
                      <w:u w:val="single"/>
                      <w:lang w:val="en-US" w:eastAsia="zh-CN"/>
                    </w:rPr>
                  </w:pPr>
                  <w:r>
                    <w:rPr>
                      <w:rFonts w:hint="eastAsia"/>
                      <w:color w:val="000000"/>
                      <w:sz w:val="21"/>
                      <w:szCs w:val="21"/>
                      <w:u w:val="single"/>
                      <w:lang w:val="en-US" w:eastAsia="zh-CN"/>
                    </w:rPr>
                    <w:t>0.0133</w:t>
                  </w:r>
                </w:p>
              </w:tc>
              <w:tc>
                <w:tcPr>
                  <w:tcW w:w="1115" w:type="dxa"/>
                  <w:vAlign w:val="center"/>
                </w:tcPr>
                <w:p w14:paraId="456D4C29">
                  <w:pPr>
                    <w:pStyle w:val="82"/>
                    <w:spacing w:line="240" w:lineRule="auto"/>
                    <w:rPr>
                      <w:rFonts w:hint="default" w:eastAsia="宋体"/>
                      <w:color w:val="000000"/>
                      <w:sz w:val="21"/>
                      <w:szCs w:val="21"/>
                      <w:u w:val="single"/>
                      <w:lang w:val="en-US" w:eastAsia="zh-CN"/>
                    </w:rPr>
                  </w:pPr>
                  <w:r>
                    <w:rPr>
                      <w:rFonts w:hint="eastAsia"/>
                      <w:color w:val="000000"/>
                      <w:sz w:val="21"/>
                      <w:szCs w:val="21"/>
                      <w:u w:val="single"/>
                      <w:lang w:val="en-US" w:eastAsia="zh-CN"/>
                    </w:rPr>
                    <w:t>+0.0033</w:t>
                  </w:r>
                </w:p>
              </w:tc>
            </w:tr>
            <w:tr w14:paraId="3F40A7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37" w:type="dxa"/>
                  <w:vMerge w:val="continue"/>
                  <w:vAlign w:val="center"/>
                </w:tcPr>
                <w:p w14:paraId="2BD79B39">
                  <w:pPr>
                    <w:widowControl/>
                    <w:jc w:val="center"/>
                    <w:rPr>
                      <w:color w:val="000000"/>
                      <w:szCs w:val="21"/>
                      <w:u w:val="single"/>
                    </w:rPr>
                  </w:pPr>
                </w:p>
              </w:tc>
              <w:tc>
                <w:tcPr>
                  <w:tcW w:w="1393" w:type="dxa"/>
                  <w:vAlign w:val="center"/>
                </w:tcPr>
                <w:p w14:paraId="509AEBE4">
                  <w:pPr>
                    <w:jc w:val="center"/>
                    <w:rPr>
                      <w:rFonts w:hint="default" w:eastAsia="宋体"/>
                      <w:color w:val="000000"/>
                      <w:szCs w:val="21"/>
                      <w:u w:val="single"/>
                      <w:lang w:val="en-US" w:eastAsia="zh-CN"/>
                    </w:rPr>
                  </w:pPr>
                  <w:r>
                    <w:rPr>
                      <w:rFonts w:hint="eastAsia"/>
                      <w:color w:val="000000"/>
                      <w:szCs w:val="21"/>
                      <w:u w:val="single"/>
                      <w:lang w:val="en-US" w:eastAsia="zh-CN"/>
                    </w:rPr>
                    <w:t>生活垃圾</w:t>
                  </w:r>
                </w:p>
              </w:tc>
              <w:tc>
                <w:tcPr>
                  <w:tcW w:w="1368" w:type="dxa"/>
                  <w:vAlign w:val="center"/>
                </w:tcPr>
                <w:p w14:paraId="73967DB8">
                  <w:pPr>
                    <w:jc w:val="center"/>
                    <w:rPr>
                      <w:rFonts w:hint="eastAsia" w:eastAsia="宋体"/>
                      <w:color w:val="000000"/>
                      <w:szCs w:val="21"/>
                      <w:u w:val="single"/>
                      <w:lang w:val="en-US" w:eastAsia="zh-CN"/>
                    </w:rPr>
                  </w:pPr>
                  <w:r>
                    <w:rPr>
                      <w:rFonts w:hint="eastAsia"/>
                      <w:color w:val="000000"/>
                      <w:szCs w:val="21"/>
                      <w:u w:val="single"/>
                      <w:lang w:val="en-US" w:eastAsia="zh-CN"/>
                    </w:rPr>
                    <w:t>6</w:t>
                  </w:r>
                </w:p>
              </w:tc>
              <w:tc>
                <w:tcPr>
                  <w:tcW w:w="1197" w:type="dxa"/>
                  <w:vAlign w:val="center"/>
                </w:tcPr>
                <w:p w14:paraId="2A2C0B0C">
                  <w:pPr>
                    <w:pStyle w:val="82"/>
                    <w:spacing w:line="240" w:lineRule="auto"/>
                    <w:rPr>
                      <w:rFonts w:hint="default" w:eastAsia="宋体"/>
                      <w:color w:val="000000"/>
                      <w:sz w:val="21"/>
                      <w:szCs w:val="21"/>
                      <w:u w:val="single"/>
                      <w:lang w:val="en-US" w:eastAsia="zh-CN"/>
                    </w:rPr>
                  </w:pPr>
                  <w:r>
                    <w:rPr>
                      <w:rFonts w:hint="eastAsia"/>
                      <w:color w:val="000000"/>
                      <w:sz w:val="21"/>
                      <w:szCs w:val="21"/>
                      <w:u w:val="single"/>
                      <w:lang w:val="en-US" w:eastAsia="zh-CN"/>
                    </w:rPr>
                    <w:t>4.5</w:t>
                  </w:r>
                </w:p>
              </w:tc>
              <w:tc>
                <w:tcPr>
                  <w:tcW w:w="1019" w:type="dxa"/>
                  <w:vAlign w:val="center"/>
                </w:tcPr>
                <w:p w14:paraId="5865B3A4">
                  <w:pPr>
                    <w:jc w:val="center"/>
                    <w:rPr>
                      <w:rFonts w:hint="eastAsia" w:eastAsia="宋体"/>
                      <w:color w:val="000000"/>
                      <w:sz w:val="21"/>
                      <w:szCs w:val="21"/>
                      <w:u w:val="single"/>
                      <w:lang w:val="en-US" w:eastAsia="zh-CN"/>
                    </w:rPr>
                  </w:pPr>
                  <w:r>
                    <w:rPr>
                      <w:rFonts w:hint="eastAsia"/>
                      <w:color w:val="000000"/>
                      <w:sz w:val="21"/>
                      <w:szCs w:val="21"/>
                      <w:u w:val="single"/>
                      <w:lang w:val="en-US" w:eastAsia="zh-CN"/>
                    </w:rPr>
                    <w:t>6</w:t>
                  </w:r>
                </w:p>
              </w:tc>
              <w:tc>
                <w:tcPr>
                  <w:tcW w:w="1147" w:type="dxa"/>
                  <w:vAlign w:val="center"/>
                </w:tcPr>
                <w:p w14:paraId="68C6BA09">
                  <w:pPr>
                    <w:pStyle w:val="82"/>
                    <w:spacing w:line="240" w:lineRule="auto"/>
                    <w:rPr>
                      <w:rFonts w:hint="default" w:eastAsia="宋体"/>
                      <w:color w:val="000000"/>
                      <w:sz w:val="21"/>
                      <w:szCs w:val="21"/>
                      <w:u w:val="single"/>
                      <w:lang w:val="en-US" w:eastAsia="zh-CN"/>
                    </w:rPr>
                  </w:pPr>
                  <w:r>
                    <w:rPr>
                      <w:rFonts w:hint="eastAsia"/>
                      <w:color w:val="000000"/>
                      <w:sz w:val="21"/>
                      <w:szCs w:val="21"/>
                      <w:u w:val="single"/>
                      <w:lang w:val="en-US" w:eastAsia="zh-CN"/>
                    </w:rPr>
                    <w:t>4.5</w:t>
                  </w:r>
                </w:p>
              </w:tc>
              <w:tc>
                <w:tcPr>
                  <w:tcW w:w="1115" w:type="dxa"/>
                  <w:vAlign w:val="center"/>
                </w:tcPr>
                <w:p w14:paraId="17309478">
                  <w:pPr>
                    <w:pStyle w:val="82"/>
                    <w:spacing w:line="240" w:lineRule="auto"/>
                    <w:rPr>
                      <w:rFonts w:hint="default" w:eastAsia="宋体"/>
                      <w:color w:val="000000"/>
                      <w:sz w:val="21"/>
                      <w:szCs w:val="21"/>
                      <w:u w:val="single"/>
                      <w:lang w:val="en-US" w:eastAsia="zh-CN"/>
                    </w:rPr>
                  </w:pPr>
                  <w:r>
                    <w:rPr>
                      <w:rFonts w:hint="eastAsia"/>
                      <w:color w:val="000000"/>
                      <w:sz w:val="21"/>
                      <w:szCs w:val="21"/>
                      <w:u w:val="single"/>
                      <w:lang w:val="en-US" w:eastAsia="zh-CN"/>
                    </w:rPr>
                    <w:t>-1.5</w:t>
                  </w:r>
                </w:p>
              </w:tc>
            </w:tr>
          </w:tbl>
          <w:p w14:paraId="0AE935A3">
            <w:pPr>
              <w:adjustRightInd w:val="0"/>
              <w:snapToGrid w:val="0"/>
              <w:spacing w:line="360" w:lineRule="auto"/>
              <w:ind w:firstLine="482" w:firstLineChars="200"/>
              <w:rPr>
                <w:b/>
                <w:bCs/>
                <w:snapToGrid w:val="0"/>
                <w:kern w:val="0"/>
                <w:sz w:val="24"/>
              </w:rPr>
            </w:pPr>
            <w:r>
              <w:rPr>
                <w:rFonts w:hint="eastAsia"/>
                <w:b/>
                <w:bCs/>
                <w:snapToGrid w:val="0"/>
                <w:kern w:val="0"/>
                <w:sz w:val="24"/>
              </w:rPr>
              <w:t>11、项目验收一览表</w:t>
            </w:r>
          </w:p>
          <w:p w14:paraId="52741BB6">
            <w:pPr>
              <w:adjustRightInd w:val="0"/>
              <w:snapToGrid w:val="0"/>
              <w:spacing w:line="360" w:lineRule="auto"/>
              <w:ind w:firstLine="480" w:firstLineChars="200"/>
              <w:rPr>
                <w:sz w:val="24"/>
              </w:rPr>
            </w:pPr>
            <w:r>
              <w:rPr>
                <w:rFonts w:hint="eastAsia"/>
                <w:sz w:val="24"/>
              </w:rPr>
              <w:t>本项目</w:t>
            </w:r>
            <w:r>
              <w:rPr>
                <w:sz w:val="24"/>
              </w:rPr>
              <w:t>污染防治措</w:t>
            </w:r>
            <w:r>
              <w:rPr>
                <w:rFonts w:hint="eastAsia" w:ascii="宋体" w:hAnsi="宋体" w:cs="宋体"/>
                <w:sz w:val="24"/>
              </w:rPr>
              <w:t>施及“三同时”验收</w:t>
            </w:r>
            <w:r>
              <w:rPr>
                <w:sz w:val="24"/>
              </w:rPr>
              <w:t>内容汇总见</w:t>
            </w:r>
            <w:r>
              <w:rPr>
                <w:rFonts w:hint="eastAsia"/>
                <w:sz w:val="24"/>
              </w:rPr>
              <w:t>下</w:t>
            </w:r>
            <w:r>
              <w:rPr>
                <w:sz w:val="24"/>
              </w:rPr>
              <w:t>表。</w:t>
            </w:r>
          </w:p>
          <w:p w14:paraId="7A6C0AEA">
            <w:pPr>
              <w:pStyle w:val="137"/>
              <w:numPr>
                <w:ilvl w:val="0"/>
                <w:numId w:val="7"/>
              </w:numPr>
              <w:adjustRightInd w:val="0"/>
              <w:snapToGrid w:val="0"/>
              <w:ind w:firstLineChars="0"/>
              <w:jc w:val="center"/>
              <w:rPr>
                <w:b/>
                <w:snapToGrid w:val="0"/>
                <w:kern w:val="0"/>
                <w:szCs w:val="21"/>
              </w:rPr>
            </w:pPr>
            <w:r>
              <w:rPr>
                <w:rFonts w:hint="eastAsia"/>
                <w:b/>
                <w:snapToGrid w:val="0"/>
                <w:kern w:val="0"/>
                <w:szCs w:val="21"/>
              </w:rPr>
              <w:t>项目污染防治措施及“三同时”验收内容汇总</w:t>
            </w:r>
            <w:r>
              <w:rPr>
                <w:b/>
                <w:snapToGrid w:val="0"/>
                <w:kern w:val="0"/>
                <w:szCs w:val="21"/>
              </w:rPr>
              <w:t>一览表</w:t>
            </w:r>
          </w:p>
          <w:tbl>
            <w:tblPr>
              <w:tblStyle w:val="38"/>
              <w:tblW w:w="7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084"/>
              <w:gridCol w:w="1763"/>
              <w:gridCol w:w="2243"/>
              <w:gridCol w:w="1276"/>
              <w:gridCol w:w="1134"/>
            </w:tblGrid>
            <w:tr w14:paraId="12A4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509" w:type="dxa"/>
                  <w:gridSpan w:val="2"/>
                  <w:tcMar>
                    <w:left w:w="28" w:type="dxa"/>
                    <w:right w:w="28" w:type="dxa"/>
                  </w:tcMar>
                  <w:vAlign w:val="center"/>
                </w:tcPr>
                <w:p w14:paraId="7C2CBDD2">
                  <w:pPr>
                    <w:jc w:val="center"/>
                    <w:rPr>
                      <w:b/>
                      <w:szCs w:val="21"/>
                    </w:rPr>
                  </w:pPr>
                  <w:r>
                    <w:rPr>
                      <w:b/>
                      <w:szCs w:val="21"/>
                    </w:rPr>
                    <w:t>验收项目</w:t>
                  </w:r>
                </w:p>
              </w:tc>
              <w:tc>
                <w:tcPr>
                  <w:tcW w:w="1763" w:type="dxa"/>
                  <w:tcMar>
                    <w:left w:w="28" w:type="dxa"/>
                    <w:right w:w="28" w:type="dxa"/>
                  </w:tcMar>
                  <w:vAlign w:val="center"/>
                </w:tcPr>
                <w:p w14:paraId="7D99A3C7">
                  <w:pPr>
                    <w:jc w:val="center"/>
                    <w:rPr>
                      <w:b/>
                      <w:szCs w:val="21"/>
                    </w:rPr>
                  </w:pPr>
                  <w:r>
                    <w:rPr>
                      <w:b/>
                      <w:szCs w:val="21"/>
                    </w:rPr>
                    <w:t>治理措施</w:t>
                  </w:r>
                </w:p>
              </w:tc>
              <w:tc>
                <w:tcPr>
                  <w:tcW w:w="2243" w:type="dxa"/>
                  <w:tcMar>
                    <w:left w:w="28" w:type="dxa"/>
                    <w:right w:w="28" w:type="dxa"/>
                  </w:tcMar>
                  <w:vAlign w:val="center"/>
                </w:tcPr>
                <w:p w14:paraId="52B00813">
                  <w:pPr>
                    <w:jc w:val="center"/>
                    <w:rPr>
                      <w:b/>
                      <w:szCs w:val="21"/>
                    </w:rPr>
                  </w:pPr>
                  <w:r>
                    <w:rPr>
                      <w:b/>
                      <w:szCs w:val="21"/>
                    </w:rPr>
                    <w:t>验收标准</w:t>
                  </w:r>
                </w:p>
              </w:tc>
              <w:tc>
                <w:tcPr>
                  <w:tcW w:w="1276" w:type="dxa"/>
                  <w:vAlign w:val="center"/>
                </w:tcPr>
                <w:p w14:paraId="4D8E0520">
                  <w:pPr>
                    <w:jc w:val="center"/>
                    <w:rPr>
                      <w:b/>
                      <w:szCs w:val="21"/>
                    </w:rPr>
                  </w:pPr>
                  <w:r>
                    <w:rPr>
                      <w:b/>
                      <w:szCs w:val="21"/>
                    </w:rPr>
                    <w:t>标准限值</w:t>
                  </w:r>
                </w:p>
              </w:tc>
              <w:tc>
                <w:tcPr>
                  <w:tcW w:w="1134" w:type="dxa"/>
                  <w:tcMar>
                    <w:left w:w="28" w:type="dxa"/>
                    <w:right w:w="28" w:type="dxa"/>
                  </w:tcMar>
                  <w:vAlign w:val="center"/>
                </w:tcPr>
                <w:p w14:paraId="38144DE4">
                  <w:pPr>
                    <w:jc w:val="center"/>
                    <w:rPr>
                      <w:b/>
                      <w:szCs w:val="21"/>
                    </w:rPr>
                  </w:pPr>
                  <w:r>
                    <w:rPr>
                      <w:b/>
                      <w:szCs w:val="21"/>
                    </w:rPr>
                    <w:t>验收内容</w:t>
                  </w:r>
                </w:p>
              </w:tc>
            </w:tr>
            <w:tr w14:paraId="4ACC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425" w:type="dxa"/>
                  <w:vMerge w:val="restart"/>
                  <w:tcMar>
                    <w:left w:w="28" w:type="dxa"/>
                    <w:right w:w="28" w:type="dxa"/>
                  </w:tcMar>
                  <w:vAlign w:val="center"/>
                </w:tcPr>
                <w:p w14:paraId="47E43EDF">
                  <w:pPr>
                    <w:jc w:val="center"/>
                    <w:rPr>
                      <w:bCs/>
                      <w:szCs w:val="21"/>
                    </w:rPr>
                  </w:pPr>
                  <w:r>
                    <w:rPr>
                      <w:bCs/>
                      <w:szCs w:val="21"/>
                    </w:rPr>
                    <w:t>废气</w:t>
                  </w:r>
                </w:p>
              </w:tc>
              <w:tc>
                <w:tcPr>
                  <w:tcW w:w="1084" w:type="dxa"/>
                  <w:tcMar>
                    <w:left w:w="28" w:type="dxa"/>
                    <w:right w:w="28" w:type="dxa"/>
                  </w:tcMar>
                  <w:vAlign w:val="center"/>
                </w:tcPr>
                <w:p w14:paraId="7FDC35AA">
                  <w:pPr>
                    <w:jc w:val="center"/>
                    <w:rPr>
                      <w:bCs/>
                      <w:szCs w:val="21"/>
                      <w:u w:val="single"/>
                    </w:rPr>
                  </w:pPr>
                  <w:r>
                    <w:rPr>
                      <w:rFonts w:hint="eastAsia"/>
                      <w:szCs w:val="21"/>
                      <w:u w:val="single"/>
                    </w:rPr>
                    <w:t>中空工艺</w:t>
                  </w:r>
                  <w:r>
                    <w:rPr>
                      <w:rFonts w:hint="eastAsia"/>
                      <w:bCs/>
                      <w:kern w:val="0"/>
                      <w:szCs w:val="21"/>
                      <w:u w:val="single"/>
                    </w:rPr>
                    <w:t>（涂胶、固定、硅酮胶搅拌混合以及封胶过程）</w:t>
                  </w:r>
                  <w:r>
                    <w:rPr>
                      <w:rFonts w:hint="eastAsia"/>
                      <w:szCs w:val="21"/>
                      <w:u w:val="single"/>
                    </w:rPr>
                    <w:t>有机废气及危废暂存间废气DA001</w:t>
                  </w:r>
                </w:p>
              </w:tc>
              <w:tc>
                <w:tcPr>
                  <w:tcW w:w="1763" w:type="dxa"/>
                  <w:tcMar>
                    <w:left w:w="28" w:type="dxa"/>
                    <w:right w:w="28" w:type="dxa"/>
                  </w:tcMar>
                  <w:vAlign w:val="center"/>
                </w:tcPr>
                <w:p w14:paraId="47536A58">
                  <w:pPr>
                    <w:jc w:val="center"/>
                    <w:rPr>
                      <w:bCs/>
                      <w:szCs w:val="21"/>
                    </w:rPr>
                  </w:pPr>
                  <w:r>
                    <w:rPr>
                      <w:rFonts w:hint="eastAsia"/>
                      <w:szCs w:val="21"/>
                    </w:rPr>
                    <w:t>集气装置+活性炭吸附-脱附+催化燃烧+15m高排气筒</w:t>
                  </w:r>
                </w:p>
              </w:tc>
              <w:tc>
                <w:tcPr>
                  <w:tcW w:w="2243" w:type="dxa"/>
                  <w:tcMar>
                    <w:left w:w="28" w:type="dxa"/>
                    <w:right w:w="28" w:type="dxa"/>
                  </w:tcMar>
                  <w:vAlign w:val="center"/>
                </w:tcPr>
                <w:p w14:paraId="635FA14C">
                  <w:pPr>
                    <w:jc w:val="center"/>
                    <w:rPr>
                      <w:bCs/>
                      <w:szCs w:val="21"/>
                    </w:rPr>
                  </w:pPr>
                  <w:r>
                    <w:rPr>
                      <w:rFonts w:hint="eastAsia"/>
                      <w:szCs w:val="21"/>
                    </w:rPr>
                    <w:t>《玻璃工业大气污染物排放标准》（GB 26453-2022）表1、《关于全省开展工业企业挥发性有机物专项治理工作中排放建议值的通知》（豫环攻坚办〔2017〕162号）及《关于印发〈重污染天气重点行业应急减排措施制定技术指南（2020年修订版）〉的函》（环办大气函〔2020〕340号）中玻璃后加工企业引领性指标</w:t>
                  </w:r>
                </w:p>
              </w:tc>
              <w:tc>
                <w:tcPr>
                  <w:tcW w:w="1276" w:type="dxa"/>
                  <w:vAlign w:val="center"/>
                </w:tcPr>
                <w:p w14:paraId="7837F4F3">
                  <w:pPr>
                    <w:jc w:val="center"/>
                    <w:rPr>
                      <w:rFonts w:hint="eastAsia"/>
                      <w:bCs/>
                      <w:szCs w:val="21"/>
                      <w:u w:val="single"/>
                    </w:rPr>
                  </w:pPr>
                  <w:r>
                    <w:rPr>
                      <w:rFonts w:hint="eastAsia" w:ascii="宋体" w:hAnsi="宋体"/>
                      <w:color w:val="000000"/>
                      <w:szCs w:val="21"/>
                      <w:u w:val="single"/>
                    </w:rPr>
                    <w:t>非甲烷总烃</w:t>
                  </w:r>
                  <w:r>
                    <w:rPr>
                      <w:color w:val="000000"/>
                      <w:szCs w:val="21"/>
                      <w:u w:val="single"/>
                    </w:rPr>
                    <w:t>≤</w:t>
                  </w:r>
                  <w:r>
                    <w:rPr>
                      <w:rFonts w:hint="eastAsia"/>
                      <w:color w:val="000000"/>
                      <w:szCs w:val="21"/>
                      <w:u w:val="single"/>
                    </w:rPr>
                    <w:t>60</w:t>
                  </w:r>
                  <w:r>
                    <w:rPr>
                      <w:color w:val="000000"/>
                      <w:szCs w:val="21"/>
                      <w:u w:val="single"/>
                    </w:rPr>
                    <w:t>mg/m</w:t>
                  </w:r>
                  <w:r>
                    <w:rPr>
                      <w:color w:val="000000"/>
                      <w:szCs w:val="21"/>
                      <w:u w:val="single"/>
                      <w:vertAlign w:val="superscript"/>
                    </w:rPr>
                    <w:t>3</w:t>
                  </w:r>
                  <w:r>
                    <w:rPr>
                      <w:rFonts w:hint="eastAsia"/>
                      <w:bCs/>
                      <w:szCs w:val="21"/>
                      <w:u w:val="single"/>
                    </w:rPr>
                    <w:t>，处理效率不低于80%</w:t>
                  </w:r>
                </w:p>
              </w:tc>
              <w:tc>
                <w:tcPr>
                  <w:tcW w:w="1134" w:type="dxa"/>
                  <w:tcMar>
                    <w:left w:w="28" w:type="dxa"/>
                    <w:right w:w="28" w:type="dxa"/>
                  </w:tcMar>
                  <w:vAlign w:val="center"/>
                </w:tcPr>
                <w:p w14:paraId="2160B205">
                  <w:pPr>
                    <w:jc w:val="center"/>
                    <w:rPr>
                      <w:bCs/>
                      <w:szCs w:val="21"/>
                    </w:rPr>
                  </w:pPr>
                  <w:r>
                    <w:rPr>
                      <w:rFonts w:hint="eastAsia"/>
                      <w:bCs/>
                      <w:szCs w:val="21"/>
                      <w:u w:val="single"/>
                    </w:rPr>
                    <w:t>污染物进出口浓度、速率、废气处理设施去除效率</w:t>
                  </w:r>
                </w:p>
              </w:tc>
            </w:tr>
            <w:tr w14:paraId="22B4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425" w:type="dxa"/>
                  <w:vMerge w:val="continue"/>
                  <w:tcMar>
                    <w:left w:w="28" w:type="dxa"/>
                    <w:right w:w="28" w:type="dxa"/>
                  </w:tcMar>
                  <w:vAlign w:val="center"/>
                </w:tcPr>
                <w:p w14:paraId="0959AD0A">
                  <w:pPr>
                    <w:jc w:val="center"/>
                    <w:rPr>
                      <w:bCs/>
                      <w:szCs w:val="21"/>
                    </w:rPr>
                  </w:pPr>
                </w:p>
              </w:tc>
              <w:tc>
                <w:tcPr>
                  <w:tcW w:w="1084" w:type="dxa"/>
                  <w:tcMar>
                    <w:left w:w="28" w:type="dxa"/>
                    <w:right w:w="28" w:type="dxa"/>
                  </w:tcMar>
                  <w:vAlign w:val="center"/>
                </w:tcPr>
                <w:p w14:paraId="70893C78">
                  <w:pPr>
                    <w:jc w:val="center"/>
                    <w:rPr>
                      <w:bCs/>
                      <w:szCs w:val="21"/>
                    </w:rPr>
                  </w:pPr>
                  <w:r>
                    <w:rPr>
                      <w:bCs/>
                      <w:szCs w:val="21"/>
                    </w:rPr>
                    <w:t>无组织有机废气</w:t>
                  </w:r>
                </w:p>
              </w:tc>
              <w:tc>
                <w:tcPr>
                  <w:tcW w:w="1763" w:type="dxa"/>
                  <w:tcMar>
                    <w:left w:w="28" w:type="dxa"/>
                    <w:right w:w="28" w:type="dxa"/>
                  </w:tcMar>
                  <w:vAlign w:val="center"/>
                </w:tcPr>
                <w:p w14:paraId="51E87B3C">
                  <w:pPr>
                    <w:jc w:val="center"/>
                    <w:rPr>
                      <w:bCs/>
                      <w:szCs w:val="21"/>
                    </w:rPr>
                  </w:pPr>
                  <w:r>
                    <w:rPr>
                      <w:rFonts w:hint="eastAsia"/>
                      <w:bCs/>
                      <w:szCs w:val="21"/>
                    </w:rPr>
                    <w:t>车间密闭</w:t>
                  </w:r>
                </w:p>
              </w:tc>
              <w:tc>
                <w:tcPr>
                  <w:tcW w:w="2243" w:type="dxa"/>
                  <w:tcMar>
                    <w:left w:w="28" w:type="dxa"/>
                    <w:right w:w="28" w:type="dxa"/>
                  </w:tcMar>
                  <w:vAlign w:val="center"/>
                </w:tcPr>
                <w:p w14:paraId="29C0993A">
                  <w:pPr>
                    <w:jc w:val="center"/>
                    <w:rPr>
                      <w:bCs/>
                      <w:szCs w:val="21"/>
                    </w:rPr>
                  </w:pPr>
                  <w:r>
                    <w:rPr>
                      <w:rFonts w:hint="eastAsia"/>
                      <w:szCs w:val="21"/>
                      <w:shd w:val="clear" w:color="auto" w:fill="FFFFFF"/>
                    </w:rPr>
                    <w:t>《关于全省开展工业企业挥发性有机物专项治理工作中排放建议值的通知》（豫环攻坚办〔2017〕162号）工业企业边界挥发性有机物排放建议值、《玻璃工业大气污染物排放标准》（GB26453-2022）表B.1</w:t>
                  </w:r>
                </w:p>
              </w:tc>
              <w:tc>
                <w:tcPr>
                  <w:tcW w:w="1276" w:type="dxa"/>
                  <w:vAlign w:val="center"/>
                </w:tcPr>
                <w:p w14:paraId="39276063">
                  <w:pPr>
                    <w:jc w:val="center"/>
                    <w:rPr>
                      <w:bCs/>
                      <w:szCs w:val="21"/>
                      <w:u w:val="single"/>
                    </w:rPr>
                  </w:pPr>
                  <w:r>
                    <w:rPr>
                      <w:rFonts w:hint="eastAsia"/>
                      <w:bCs/>
                      <w:szCs w:val="21"/>
                      <w:u w:val="single"/>
                    </w:rPr>
                    <w:t>非甲烷总烃：2.0</w:t>
                  </w:r>
                  <w:r>
                    <w:rPr>
                      <w:bCs/>
                      <w:szCs w:val="21"/>
                      <w:u w:val="single"/>
                    </w:rPr>
                    <w:t>mg/m</w:t>
                  </w:r>
                  <w:r>
                    <w:rPr>
                      <w:bCs/>
                      <w:szCs w:val="21"/>
                      <w:u w:val="single"/>
                      <w:vertAlign w:val="superscript"/>
                    </w:rPr>
                    <w:t>3</w:t>
                  </w:r>
                  <w:r>
                    <w:rPr>
                      <w:rFonts w:hint="eastAsia"/>
                      <w:bCs/>
                      <w:szCs w:val="21"/>
                      <w:u w:val="single"/>
                    </w:rPr>
                    <w:t>；</w:t>
                  </w:r>
                </w:p>
                <w:p w14:paraId="6FA67F59">
                  <w:pPr>
                    <w:jc w:val="center"/>
                    <w:rPr>
                      <w:bCs/>
                      <w:szCs w:val="21"/>
                      <w:u w:val="single"/>
                    </w:rPr>
                  </w:pPr>
                  <w:r>
                    <w:rPr>
                      <w:bCs/>
                      <w:szCs w:val="21"/>
                      <w:u w:val="single"/>
                    </w:rPr>
                    <w:t>厂区内无组织排放监控点</w:t>
                  </w:r>
                  <w:r>
                    <w:rPr>
                      <w:rFonts w:hint="eastAsia"/>
                      <w:bCs/>
                      <w:szCs w:val="21"/>
                      <w:u w:val="single"/>
                    </w:rPr>
                    <w:t>处1</w:t>
                  </w:r>
                  <w:r>
                    <w:rPr>
                      <w:bCs/>
                      <w:szCs w:val="21"/>
                      <w:u w:val="single"/>
                    </w:rPr>
                    <w:t>小时平均浓度值不超过</w:t>
                  </w:r>
                  <w:r>
                    <w:rPr>
                      <w:rFonts w:hint="eastAsia"/>
                      <w:bCs/>
                      <w:szCs w:val="21"/>
                      <w:u w:val="single"/>
                    </w:rPr>
                    <w:t>5</w:t>
                  </w:r>
                  <w:r>
                    <w:rPr>
                      <w:bCs/>
                      <w:szCs w:val="21"/>
                      <w:u w:val="single"/>
                    </w:rPr>
                    <w:t>mg/m</w:t>
                  </w:r>
                  <w:r>
                    <w:rPr>
                      <w:bCs/>
                      <w:szCs w:val="21"/>
                      <w:u w:val="single"/>
                      <w:vertAlign w:val="superscript"/>
                    </w:rPr>
                    <w:t>3</w:t>
                  </w:r>
                  <w:r>
                    <w:rPr>
                      <w:bCs/>
                      <w:szCs w:val="21"/>
                      <w:u w:val="single"/>
                    </w:rPr>
                    <w:t>、任意一次浓度值不超过</w:t>
                  </w:r>
                  <w:r>
                    <w:rPr>
                      <w:rFonts w:hint="eastAsia"/>
                      <w:bCs/>
                      <w:szCs w:val="21"/>
                      <w:u w:val="single"/>
                    </w:rPr>
                    <w:t>15</w:t>
                  </w:r>
                  <w:r>
                    <w:rPr>
                      <w:bCs/>
                      <w:szCs w:val="21"/>
                      <w:u w:val="single"/>
                    </w:rPr>
                    <w:t>mg/m</w:t>
                  </w:r>
                  <w:r>
                    <w:rPr>
                      <w:bCs/>
                      <w:szCs w:val="21"/>
                      <w:u w:val="single"/>
                      <w:vertAlign w:val="superscript"/>
                    </w:rPr>
                    <w:t>3</w:t>
                  </w:r>
                </w:p>
              </w:tc>
              <w:tc>
                <w:tcPr>
                  <w:tcW w:w="1134" w:type="dxa"/>
                  <w:tcMar>
                    <w:left w:w="28" w:type="dxa"/>
                    <w:right w:w="28" w:type="dxa"/>
                  </w:tcMar>
                  <w:vAlign w:val="center"/>
                </w:tcPr>
                <w:p w14:paraId="42D8B5B5">
                  <w:pPr>
                    <w:jc w:val="center"/>
                    <w:rPr>
                      <w:bCs/>
                      <w:szCs w:val="21"/>
                      <w:u w:val="single"/>
                    </w:rPr>
                  </w:pPr>
                  <w:r>
                    <w:rPr>
                      <w:bCs/>
                      <w:szCs w:val="21"/>
                      <w:u w:val="single"/>
                    </w:rPr>
                    <w:t>非甲烷总烃厂界</w:t>
                  </w:r>
                  <w:r>
                    <w:rPr>
                      <w:rFonts w:hint="eastAsia"/>
                      <w:bCs/>
                      <w:szCs w:val="21"/>
                      <w:u w:val="single"/>
                    </w:rPr>
                    <w:t>上下风向</w:t>
                  </w:r>
                  <w:r>
                    <w:rPr>
                      <w:bCs/>
                      <w:szCs w:val="21"/>
                      <w:u w:val="single"/>
                    </w:rPr>
                    <w:t>无组织排放浓度</w:t>
                  </w:r>
                  <w:r>
                    <w:rPr>
                      <w:rFonts w:hint="eastAsia"/>
                      <w:bCs/>
                      <w:szCs w:val="21"/>
                      <w:u w:val="single"/>
                    </w:rPr>
                    <w:t>；非甲烷总烃厂房外监控点浓度</w:t>
                  </w:r>
                </w:p>
              </w:tc>
            </w:tr>
            <w:tr w14:paraId="67BB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25" w:type="dxa"/>
                  <w:vMerge w:val="restart"/>
                  <w:tcMar>
                    <w:left w:w="28" w:type="dxa"/>
                    <w:right w:w="28" w:type="dxa"/>
                  </w:tcMar>
                  <w:vAlign w:val="center"/>
                </w:tcPr>
                <w:p w14:paraId="5AF789DC">
                  <w:pPr>
                    <w:jc w:val="center"/>
                    <w:rPr>
                      <w:bCs/>
                      <w:szCs w:val="21"/>
                    </w:rPr>
                  </w:pPr>
                  <w:r>
                    <w:rPr>
                      <w:bCs/>
                      <w:szCs w:val="21"/>
                    </w:rPr>
                    <w:t>废水</w:t>
                  </w:r>
                </w:p>
              </w:tc>
              <w:tc>
                <w:tcPr>
                  <w:tcW w:w="1084" w:type="dxa"/>
                  <w:tcMar>
                    <w:left w:w="28" w:type="dxa"/>
                    <w:right w:w="28" w:type="dxa"/>
                  </w:tcMar>
                  <w:vAlign w:val="center"/>
                </w:tcPr>
                <w:p w14:paraId="0D8CE415">
                  <w:pPr>
                    <w:jc w:val="center"/>
                    <w:rPr>
                      <w:bCs/>
                      <w:szCs w:val="21"/>
                    </w:rPr>
                  </w:pPr>
                  <w:r>
                    <w:rPr>
                      <w:bCs/>
                      <w:szCs w:val="21"/>
                    </w:rPr>
                    <w:t>生活</w:t>
                  </w:r>
                  <w:r>
                    <w:rPr>
                      <w:rFonts w:hint="eastAsia"/>
                      <w:bCs/>
                      <w:szCs w:val="21"/>
                    </w:rPr>
                    <w:t>污水</w:t>
                  </w:r>
                </w:p>
              </w:tc>
              <w:tc>
                <w:tcPr>
                  <w:tcW w:w="1763" w:type="dxa"/>
                  <w:tcMar>
                    <w:left w:w="28" w:type="dxa"/>
                    <w:right w:w="28" w:type="dxa"/>
                  </w:tcMar>
                  <w:vAlign w:val="center"/>
                </w:tcPr>
                <w:p w14:paraId="22F8A11C">
                  <w:pPr>
                    <w:jc w:val="center"/>
                    <w:rPr>
                      <w:bCs/>
                      <w:szCs w:val="21"/>
                    </w:rPr>
                  </w:pPr>
                  <w:r>
                    <w:rPr>
                      <w:bCs/>
                      <w:szCs w:val="21"/>
                    </w:rPr>
                    <w:t>经</w:t>
                  </w:r>
                  <w:r>
                    <w:rPr>
                      <w:rFonts w:hint="eastAsia"/>
                      <w:bCs/>
                      <w:szCs w:val="21"/>
                    </w:rPr>
                    <w:t>化粪池</w:t>
                  </w:r>
                  <w:r>
                    <w:rPr>
                      <w:bCs/>
                      <w:szCs w:val="21"/>
                    </w:rPr>
                    <w:t>处理后排入市政管网，由市政管网引入</w:t>
                  </w:r>
                  <w:r>
                    <w:rPr>
                      <w:rFonts w:hint="eastAsia"/>
                      <w:bCs/>
                      <w:szCs w:val="21"/>
                    </w:rPr>
                    <w:t>清丰中州水务有限公司第二污水处理厂</w:t>
                  </w:r>
                </w:p>
              </w:tc>
              <w:tc>
                <w:tcPr>
                  <w:tcW w:w="2243" w:type="dxa"/>
                  <w:vMerge w:val="restart"/>
                  <w:tcMar>
                    <w:left w:w="28" w:type="dxa"/>
                    <w:right w:w="28" w:type="dxa"/>
                  </w:tcMar>
                  <w:vAlign w:val="center"/>
                </w:tcPr>
                <w:p w14:paraId="2753B51B">
                  <w:pPr>
                    <w:jc w:val="center"/>
                    <w:rPr>
                      <w:bCs/>
                      <w:szCs w:val="21"/>
                    </w:rPr>
                  </w:pPr>
                  <w:r>
                    <w:rPr>
                      <w:rFonts w:hint="eastAsia"/>
                      <w:bCs/>
                      <w:szCs w:val="21"/>
                    </w:rPr>
                    <w:t>清丰中州水务有限公司第二污水处理厂</w:t>
                  </w:r>
                  <w:r>
                    <w:rPr>
                      <w:bCs/>
                      <w:szCs w:val="21"/>
                    </w:rPr>
                    <w:t>受纳水质标准以及《污水综合排放标准》（GB8978-1996）表4三级标准</w:t>
                  </w:r>
                </w:p>
              </w:tc>
              <w:tc>
                <w:tcPr>
                  <w:tcW w:w="1276" w:type="dxa"/>
                  <w:vMerge w:val="restart"/>
                  <w:vAlign w:val="center"/>
                </w:tcPr>
                <w:p w14:paraId="64155F92">
                  <w:pPr>
                    <w:jc w:val="center"/>
                    <w:rPr>
                      <w:rFonts w:hint="eastAsia"/>
                      <w:szCs w:val="21"/>
                    </w:rPr>
                  </w:pPr>
                  <w:r>
                    <w:rPr>
                      <w:rFonts w:hint="eastAsia"/>
                      <w:color w:val="000000"/>
                      <w:szCs w:val="21"/>
                      <w:u w:val="single"/>
                    </w:rPr>
                    <w:t>pH</w:t>
                  </w:r>
                  <w:r>
                    <w:rPr>
                      <w:rFonts w:hint="eastAsia" w:ascii="宋体" w:hAnsi="宋体"/>
                      <w:color w:val="000000"/>
                      <w:szCs w:val="21"/>
                      <w:u w:val="single"/>
                    </w:rPr>
                    <w:t>：</w:t>
                  </w:r>
                  <w:r>
                    <w:rPr>
                      <w:rFonts w:hint="eastAsia"/>
                      <w:color w:val="000000"/>
                      <w:szCs w:val="21"/>
                      <w:u w:val="single"/>
                    </w:rPr>
                    <w:t>6~9</w:t>
                  </w:r>
                  <w:r>
                    <w:rPr>
                      <w:rFonts w:hint="eastAsia" w:ascii="宋体" w:hAnsi="宋体"/>
                      <w:color w:val="000000"/>
                      <w:szCs w:val="21"/>
                      <w:u w:val="single"/>
                    </w:rPr>
                    <w:t>、</w:t>
                  </w:r>
                  <w:r>
                    <w:rPr>
                      <w:rFonts w:hint="eastAsia"/>
                      <w:color w:val="000000"/>
                      <w:szCs w:val="21"/>
                      <w:u w:val="single"/>
                    </w:rPr>
                    <w:t>COD</w:t>
                  </w:r>
                  <w:r>
                    <w:rPr>
                      <w:rFonts w:hint="eastAsia" w:ascii="宋体" w:hAnsi="宋体"/>
                      <w:color w:val="000000"/>
                      <w:szCs w:val="21"/>
                      <w:u w:val="single"/>
                    </w:rPr>
                    <w:t>：</w:t>
                  </w:r>
                  <w:r>
                    <w:rPr>
                      <w:rFonts w:hint="eastAsia"/>
                      <w:color w:val="000000"/>
                      <w:szCs w:val="21"/>
                      <w:u w:val="single"/>
                    </w:rPr>
                    <w:t>350</w:t>
                  </w:r>
                  <w:r>
                    <w:rPr>
                      <w:iCs/>
                      <w:color w:val="000000"/>
                      <w:szCs w:val="21"/>
                      <w:u w:val="single"/>
                    </w:rPr>
                    <w:t>mg/L</w:t>
                  </w:r>
                  <w:r>
                    <w:rPr>
                      <w:rFonts w:hint="eastAsia" w:ascii="宋体" w:hAnsi="宋体"/>
                      <w:iCs/>
                      <w:color w:val="000000"/>
                      <w:szCs w:val="21"/>
                      <w:u w:val="single"/>
                    </w:rPr>
                    <w:t>、</w:t>
                  </w:r>
                  <w:r>
                    <w:rPr>
                      <w:rFonts w:hint="eastAsia"/>
                      <w:color w:val="000000"/>
                      <w:szCs w:val="21"/>
                      <w:u w:val="single"/>
                    </w:rPr>
                    <w:t>BOD</w:t>
                  </w:r>
                  <w:r>
                    <w:rPr>
                      <w:rFonts w:hint="eastAsia"/>
                      <w:color w:val="000000"/>
                      <w:szCs w:val="21"/>
                      <w:u w:val="single"/>
                      <w:vertAlign w:val="subscript"/>
                    </w:rPr>
                    <w:t>5</w:t>
                  </w:r>
                  <w:r>
                    <w:rPr>
                      <w:rFonts w:hint="eastAsia" w:ascii="宋体" w:hAnsi="宋体"/>
                      <w:color w:val="000000"/>
                      <w:szCs w:val="21"/>
                      <w:u w:val="single"/>
                    </w:rPr>
                    <w:t>：</w:t>
                  </w:r>
                  <w:r>
                    <w:rPr>
                      <w:rFonts w:hint="eastAsia"/>
                      <w:color w:val="000000"/>
                      <w:szCs w:val="21"/>
                      <w:u w:val="single"/>
                    </w:rPr>
                    <w:t>170</w:t>
                  </w:r>
                  <w:r>
                    <w:rPr>
                      <w:iCs/>
                      <w:color w:val="000000"/>
                      <w:szCs w:val="21"/>
                      <w:u w:val="single"/>
                    </w:rPr>
                    <w:t>mg/L</w:t>
                  </w:r>
                  <w:r>
                    <w:rPr>
                      <w:rFonts w:hint="eastAsia" w:ascii="宋体" w:hAnsi="宋体"/>
                      <w:iCs/>
                      <w:color w:val="000000"/>
                      <w:szCs w:val="21"/>
                      <w:u w:val="single"/>
                    </w:rPr>
                    <w:t>、</w:t>
                  </w:r>
                  <w:r>
                    <w:rPr>
                      <w:rFonts w:hint="eastAsia"/>
                      <w:color w:val="000000"/>
                      <w:szCs w:val="21"/>
                      <w:u w:val="single"/>
                    </w:rPr>
                    <w:t>SS</w:t>
                  </w:r>
                  <w:r>
                    <w:rPr>
                      <w:rFonts w:hint="eastAsia" w:ascii="宋体" w:hAnsi="宋体"/>
                      <w:color w:val="000000"/>
                      <w:szCs w:val="21"/>
                      <w:u w:val="single"/>
                    </w:rPr>
                    <w:t>：</w:t>
                  </w:r>
                  <w:r>
                    <w:rPr>
                      <w:rFonts w:hint="eastAsia"/>
                      <w:color w:val="000000"/>
                      <w:szCs w:val="21"/>
                      <w:u w:val="single"/>
                    </w:rPr>
                    <w:t>210</w:t>
                  </w:r>
                  <w:r>
                    <w:rPr>
                      <w:iCs/>
                      <w:color w:val="000000"/>
                      <w:szCs w:val="21"/>
                      <w:u w:val="single"/>
                    </w:rPr>
                    <w:t>mg/L</w:t>
                  </w:r>
                  <w:r>
                    <w:rPr>
                      <w:rFonts w:hint="eastAsia" w:ascii="宋体" w:hAnsi="宋体"/>
                      <w:iCs/>
                      <w:color w:val="000000"/>
                      <w:szCs w:val="21"/>
                      <w:u w:val="single"/>
                    </w:rPr>
                    <w:t>、氨氮：</w:t>
                  </w:r>
                  <w:r>
                    <w:rPr>
                      <w:rFonts w:hint="eastAsia"/>
                      <w:iCs/>
                      <w:color w:val="000000"/>
                      <w:szCs w:val="21"/>
                      <w:u w:val="single"/>
                    </w:rPr>
                    <w:t>30</w:t>
                  </w:r>
                  <w:r>
                    <w:rPr>
                      <w:iCs/>
                      <w:color w:val="000000"/>
                      <w:szCs w:val="21"/>
                      <w:u w:val="single"/>
                    </w:rPr>
                    <w:t>mg/L</w:t>
                  </w:r>
                </w:p>
              </w:tc>
              <w:tc>
                <w:tcPr>
                  <w:tcW w:w="1134" w:type="dxa"/>
                  <w:vMerge w:val="restart"/>
                  <w:tcMar>
                    <w:left w:w="28" w:type="dxa"/>
                    <w:right w:w="28" w:type="dxa"/>
                  </w:tcMar>
                  <w:vAlign w:val="center"/>
                </w:tcPr>
                <w:p w14:paraId="2C079E0C">
                  <w:pPr>
                    <w:jc w:val="center"/>
                    <w:rPr>
                      <w:bCs/>
                      <w:szCs w:val="21"/>
                      <w:u w:val="single"/>
                    </w:rPr>
                  </w:pPr>
                  <w:r>
                    <w:rPr>
                      <w:rFonts w:hint="eastAsia"/>
                      <w:bCs/>
                      <w:szCs w:val="21"/>
                      <w:u w:val="single"/>
                    </w:rPr>
                    <w:t>废水流量、污染物</w:t>
                  </w:r>
                  <w:r>
                    <w:rPr>
                      <w:rFonts w:hint="eastAsia"/>
                      <w:bCs/>
                      <w:szCs w:val="21"/>
                      <w:u w:val="single"/>
                      <w:lang w:val="en-US" w:eastAsia="zh-CN"/>
                    </w:rPr>
                    <w:t>进出口</w:t>
                  </w:r>
                  <w:r>
                    <w:rPr>
                      <w:rFonts w:hint="eastAsia"/>
                      <w:bCs/>
                      <w:szCs w:val="21"/>
                      <w:u w:val="single"/>
                    </w:rPr>
                    <w:t>浓度</w:t>
                  </w:r>
                </w:p>
              </w:tc>
            </w:tr>
            <w:tr w14:paraId="715B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25" w:type="dxa"/>
                  <w:vMerge w:val="continue"/>
                  <w:tcMar>
                    <w:left w:w="28" w:type="dxa"/>
                    <w:right w:w="28" w:type="dxa"/>
                  </w:tcMar>
                  <w:vAlign w:val="center"/>
                </w:tcPr>
                <w:p w14:paraId="7980BCF4">
                  <w:pPr>
                    <w:jc w:val="center"/>
                    <w:rPr>
                      <w:bCs/>
                      <w:szCs w:val="21"/>
                    </w:rPr>
                  </w:pPr>
                </w:p>
              </w:tc>
              <w:tc>
                <w:tcPr>
                  <w:tcW w:w="1084" w:type="dxa"/>
                  <w:tcMar>
                    <w:left w:w="28" w:type="dxa"/>
                    <w:right w:w="28" w:type="dxa"/>
                  </w:tcMar>
                  <w:vAlign w:val="center"/>
                </w:tcPr>
                <w:p w14:paraId="239721CC">
                  <w:pPr>
                    <w:jc w:val="center"/>
                    <w:rPr>
                      <w:bCs/>
                      <w:szCs w:val="21"/>
                    </w:rPr>
                  </w:pPr>
                  <w:r>
                    <w:rPr>
                      <w:rFonts w:hint="eastAsia"/>
                      <w:bCs/>
                      <w:szCs w:val="21"/>
                    </w:rPr>
                    <w:t>生产废水（磨边和清洗废水）</w:t>
                  </w:r>
                </w:p>
              </w:tc>
              <w:tc>
                <w:tcPr>
                  <w:tcW w:w="1763" w:type="dxa"/>
                  <w:tcMar>
                    <w:left w:w="28" w:type="dxa"/>
                    <w:right w:w="28" w:type="dxa"/>
                  </w:tcMar>
                  <w:vAlign w:val="center"/>
                </w:tcPr>
                <w:p w14:paraId="537E5E29">
                  <w:pPr>
                    <w:jc w:val="center"/>
                    <w:rPr>
                      <w:bCs/>
                      <w:szCs w:val="21"/>
                    </w:rPr>
                  </w:pPr>
                  <w:r>
                    <w:rPr>
                      <w:rFonts w:hint="eastAsia"/>
                      <w:bCs/>
                      <w:szCs w:val="21"/>
                      <w:u w:val="single"/>
                    </w:rPr>
                    <w:t>磨边、清洗废水经循环水槽收集后循环使用，定期更换的生产废水经三级沉淀池处理后部分回用于磨边工序，剩余废水定期外排，通过市政管网排入清丰中州水务有限公司第二污水处理厂进一步处理</w:t>
                  </w:r>
                </w:p>
              </w:tc>
              <w:tc>
                <w:tcPr>
                  <w:tcW w:w="2243" w:type="dxa"/>
                  <w:vMerge w:val="continue"/>
                  <w:tcMar>
                    <w:left w:w="28" w:type="dxa"/>
                    <w:right w:w="28" w:type="dxa"/>
                  </w:tcMar>
                  <w:vAlign w:val="center"/>
                </w:tcPr>
                <w:p w14:paraId="7DFEC5DD">
                  <w:pPr>
                    <w:jc w:val="center"/>
                    <w:rPr>
                      <w:bCs/>
                      <w:szCs w:val="21"/>
                    </w:rPr>
                  </w:pPr>
                </w:p>
              </w:tc>
              <w:tc>
                <w:tcPr>
                  <w:tcW w:w="1276" w:type="dxa"/>
                  <w:vMerge w:val="continue"/>
                  <w:vAlign w:val="center"/>
                </w:tcPr>
                <w:p w14:paraId="1A53989E">
                  <w:pPr>
                    <w:jc w:val="center"/>
                    <w:rPr>
                      <w:rFonts w:hint="eastAsia"/>
                      <w:bCs/>
                      <w:szCs w:val="21"/>
                    </w:rPr>
                  </w:pPr>
                </w:p>
              </w:tc>
              <w:tc>
                <w:tcPr>
                  <w:tcW w:w="1134" w:type="dxa"/>
                  <w:vMerge w:val="continue"/>
                  <w:tcMar>
                    <w:left w:w="28" w:type="dxa"/>
                    <w:right w:w="28" w:type="dxa"/>
                  </w:tcMar>
                  <w:vAlign w:val="center"/>
                </w:tcPr>
                <w:p w14:paraId="3D50D0A4">
                  <w:pPr>
                    <w:jc w:val="center"/>
                    <w:rPr>
                      <w:bCs/>
                      <w:szCs w:val="21"/>
                    </w:rPr>
                  </w:pPr>
                </w:p>
              </w:tc>
            </w:tr>
            <w:tr w14:paraId="40DC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25" w:type="dxa"/>
                  <w:vMerge w:val="continue"/>
                  <w:tcMar>
                    <w:left w:w="28" w:type="dxa"/>
                    <w:right w:w="28" w:type="dxa"/>
                  </w:tcMar>
                  <w:vAlign w:val="center"/>
                </w:tcPr>
                <w:p w14:paraId="617197C6">
                  <w:pPr>
                    <w:jc w:val="center"/>
                    <w:rPr>
                      <w:bCs/>
                      <w:szCs w:val="21"/>
                    </w:rPr>
                  </w:pPr>
                </w:p>
              </w:tc>
              <w:tc>
                <w:tcPr>
                  <w:tcW w:w="1084" w:type="dxa"/>
                  <w:tcMar>
                    <w:left w:w="28" w:type="dxa"/>
                    <w:right w:w="28" w:type="dxa"/>
                  </w:tcMar>
                  <w:vAlign w:val="center"/>
                </w:tcPr>
                <w:p w14:paraId="118EF691">
                  <w:pPr>
                    <w:jc w:val="center"/>
                    <w:rPr>
                      <w:rFonts w:hint="eastAsia"/>
                      <w:bCs/>
                      <w:szCs w:val="21"/>
                    </w:rPr>
                  </w:pPr>
                  <w:r>
                    <w:rPr>
                      <w:rFonts w:hint="eastAsia"/>
                      <w:bCs/>
                      <w:szCs w:val="21"/>
                    </w:rPr>
                    <w:t>纯水制备浓水</w:t>
                  </w:r>
                </w:p>
              </w:tc>
              <w:tc>
                <w:tcPr>
                  <w:tcW w:w="1763" w:type="dxa"/>
                  <w:tcMar>
                    <w:left w:w="28" w:type="dxa"/>
                    <w:right w:w="28" w:type="dxa"/>
                  </w:tcMar>
                  <w:vAlign w:val="center"/>
                </w:tcPr>
                <w:p w14:paraId="5959B0DF">
                  <w:pPr>
                    <w:jc w:val="center"/>
                    <w:rPr>
                      <w:bCs/>
                      <w:szCs w:val="21"/>
                    </w:rPr>
                  </w:pPr>
                  <w:r>
                    <w:rPr>
                      <w:rFonts w:hint="eastAsia"/>
                      <w:bCs/>
                      <w:szCs w:val="21"/>
                    </w:rPr>
                    <w:t>直接排入市政管网，通过市政管网排入清丰中州水务有限公司第二污水处理厂进一步处理</w:t>
                  </w:r>
                </w:p>
              </w:tc>
              <w:tc>
                <w:tcPr>
                  <w:tcW w:w="2243" w:type="dxa"/>
                  <w:vMerge w:val="continue"/>
                  <w:tcMar>
                    <w:left w:w="28" w:type="dxa"/>
                    <w:right w:w="28" w:type="dxa"/>
                  </w:tcMar>
                  <w:vAlign w:val="center"/>
                </w:tcPr>
                <w:p w14:paraId="040F1784">
                  <w:pPr>
                    <w:jc w:val="center"/>
                    <w:rPr>
                      <w:bCs/>
                      <w:szCs w:val="21"/>
                    </w:rPr>
                  </w:pPr>
                </w:p>
              </w:tc>
              <w:tc>
                <w:tcPr>
                  <w:tcW w:w="1276" w:type="dxa"/>
                  <w:vMerge w:val="continue"/>
                  <w:vAlign w:val="center"/>
                </w:tcPr>
                <w:p w14:paraId="3CE414D1">
                  <w:pPr>
                    <w:jc w:val="center"/>
                    <w:rPr>
                      <w:rFonts w:hint="eastAsia"/>
                      <w:bCs/>
                      <w:szCs w:val="21"/>
                    </w:rPr>
                  </w:pPr>
                </w:p>
              </w:tc>
              <w:tc>
                <w:tcPr>
                  <w:tcW w:w="1134" w:type="dxa"/>
                  <w:vMerge w:val="continue"/>
                  <w:tcMar>
                    <w:left w:w="28" w:type="dxa"/>
                    <w:right w:w="28" w:type="dxa"/>
                  </w:tcMar>
                  <w:vAlign w:val="center"/>
                </w:tcPr>
                <w:p w14:paraId="01FA61EC">
                  <w:pPr>
                    <w:jc w:val="center"/>
                    <w:rPr>
                      <w:bCs/>
                      <w:szCs w:val="21"/>
                    </w:rPr>
                  </w:pPr>
                </w:p>
              </w:tc>
            </w:tr>
            <w:tr w14:paraId="4E3D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25" w:type="dxa"/>
                  <w:vMerge w:val="restart"/>
                  <w:tcMar>
                    <w:left w:w="28" w:type="dxa"/>
                    <w:right w:w="28" w:type="dxa"/>
                  </w:tcMar>
                  <w:vAlign w:val="center"/>
                </w:tcPr>
                <w:p w14:paraId="2B9E8AE4">
                  <w:pPr>
                    <w:jc w:val="center"/>
                    <w:rPr>
                      <w:bCs/>
                      <w:szCs w:val="21"/>
                    </w:rPr>
                  </w:pPr>
                  <w:r>
                    <w:rPr>
                      <w:bCs/>
                      <w:szCs w:val="21"/>
                    </w:rPr>
                    <w:t>固废</w:t>
                  </w:r>
                </w:p>
              </w:tc>
              <w:tc>
                <w:tcPr>
                  <w:tcW w:w="1084" w:type="dxa"/>
                  <w:vAlign w:val="center"/>
                </w:tcPr>
                <w:p w14:paraId="2B075FAF">
                  <w:pPr>
                    <w:jc w:val="center"/>
                    <w:rPr>
                      <w:szCs w:val="21"/>
                    </w:rPr>
                  </w:pPr>
                  <w:r>
                    <w:rPr>
                      <w:rFonts w:hint="eastAsia"/>
                      <w:szCs w:val="21"/>
                    </w:rPr>
                    <w:t>废玻璃</w:t>
                  </w:r>
                  <w:r>
                    <w:rPr>
                      <w:szCs w:val="21"/>
                    </w:rPr>
                    <w:t>边角料</w:t>
                  </w:r>
                  <w:r>
                    <w:rPr>
                      <w:rFonts w:hint="eastAsia"/>
                      <w:szCs w:val="21"/>
                    </w:rPr>
                    <w:t>、不合格品</w:t>
                  </w:r>
                </w:p>
              </w:tc>
              <w:tc>
                <w:tcPr>
                  <w:tcW w:w="1763" w:type="dxa"/>
                  <w:vMerge w:val="restart"/>
                  <w:tcMar>
                    <w:left w:w="28" w:type="dxa"/>
                    <w:right w:w="28" w:type="dxa"/>
                  </w:tcMar>
                  <w:vAlign w:val="center"/>
                </w:tcPr>
                <w:p w14:paraId="71D7D1BE">
                  <w:pPr>
                    <w:jc w:val="center"/>
                    <w:rPr>
                      <w:bCs/>
                      <w:szCs w:val="21"/>
                    </w:rPr>
                  </w:pPr>
                  <w:r>
                    <w:rPr>
                      <w:rFonts w:hint="eastAsia"/>
                      <w:bCs/>
                      <w:szCs w:val="21"/>
                    </w:rPr>
                    <w:t>在</w:t>
                  </w:r>
                  <w:r>
                    <w:rPr>
                      <w:bCs/>
                      <w:szCs w:val="21"/>
                    </w:rPr>
                    <w:t>一般固废</w:t>
                  </w:r>
                  <w:r>
                    <w:rPr>
                      <w:rFonts w:hint="eastAsia"/>
                      <w:bCs/>
                      <w:szCs w:val="21"/>
                    </w:rPr>
                    <w:t>暂存区暂存</w:t>
                  </w:r>
                  <w:r>
                    <w:rPr>
                      <w:bCs/>
                      <w:szCs w:val="21"/>
                    </w:rPr>
                    <w:t>，收集后外售或交专业公司处理</w:t>
                  </w:r>
                </w:p>
              </w:tc>
              <w:tc>
                <w:tcPr>
                  <w:tcW w:w="2243" w:type="dxa"/>
                  <w:vMerge w:val="restart"/>
                  <w:vAlign w:val="center"/>
                </w:tcPr>
                <w:p w14:paraId="19B76467">
                  <w:pPr>
                    <w:jc w:val="center"/>
                    <w:rPr>
                      <w:bCs/>
                      <w:szCs w:val="21"/>
                    </w:rPr>
                  </w:pPr>
                  <w:r>
                    <w:rPr>
                      <w:bCs/>
                      <w:szCs w:val="21"/>
                    </w:rPr>
                    <w:t>《一般工业固体废物贮存和填埋污染控制标准》（GB18599-2020）</w:t>
                  </w:r>
                </w:p>
              </w:tc>
              <w:tc>
                <w:tcPr>
                  <w:tcW w:w="1276" w:type="dxa"/>
                  <w:vMerge w:val="restart"/>
                  <w:vAlign w:val="center"/>
                </w:tcPr>
                <w:p w14:paraId="64FE1F71">
                  <w:pPr>
                    <w:jc w:val="center"/>
                    <w:rPr>
                      <w:bCs/>
                      <w:szCs w:val="21"/>
                    </w:rPr>
                  </w:pPr>
                  <w:r>
                    <w:rPr>
                      <w:rFonts w:hint="eastAsia"/>
                      <w:bCs/>
                      <w:szCs w:val="21"/>
                    </w:rPr>
                    <w:t>/</w:t>
                  </w:r>
                </w:p>
              </w:tc>
              <w:tc>
                <w:tcPr>
                  <w:tcW w:w="1134" w:type="dxa"/>
                  <w:vMerge w:val="restart"/>
                  <w:vAlign w:val="center"/>
                </w:tcPr>
                <w:p w14:paraId="72EA4320">
                  <w:pPr>
                    <w:jc w:val="center"/>
                    <w:rPr>
                      <w:bCs/>
                      <w:szCs w:val="21"/>
                    </w:rPr>
                  </w:pPr>
                  <w:r>
                    <w:rPr>
                      <w:bCs/>
                      <w:szCs w:val="21"/>
                    </w:rPr>
                    <w:t>一般固废</w:t>
                  </w:r>
                  <w:r>
                    <w:rPr>
                      <w:rFonts w:hint="eastAsia"/>
                      <w:bCs/>
                      <w:szCs w:val="21"/>
                    </w:rPr>
                    <w:t>暂存区</w:t>
                  </w:r>
                </w:p>
              </w:tc>
            </w:tr>
            <w:tr w14:paraId="352C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25" w:type="dxa"/>
                  <w:vMerge w:val="continue"/>
                  <w:tcMar>
                    <w:left w:w="28" w:type="dxa"/>
                    <w:right w:w="28" w:type="dxa"/>
                  </w:tcMar>
                  <w:vAlign w:val="center"/>
                </w:tcPr>
                <w:p w14:paraId="01F646D2">
                  <w:pPr>
                    <w:jc w:val="center"/>
                    <w:rPr>
                      <w:bCs/>
                      <w:szCs w:val="21"/>
                    </w:rPr>
                  </w:pPr>
                </w:p>
              </w:tc>
              <w:tc>
                <w:tcPr>
                  <w:tcW w:w="1084" w:type="dxa"/>
                  <w:vAlign w:val="center"/>
                </w:tcPr>
                <w:p w14:paraId="0E8B77B4">
                  <w:pPr>
                    <w:jc w:val="center"/>
                    <w:rPr>
                      <w:szCs w:val="21"/>
                    </w:rPr>
                  </w:pPr>
                  <w:r>
                    <w:rPr>
                      <w:rFonts w:hint="eastAsia"/>
                      <w:szCs w:val="21"/>
                    </w:rPr>
                    <w:t>废铝条</w:t>
                  </w:r>
                </w:p>
              </w:tc>
              <w:tc>
                <w:tcPr>
                  <w:tcW w:w="1763" w:type="dxa"/>
                  <w:vMerge w:val="continue"/>
                  <w:tcMar>
                    <w:left w:w="28" w:type="dxa"/>
                    <w:right w:w="28" w:type="dxa"/>
                  </w:tcMar>
                  <w:vAlign w:val="center"/>
                </w:tcPr>
                <w:p w14:paraId="09A1F199">
                  <w:pPr>
                    <w:jc w:val="center"/>
                    <w:rPr>
                      <w:bCs/>
                      <w:szCs w:val="21"/>
                    </w:rPr>
                  </w:pPr>
                </w:p>
              </w:tc>
              <w:tc>
                <w:tcPr>
                  <w:tcW w:w="2243" w:type="dxa"/>
                  <w:vMerge w:val="continue"/>
                  <w:vAlign w:val="center"/>
                </w:tcPr>
                <w:p w14:paraId="5E18F0C7">
                  <w:pPr>
                    <w:jc w:val="center"/>
                    <w:rPr>
                      <w:bCs/>
                      <w:szCs w:val="21"/>
                    </w:rPr>
                  </w:pPr>
                </w:p>
              </w:tc>
              <w:tc>
                <w:tcPr>
                  <w:tcW w:w="1276" w:type="dxa"/>
                  <w:vMerge w:val="continue"/>
                  <w:vAlign w:val="center"/>
                </w:tcPr>
                <w:p w14:paraId="62DF90D8">
                  <w:pPr>
                    <w:jc w:val="center"/>
                    <w:rPr>
                      <w:bCs/>
                      <w:szCs w:val="21"/>
                    </w:rPr>
                  </w:pPr>
                </w:p>
              </w:tc>
              <w:tc>
                <w:tcPr>
                  <w:tcW w:w="1134" w:type="dxa"/>
                  <w:vMerge w:val="continue"/>
                  <w:vAlign w:val="center"/>
                </w:tcPr>
                <w:p w14:paraId="2E15FC90">
                  <w:pPr>
                    <w:jc w:val="center"/>
                    <w:rPr>
                      <w:bCs/>
                      <w:szCs w:val="21"/>
                    </w:rPr>
                  </w:pPr>
                </w:p>
              </w:tc>
            </w:tr>
            <w:tr w14:paraId="1FF2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25" w:type="dxa"/>
                  <w:vMerge w:val="continue"/>
                  <w:tcMar>
                    <w:left w:w="28" w:type="dxa"/>
                    <w:right w:w="28" w:type="dxa"/>
                  </w:tcMar>
                  <w:vAlign w:val="center"/>
                </w:tcPr>
                <w:p w14:paraId="2BAE45CD">
                  <w:pPr>
                    <w:jc w:val="center"/>
                    <w:rPr>
                      <w:bCs/>
                      <w:szCs w:val="21"/>
                    </w:rPr>
                  </w:pPr>
                </w:p>
              </w:tc>
              <w:tc>
                <w:tcPr>
                  <w:tcW w:w="1084" w:type="dxa"/>
                  <w:vAlign w:val="center"/>
                </w:tcPr>
                <w:p w14:paraId="1FD0E72B">
                  <w:pPr>
                    <w:jc w:val="center"/>
                    <w:rPr>
                      <w:szCs w:val="21"/>
                    </w:rPr>
                  </w:pPr>
                  <w:r>
                    <w:rPr>
                      <w:rFonts w:hint="eastAsia"/>
                      <w:szCs w:val="21"/>
                    </w:rPr>
                    <w:t>玻璃沉渣</w:t>
                  </w:r>
                </w:p>
              </w:tc>
              <w:tc>
                <w:tcPr>
                  <w:tcW w:w="1763" w:type="dxa"/>
                  <w:vMerge w:val="continue"/>
                  <w:tcMar>
                    <w:left w:w="28" w:type="dxa"/>
                    <w:right w:w="28" w:type="dxa"/>
                  </w:tcMar>
                  <w:vAlign w:val="center"/>
                </w:tcPr>
                <w:p w14:paraId="7FD94925">
                  <w:pPr>
                    <w:jc w:val="center"/>
                    <w:rPr>
                      <w:bCs/>
                      <w:szCs w:val="21"/>
                    </w:rPr>
                  </w:pPr>
                </w:p>
              </w:tc>
              <w:tc>
                <w:tcPr>
                  <w:tcW w:w="2243" w:type="dxa"/>
                  <w:vMerge w:val="continue"/>
                  <w:vAlign w:val="center"/>
                </w:tcPr>
                <w:p w14:paraId="4D503709">
                  <w:pPr>
                    <w:jc w:val="center"/>
                    <w:rPr>
                      <w:bCs/>
                      <w:szCs w:val="21"/>
                    </w:rPr>
                  </w:pPr>
                </w:p>
              </w:tc>
              <w:tc>
                <w:tcPr>
                  <w:tcW w:w="1276" w:type="dxa"/>
                  <w:vMerge w:val="continue"/>
                  <w:vAlign w:val="center"/>
                </w:tcPr>
                <w:p w14:paraId="74DC6DEF">
                  <w:pPr>
                    <w:jc w:val="center"/>
                    <w:rPr>
                      <w:bCs/>
                      <w:szCs w:val="21"/>
                    </w:rPr>
                  </w:pPr>
                </w:p>
              </w:tc>
              <w:tc>
                <w:tcPr>
                  <w:tcW w:w="1134" w:type="dxa"/>
                  <w:vMerge w:val="continue"/>
                  <w:vAlign w:val="center"/>
                </w:tcPr>
                <w:p w14:paraId="702ACF83">
                  <w:pPr>
                    <w:jc w:val="center"/>
                    <w:rPr>
                      <w:bCs/>
                      <w:szCs w:val="21"/>
                    </w:rPr>
                  </w:pPr>
                </w:p>
              </w:tc>
            </w:tr>
            <w:tr w14:paraId="54D2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25" w:type="dxa"/>
                  <w:vMerge w:val="continue"/>
                  <w:tcMar>
                    <w:left w:w="28" w:type="dxa"/>
                    <w:right w:w="28" w:type="dxa"/>
                  </w:tcMar>
                  <w:vAlign w:val="center"/>
                </w:tcPr>
                <w:p w14:paraId="39FFDB25">
                  <w:pPr>
                    <w:jc w:val="center"/>
                    <w:rPr>
                      <w:bCs/>
                      <w:szCs w:val="21"/>
                    </w:rPr>
                  </w:pPr>
                </w:p>
              </w:tc>
              <w:tc>
                <w:tcPr>
                  <w:tcW w:w="1084" w:type="dxa"/>
                  <w:vAlign w:val="center"/>
                </w:tcPr>
                <w:p w14:paraId="11DD8227">
                  <w:pPr>
                    <w:jc w:val="center"/>
                    <w:rPr>
                      <w:rFonts w:hint="eastAsia"/>
                      <w:szCs w:val="21"/>
                      <w:u w:val="single"/>
                    </w:rPr>
                  </w:pPr>
                  <w:r>
                    <w:rPr>
                      <w:rFonts w:hint="eastAsia"/>
                      <w:szCs w:val="21"/>
                      <w:u w:val="single"/>
                    </w:rPr>
                    <w:t>废滤材</w:t>
                  </w:r>
                </w:p>
              </w:tc>
              <w:tc>
                <w:tcPr>
                  <w:tcW w:w="1763" w:type="dxa"/>
                  <w:tcMar>
                    <w:left w:w="28" w:type="dxa"/>
                    <w:right w:w="28" w:type="dxa"/>
                  </w:tcMar>
                  <w:vAlign w:val="center"/>
                </w:tcPr>
                <w:p w14:paraId="749CBE8F">
                  <w:pPr>
                    <w:jc w:val="center"/>
                    <w:rPr>
                      <w:bCs/>
                      <w:szCs w:val="21"/>
                      <w:u w:val="single"/>
                    </w:rPr>
                  </w:pPr>
                  <w:r>
                    <w:rPr>
                      <w:bCs/>
                      <w:szCs w:val="21"/>
                      <w:u w:val="single"/>
                    </w:rPr>
                    <w:t>由厂家更换回收</w:t>
                  </w:r>
                </w:p>
              </w:tc>
              <w:tc>
                <w:tcPr>
                  <w:tcW w:w="2243" w:type="dxa"/>
                  <w:vMerge w:val="continue"/>
                  <w:vAlign w:val="center"/>
                </w:tcPr>
                <w:p w14:paraId="60DA4526">
                  <w:pPr>
                    <w:jc w:val="center"/>
                    <w:rPr>
                      <w:bCs/>
                      <w:szCs w:val="21"/>
                    </w:rPr>
                  </w:pPr>
                </w:p>
              </w:tc>
              <w:tc>
                <w:tcPr>
                  <w:tcW w:w="1276" w:type="dxa"/>
                  <w:vMerge w:val="continue"/>
                  <w:vAlign w:val="center"/>
                </w:tcPr>
                <w:p w14:paraId="215CB4AB">
                  <w:pPr>
                    <w:jc w:val="center"/>
                    <w:rPr>
                      <w:bCs/>
                      <w:szCs w:val="21"/>
                    </w:rPr>
                  </w:pPr>
                </w:p>
              </w:tc>
              <w:tc>
                <w:tcPr>
                  <w:tcW w:w="1134" w:type="dxa"/>
                  <w:vMerge w:val="continue"/>
                  <w:vAlign w:val="center"/>
                </w:tcPr>
                <w:p w14:paraId="1DA2B404">
                  <w:pPr>
                    <w:jc w:val="center"/>
                    <w:rPr>
                      <w:bCs/>
                      <w:szCs w:val="21"/>
                    </w:rPr>
                  </w:pPr>
                </w:p>
              </w:tc>
            </w:tr>
            <w:tr w14:paraId="2057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25" w:type="dxa"/>
                  <w:vMerge w:val="continue"/>
                  <w:tcMar>
                    <w:left w:w="28" w:type="dxa"/>
                    <w:right w:w="28" w:type="dxa"/>
                  </w:tcMar>
                  <w:vAlign w:val="center"/>
                </w:tcPr>
                <w:p w14:paraId="65E32FDE">
                  <w:pPr>
                    <w:jc w:val="center"/>
                    <w:rPr>
                      <w:bCs/>
                      <w:szCs w:val="21"/>
                    </w:rPr>
                  </w:pPr>
                </w:p>
              </w:tc>
              <w:tc>
                <w:tcPr>
                  <w:tcW w:w="1084" w:type="dxa"/>
                  <w:vAlign w:val="center"/>
                </w:tcPr>
                <w:p w14:paraId="23EE1FC6">
                  <w:pPr>
                    <w:jc w:val="center"/>
                    <w:rPr>
                      <w:rFonts w:hint="eastAsia"/>
                      <w:szCs w:val="21"/>
                      <w:u w:val="single"/>
                    </w:rPr>
                  </w:pPr>
                  <w:r>
                    <w:rPr>
                      <w:rFonts w:hint="eastAsia"/>
                      <w:szCs w:val="21"/>
                      <w:u w:val="single"/>
                    </w:rPr>
                    <w:t>未沾染胶的废胶桶</w:t>
                  </w:r>
                </w:p>
              </w:tc>
              <w:tc>
                <w:tcPr>
                  <w:tcW w:w="1763" w:type="dxa"/>
                  <w:tcMar>
                    <w:left w:w="28" w:type="dxa"/>
                    <w:right w:w="28" w:type="dxa"/>
                  </w:tcMar>
                  <w:vAlign w:val="center"/>
                </w:tcPr>
                <w:p w14:paraId="7DF5A730">
                  <w:pPr>
                    <w:jc w:val="center"/>
                    <w:rPr>
                      <w:bCs/>
                      <w:szCs w:val="21"/>
                      <w:u w:val="single"/>
                    </w:rPr>
                  </w:pPr>
                  <w:r>
                    <w:rPr>
                      <w:bCs/>
                      <w:szCs w:val="21"/>
                      <w:u w:val="single"/>
                    </w:rPr>
                    <w:t>由厂家回收</w:t>
                  </w:r>
                </w:p>
              </w:tc>
              <w:tc>
                <w:tcPr>
                  <w:tcW w:w="2243" w:type="dxa"/>
                  <w:vMerge w:val="continue"/>
                  <w:vAlign w:val="center"/>
                </w:tcPr>
                <w:p w14:paraId="282244D7">
                  <w:pPr>
                    <w:jc w:val="center"/>
                    <w:rPr>
                      <w:bCs/>
                      <w:szCs w:val="21"/>
                    </w:rPr>
                  </w:pPr>
                </w:p>
              </w:tc>
              <w:tc>
                <w:tcPr>
                  <w:tcW w:w="1276" w:type="dxa"/>
                  <w:vMerge w:val="continue"/>
                  <w:vAlign w:val="center"/>
                </w:tcPr>
                <w:p w14:paraId="073926FA">
                  <w:pPr>
                    <w:jc w:val="center"/>
                    <w:rPr>
                      <w:bCs/>
                      <w:szCs w:val="21"/>
                    </w:rPr>
                  </w:pPr>
                </w:p>
              </w:tc>
              <w:tc>
                <w:tcPr>
                  <w:tcW w:w="1134" w:type="dxa"/>
                  <w:vMerge w:val="continue"/>
                  <w:vAlign w:val="center"/>
                </w:tcPr>
                <w:p w14:paraId="7B9FD0F4">
                  <w:pPr>
                    <w:jc w:val="center"/>
                    <w:rPr>
                      <w:bCs/>
                      <w:szCs w:val="21"/>
                    </w:rPr>
                  </w:pPr>
                </w:p>
              </w:tc>
            </w:tr>
            <w:tr w14:paraId="6B3A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25" w:type="dxa"/>
                  <w:vMerge w:val="continue"/>
                  <w:tcMar>
                    <w:left w:w="28" w:type="dxa"/>
                    <w:right w:w="28" w:type="dxa"/>
                  </w:tcMar>
                  <w:vAlign w:val="center"/>
                </w:tcPr>
                <w:p w14:paraId="7B078319">
                  <w:pPr>
                    <w:jc w:val="center"/>
                    <w:rPr>
                      <w:bCs/>
                      <w:szCs w:val="21"/>
                    </w:rPr>
                  </w:pPr>
                </w:p>
              </w:tc>
              <w:tc>
                <w:tcPr>
                  <w:tcW w:w="1084" w:type="dxa"/>
                  <w:vAlign w:val="center"/>
                </w:tcPr>
                <w:p w14:paraId="06CC2E3F">
                  <w:pPr>
                    <w:topLinePunct/>
                    <w:jc w:val="center"/>
                    <w:rPr>
                      <w:szCs w:val="21"/>
                    </w:rPr>
                  </w:pPr>
                  <w:r>
                    <w:rPr>
                      <w:szCs w:val="21"/>
                    </w:rPr>
                    <w:t>生活垃圾</w:t>
                  </w:r>
                </w:p>
              </w:tc>
              <w:tc>
                <w:tcPr>
                  <w:tcW w:w="1763" w:type="dxa"/>
                  <w:tcMar>
                    <w:left w:w="28" w:type="dxa"/>
                    <w:right w:w="28" w:type="dxa"/>
                  </w:tcMar>
                  <w:vAlign w:val="center"/>
                </w:tcPr>
                <w:p w14:paraId="625ABF2B">
                  <w:pPr>
                    <w:jc w:val="center"/>
                    <w:rPr>
                      <w:bCs/>
                      <w:szCs w:val="21"/>
                    </w:rPr>
                  </w:pPr>
                  <w:r>
                    <w:rPr>
                      <w:bCs/>
                      <w:szCs w:val="21"/>
                    </w:rPr>
                    <w:t>垃圾桶，交环卫部门集中处理</w:t>
                  </w:r>
                </w:p>
              </w:tc>
              <w:tc>
                <w:tcPr>
                  <w:tcW w:w="2243" w:type="dxa"/>
                  <w:vMerge w:val="continue"/>
                  <w:vAlign w:val="center"/>
                </w:tcPr>
                <w:p w14:paraId="17B112C3">
                  <w:pPr>
                    <w:jc w:val="center"/>
                    <w:rPr>
                      <w:bCs/>
                      <w:szCs w:val="21"/>
                    </w:rPr>
                  </w:pPr>
                </w:p>
              </w:tc>
              <w:tc>
                <w:tcPr>
                  <w:tcW w:w="1276" w:type="dxa"/>
                  <w:vAlign w:val="center"/>
                </w:tcPr>
                <w:p w14:paraId="36E7A556">
                  <w:pPr>
                    <w:jc w:val="center"/>
                    <w:rPr>
                      <w:bCs/>
                      <w:szCs w:val="21"/>
                    </w:rPr>
                  </w:pPr>
                  <w:r>
                    <w:rPr>
                      <w:rFonts w:hint="eastAsia"/>
                      <w:bCs/>
                      <w:szCs w:val="21"/>
                    </w:rPr>
                    <w:t>/</w:t>
                  </w:r>
                </w:p>
              </w:tc>
              <w:tc>
                <w:tcPr>
                  <w:tcW w:w="1134" w:type="dxa"/>
                  <w:vAlign w:val="center"/>
                </w:tcPr>
                <w:p w14:paraId="16676E60">
                  <w:pPr>
                    <w:jc w:val="center"/>
                    <w:rPr>
                      <w:bCs/>
                      <w:szCs w:val="21"/>
                    </w:rPr>
                  </w:pPr>
                  <w:r>
                    <w:rPr>
                      <w:bCs/>
                      <w:szCs w:val="21"/>
                    </w:rPr>
                    <w:t>垃圾桶</w:t>
                  </w:r>
                </w:p>
              </w:tc>
            </w:tr>
            <w:tr w14:paraId="021F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25" w:type="dxa"/>
                  <w:vMerge w:val="continue"/>
                  <w:tcMar>
                    <w:left w:w="28" w:type="dxa"/>
                    <w:right w:w="28" w:type="dxa"/>
                  </w:tcMar>
                  <w:vAlign w:val="center"/>
                </w:tcPr>
                <w:p w14:paraId="50930F8E">
                  <w:pPr>
                    <w:jc w:val="center"/>
                    <w:rPr>
                      <w:bCs/>
                      <w:szCs w:val="21"/>
                    </w:rPr>
                  </w:pPr>
                </w:p>
              </w:tc>
              <w:tc>
                <w:tcPr>
                  <w:tcW w:w="1084" w:type="dxa"/>
                  <w:vAlign w:val="center"/>
                </w:tcPr>
                <w:p w14:paraId="15848615">
                  <w:pPr>
                    <w:topLinePunct/>
                    <w:jc w:val="center"/>
                    <w:rPr>
                      <w:szCs w:val="21"/>
                      <w:u w:val="single"/>
                    </w:rPr>
                  </w:pPr>
                  <w:r>
                    <w:rPr>
                      <w:rFonts w:hint="eastAsia"/>
                      <w:szCs w:val="21"/>
                      <w:u w:val="single"/>
                    </w:rPr>
                    <w:t>废润滑油及其包装桶</w:t>
                  </w:r>
                </w:p>
              </w:tc>
              <w:tc>
                <w:tcPr>
                  <w:tcW w:w="1763" w:type="dxa"/>
                  <w:vMerge w:val="restart"/>
                  <w:tcMar>
                    <w:left w:w="28" w:type="dxa"/>
                    <w:right w:w="28" w:type="dxa"/>
                  </w:tcMar>
                  <w:vAlign w:val="center"/>
                </w:tcPr>
                <w:p w14:paraId="4D9E73DC">
                  <w:pPr>
                    <w:jc w:val="center"/>
                    <w:rPr>
                      <w:bCs/>
                      <w:szCs w:val="21"/>
                      <w:shd w:val="clear" w:color="auto" w:fill="FFFFFF"/>
                    </w:rPr>
                  </w:pPr>
                  <w:r>
                    <w:rPr>
                      <w:bCs/>
                      <w:szCs w:val="21"/>
                      <w:shd w:val="clear" w:color="auto" w:fill="FFFFFF"/>
                    </w:rPr>
                    <w:t>在危废暂存间暂存后，定期交由有资质单位</w:t>
                  </w:r>
                  <w:r>
                    <w:rPr>
                      <w:rFonts w:hint="eastAsia"/>
                      <w:bCs/>
                      <w:szCs w:val="21"/>
                      <w:shd w:val="clear" w:color="auto" w:fill="FFFFFF"/>
                    </w:rPr>
                    <w:t>回收</w:t>
                  </w:r>
                  <w:r>
                    <w:rPr>
                      <w:bCs/>
                      <w:szCs w:val="21"/>
                      <w:shd w:val="clear" w:color="auto" w:fill="FFFFFF"/>
                    </w:rPr>
                    <w:t>处理</w:t>
                  </w:r>
                </w:p>
              </w:tc>
              <w:tc>
                <w:tcPr>
                  <w:tcW w:w="2243" w:type="dxa"/>
                  <w:vMerge w:val="restart"/>
                  <w:vAlign w:val="center"/>
                </w:tcPr>
                <w:p w14:paraId="254A3A4E">
                  <w:pPr>
                    <w:jc w:val="center"/>
                    <w:rPr>
                      <w:bCs/>
                      <w:szCs w:val="21"/>
                    </w:rPr>
                  </w:pPr>
                  <w:r>
                    <w:rPr>
                      <w:bCs/>
                      <w:szCs w:val="21"/>
                    </w:rPr>
                    <w:t>《危险废物贮存污染控制标准》（GB18597-20</w:t>
                  </w:r>
                  <w:r>
                    <w:rPr>
                      <w:rFonts w:hint="eastAsia"/>
                      <w:bCs/>
                      <w:szCs w:val="21"/>
                    </w:rPr>
                    <w:t>23</w:t>
                  </w:r>
                  <w:r>
                    <w:rPr>
                      <w:bCs/>
                      <w:szCs w:val="21"/>
                    </w:rPr>
                    <w:t>）</w:t>
                  </w:r>
                </w:p>
              </w:tc>
              <w:tc>
                <w:tcPr>
                  <w:tcW w:w="1276" w:type="dxa"/>
                  <w:vMerge w:val="restart"/>
                  <w:vAlign w:val="center"/>
                </w:tcPr>
                <w:p w14:paraId="759F8B6E">
                  <w:pPr>
                    <w:jc w:val="center"/>
                    <w:rPr>
                      <w:rFonts w:hint="eastAsia"/>
                      <w:bCs/>
                      <w:szCs w:val="21"/>
                    </w:rPr>
                  </w:pPr>
                  <w:r>
                    <w:rPr>
                      <w:rFonts w:hint="eastAsia"/>
                      <w:bCs/>
                      <w:szCs w:val="21"/>
                    </w:rPr>
                    <w:t>/</w:t>
                  </w:r>
                </w:p>
              </w:tc>
              <w:tc>
                <w:tcPr>
                  <w:tcW w:w="1134" w:type="dxa"/>
                  <w:vMerge w:val="restart"/>
                  <w:vAlign w:val="center"/>
                </w:tcPr>
                <w:p w14:paraId="544FF328">
                  <w:pPr>
                    <w:jc w:val="center"/>
                    <w:rPr>
                      <w:bCs/>
                      <w:szCs w:val="21"/>
                    </w:rPr>
                  </w:pPr>
                  <w:r>
                    <w:rPr>
                      <w:rFonts w:hint="eastAsia"/>
                      <w:bCs/>
                      <w:szCs w:val="21"/>
                    </w:rPr>
                    <w:t>危废暂存间、处置协议</w:t>
                  </w:r>
                </w:p>
              </w:tc>
            </w:tr>
            <w:tr w14:paraId="0E4B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25" w:type="dxa"/>
                  <w:vMerge w:val="continue"/>
                  <w:tcMar>
                    <w:left w:w="28" w:type="dxa"/>
                    <w:right w:w="28" w:type="dxa"/>
                  </w:tcMar>
                  <w:vAlign w:val="center"/>
                </w:tcPr>
                <w:p w14:paraId="3B1C55A6">
                  <w:pPr>
                    <w:jc w:val="center"/>
                    <w:rPr>
                      <w:bCs/>
                      <w:szCs w:val="21"/>
                    </w:rPr>
                  </w:pPr>
                </w:p>
              </w:tc>
              <w:tc>
                <w:tcPr>
                  <w:tcW w:w="1084" w:type="dxa"/>
                  <w:vAlign w:val="center"/>
                </w:tcPr>
                <w:p w14:paraId="375A4D9F">
                  <w:pPr>
                    <w:topLinePunct/>
                    <w:jc w:val="center"/>
                    <w:rPr>
                      <w:rFonts w:hint="eastAsia"/>
                      <w:szCs w:val="21"/>
                      <w:u w:val="single"/>
                    </w:rPr>
                  </w:pPr>
                  <w:r>
                    <w:rPr>
                      <w:rFonts w:hint="eastAsia"/>
                      <w:szCs w:val="21"/>
                      <w:u w:val="single"/>
                    </w:rPr>
                    <w:t>沾染胶的废塑料膜和废胶桶</w:t>
                  </w:r>
                </w:p>
              </w:tc>
              <w:tc>
                <w:tcPr>
                  <w:tcW w:w="1763" w:type="dxa"/>
                  <w:vMerge w:val="continue"/>
                  <w:tcMar>
                    <w:left w:w="28" w:type="dxa"/>
                    <w:right w:w="28" w:type="dxa"/>
                  </w:tcMar>
                  <w:vAlign w:val="center"/>
                </w:tcPr>
                <w:p w14:paraId="472EB0C4">
                  <w:pPr>
                    <w:jc w:val="center"/>
                    <w:rPr>
                      <w:bCs/>
                      <w:szCs w:val="21"/>
                      <w:shd w:val="clear" w:color="auto" w:fill="FFFFFF"/>
                    </w:rPr>
                  </w:pPr>
                </w:p>
              </w:tc>
              <w:tc>
                <w:tcPr>
                  <w:tcW w:w="2243" w:type="dxa"/>
                  <w:vMerge w:val="continue"/>
                  <w:vAlign w:val="center"/>
                </w:tcPr>
                <w:p w14:paraId="2DBDAC7C">
                  <w:pPr>
                    <w:jc w:val="center"/>
                    <w:rPr>
                      <w:bCs/>
                      <w:szCs w:val="21"/>
                    </w:rPr>
                  </w:pPr>
                </w:p>
              </w:tc>
              <w:tc>
                <w:tcPr>
                  <w:tcW w:w="1276" w:type="dxa"/>
                  <w:vMerge w:val="continue"/>
                  <w:vAlign w:val="center"/>
                </w:tcPr>
                <w:p w14:paraId="1FCAFE0B">
                  <w:pPr>
                    <w:jc w:val="center"/>
                    <w:rPr>
                      <w:rFonts w:hint="eastAsia"/>
                      <w:bCs/>
                      <w:szCs w:val="21"/>
                    </w:rPr>
                  </w:pPr>
                </w:p>
              </w:tc>
              <w:tc>
                <w:tcPr>
                  <w:tcW w:w="1134" w:type="dxa"/>
                  <w:vMerge w:val="continue"/>
                  <w:vAlign w:val="center"/>
                </w:tcPr>
                <w:p w14:paraId="03CD149C">
                  <w:pPr>
                    <w:jc w:val="center"/>
                    <w:rPr>
                      <w:rFonts w:hint="eastAsia"/>
                      <w:bCs/>
                      <w:szCs w:val="21"/>
                    </w:rPr>
                  </w:pPr>
                </w:p>
              </w:tc>
            </w:tr>
            <w:tr w14:paraId="1CF3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25" w:type="dxa"/>
                  <w:vMerge w:val="continue"/>
                  <w:tcMar>
                    <w:left w:w="28" w:type="dxa"/>
                    <w:right w:w="28" w:type="dxa"/>
                  </w:tcMar>
                  <w:vAlign w:val="center"/>
                </w:tcPr>
                <w:p w14:paraId="0DA9B1D2">
                  <w:pPr>
                    <w:jc w:val="center"/>
                    <w:rPr>
                      <w:bCs/>
                      <w:szCs w:val="21"/>
                    </w:rPr>
                  </w:pPr>
                </w:p>
              </w:tc>
              <w:tc>
                <w:tcPr>
                  <w:tcW w:w="1084" w:type="dxa"/>
                  <w:vAlign w:val="center"/>
                </w:tcPr>
                <w:p w14:paraId="13E3DE47">
                  <w:pPr>
                    <w:topLinePunct/>
                    <w:jc w:val="center"/>
                    <w:rPr>
                      <w:szCs w:val="21"/>
                    </w:rPr>
                  </w:pPr>
                  <w:r>
                    <w:rPr>
                      <w:rFonts w:hint="eastAsia"/>
                      <w:szCs w:val="21"/>
                    </w:rPr>
                    <w:t>废活性炭</w:t>
                  </w:r>
                </w:p>
              </w:tc>
              <w:tc>
                <w:tcPr>
                  <w:tcW w:w="1763" w:type="dxa"/>
                  <w:vMerge w:val="continue"/>
                  <w:tcMar>
                    <w:left w:w="28" w:type="dxa"/>
                    <w:right w:w="28" w:type="dxa"/>
                  </w:tcMar>
                  <w:vAlign w:val="center"/>
                </w:tcPr>
                <w:p w14:paraId="63179C7A">
                  <w:pPr>
                    <w:jc w:val="center"/>
                    <w:rPr>
                      <w:bCs/>
                      <w:szCs w:val="21"/>
                      <w:shd w:val="clear" w:color="auto" w:fill="FFFFFF"/>
                    </w:rPr>
                  </w:pPr>
                </w:p>
              </w:tc>
              <w:tc>
                <w:tcPr>
                  <w:tcW w:w="2243" w:type="dxa"/>
                  <w:vMerge w:val="continue"/>
                  <w:vAlign w:val="center"/>
                </w:tcPr>
                <w:p w14:paraId="13D4C3FE">
                  <w:pPr>
                    <w:jc w:val="center"/>
                    <w:rPr>
                      <w:bCs/>
                      <w:szCs w:val="21"/>
                    </w:rPr>
                  </w:pPr>
                </w:p>
              </w:tc>
              <w:tc>
                <w:tcPr>
                  <w:tcW w:w="1276" w:type="dxa"/>
                  <w:vMerge w:val="continue"/>
                  <w:vAlign w:val="center"/>
                </w:tcPr>
                <w:p w14:paraId="74C68B47">
                  <w:pPr>
                    <w:jc w:val="center"/>
                    <w:rPr>
                      <w:bCs/>
                      <w:szCs w:val="21"/>
                    </w:rPr>
                  </w:pPr>
                </w:p>
              </w:tc>
              <w:tc>
                <w:tcPr>
                  <w:tcW w:w="1134" w:type="dxa"/>
                  <w:vMerge w:val="continue"/>
                  <w:vAlign w:val="center"/>
                </w:tcPr>
                <w:p w14:paraId="665E7072">
                  <w:pPr>
                    <w:jc w:val="center"/>
                    <w:rPr>
                      <w:bCs/>
                      <w:szCs w:val="21"/>
                    </w:rPr>
                  </w:pPr>
                </w:p>
              </w:tc>
            </w:tr>
            <w:tr w14:paraId="6B9C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25" w:type="dxa"/>
                  <w:vMerge w:val="continue"/>
                  <w:tcMar>
                    <w:left w:w="28" w:type="dxa"/>
                    <w:right w:w="28" w:type="dxa"/>
                  </w:tcMar>
                  <w:vAlign w:val="center"/>
                </w:tcPr>
                <w:p w14:paraId="2B756D5B">
                  <w:pPr>
                    <w:jc w:val="center"/>
                    <w:rPr>
                      <w:bCs/>
                      <w:szCs w:val="21"/>
                    </w:rPr>
                  </w:pPr>
                </w:p>
              </w:tc>
              <w:tc>
                <w:tcPr>
                  <w:tcW w:w="1084" w:type="dxa"/>
                  <w:vAlign w:val="center"/>
                </w:tcPr>
                <w:p w14:paraId="4C524725">
                  <w:pPr>
                    <w:topLinePunct/>
                    <w:jc w:val="center"/>
                    <w:rPr>
                      <w:szCs w:val="21"/>
                    </w:rPr>
                  </w:pPr>
                  <w:r>
                    <w:rPr>
                      <w:rFonts w:hint="eastAsia"/>
                      <w:szCs w:val="21"/>
                    </w:rPr>
                    <w:t>废催化剂</w:t>
                  </w:r>
                </w:p>
              </w:tc>
              <w:tc>
                <w:tcPr>
                  <w:tcW w:w="1763" w:type="dxa"/>
                  <w:vMerge w:val="continue"/>
                  <w:tcMar>
                    <w:left w:w="28" w:type="dxa"/>
                    <w:right w:w="28" w:type="dxa"/>
                  </w:tcMar>
                  <w:vAlign w:val="center"/>
                </w:tcPr>
                <w:p w14:paraId="2409D9B5">
                  <w:pPr>
                    <w:jc w:val="center"/>
                    <w:rPr>
                      <w:bCs/>
                      <w:szCs w:val="21"/>
                      <w:shd w:val="clear" w:color="auto" w:fill="FFFFFF"/>
                    </w:rPr>
                  </w:pPr>
                </w:p>
              </w:tc>
              <w:tc>
                <w:tcPr>
                  <w:tcW w:w="2243" w:type="dxa"/>
                  <w:vMerge w:val="continue"/>
                  <w:vAlign w:val="center"/>
                </w:tcPr>
                <w:p w14:paraId="50A1FBA2">
                  <w:pPr>
                    <w:jc w:val="center"/>
                    <w:rPr>
                      <w:bCs/>
                      <w:szCs w:val="21"/>
                    </w:rPr>
                  </w:pPr>
                </w:p>
              </w:tc>
              <w:tc>
                <w:tcPr>
                  <w:tcW w:w="1276" w:type="dxa"/>
                  <w:vMerge w:val="continue"/>
                  <w:vAlign w:val="center"/>
                </w:tcPr>
                <w:p w14:paraId="46CA974D">
                  <w:pPr>
                    <w:jc w:val="center"/>
                    <w:rPr>
                      <w:bCs/>
                      <w:szCs w:val="21"/>
                    </w:rPr>
                  </w:pPr>
                </w:p>
              </w:tc>
              <w:tc>
                <w:tcPr>
                  <w:tcW w:w="1134" w:type="dxa"/>
                  <w:vMerge w:val="continue"/>
                  <w:vAlign w:val="center"/>
                </w:tcPr>
                <w:p w14:paraId="48D8EF98">
                  <w:pPr>
                    <w:jc w:val="center"/>
                    <w:rPr>
                      <w:bCs/>
                      <w:szCs w:val="21"/>
                    </w:rPr>
                  </w:pPr>
                </w:p>
              </w:tc>
            </w:tr>
            <w:tr w14:paraId="11E2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25" w:type="dxa"/>
                  <w:tcMar>
                    <w:left w:w="28" w:type="dxa"/>
                    <w:right w:w="28" w:type="dxa"/>
                  </w:tcMar>
                  <w:vAlign w:val="center"/>
                </w:tcPr>
                <w:p w14:paraId="0505A82C">
                  <w:pPr>
                    <w:jc w:val="center"/>
                    <w:rPr>
                      <w:bCs/>
                      <w:szCs w:val="21"/>
                    </w:rPr>
                  </w:pPr>
                  <w:r>
                    <w:rPr>
                      <w:bCs/>
                      <w:szCs w:val="21"/>
                    </w:rPr>
                    <w:t>噪声</w:t>
                  </w:r>
                </w:p>
              </w:tc>
              <w:tc>
                <w:tcPr>
                  <w:tcW w:w="1084" w:type="dxa"/>
                  <w:tcMar>
                    <w:left w:w="28" w:type="dxa"/>
                    <w:right w:w="28" w:type="dxa"/>
                  </w:tcMar>
                  <w:vAlign w:val="center"/>
                </w:tcPr>
                <w:p w14:paraId="235F2BC1">
                  <w:pPr>
                    <w:jc w:val="center"/>
                    <w:rPr>
                      <w:bCs/>
                      <w:szCs w:val="21"/>
                    </w:rPr>
                  </w:pPr>
                  <w:r>
                    <w:rPr>
                      <w:bCs/>
                      <w:szCs w:val="21"/>
                    </w:rPr>
                    <w:t>噪声</w:t>
                  </w:r>
                </w:p>
              </w:tc>
              <w:tc>
                <w:tcPr>
                  <w:tcW w:w="1763" w:type="dxa"/>
                  <w:tcMar>
                    <w:left w:w="28" w:type="dxa"/>
                    <w:right w:w="28" w:type="dxa"/>
                  </w:tcMar>
                  <w:vAlign w:val="center"/>
                </w:tcPr>
                <w:p w14:paraId="470C40A0">
                  <w:pPr>
                    <w:jc w:val="center"/>
                    <w:rPr>
                      <w:bCs/>
                      <w:szCs w:val="21"/>
                    </w:rPr>
                  </w:pPr>
                  <w:r>
                    <w:rPr>
                      <w:bCs/>
                      <w:szCs w:val="21"/>
                    </w:rPr>
                    <w:t>基础</w:t>
                  </w:r>
                  <w:r>
                    <w:rPr>
                      <w:rFonts w:hint="eastAsia"/>
                      <w:bCs/>
                      <w:szCs w:val="21"/>
                    </w:rPr>
                    <w:t>减振</w:t>
                  </w:r>
                  <w:r>
                    <w:rPr>
                      <w:bCs/>
                      <w:szCs w:val="21"/>
                    </w:rPr>
                    <w:t>，</w:t>
                  </w:r>
                  <w:r>
                    <w:rPr>
                      <w:rFonts w:hint="eastAsia"/>
                      <w:bCs/>
                      <w:szCs w:val="21"/>
                    </w:rPr>
                    <w:t>隔声</w:t>
                  </w:r>
                </w:p>
              </w:tc>
              <w:tc>
                <w:tcPr>
                  <w:tcW w:w="2243" w:type="dxa"/>
                  <w:tcMar>
                    <w:left w:w="28" w:type="dxa"/>
                    <w:right w:w="28" w:type="dxa"/>
                  </w:tcMar>
                  <w:vAlign w:val="center"/>
                </w:tcPr>
                <w:p w14:paraId="48D3F44A">
                  <w:pPr>
                    <w:jc w:val="center"/>
                    <w:rPr>
                      <w:bCs/>
                      <w:szCs w:val="21"/>
                    </w:rPr>
                  </w:pPr>
                  <w:r>
                    <w:rPr>
                      <w:bCs/>
                      <w:szCs w:val="21"/>
                    </w:rPr>
                    <w:t>《工业企业厂界环境噪声排放标准》（GB12348-2008）3类</w:t>
                  </w:r>
                </w:p>
              </w:tc>
              <w:tc>
                <w:tcPr>
                  <w:tcW w:w="1276" w:type="dxa"/>
                  <w:vAlign w:val="center"/>
                </w:tcPr>
                <w:p w14:paraId="44F0D873">
                  <w:pPr>
                    <w:jc w:val="center"/>
                    <w:rPr>
                      <w:rFonts w:hint="eastAsia"/>
                      <w:szCs w:val="21"/>
                    </w:rPr>
                  </w:pPr>
                  <w:r>
                    <w:rPr>
                      <w:rFonts w:hint="eastAsia" w:ascii="宋体" w:hAnsi="宋体"/>
                      <w:color w:val="000000"/>
                      <w:szCs w:val="21"/>
                      <w:u w:val="single"/>
                    </w:rPr>
                    <w:t>昼间</w:t>
                  </w:r>
                  <w:r>
                    <w:rPr>
                      <w:rFonts w:hint="eastAsia"/>
                      <w:color w:val="000000"/>
                      <w:szCs w:val="21"/>
                      <w:u w:val="single"/>
                    </w:rPr>
                    <w:t>65</w:t>
                  </w:r>
                  <w:r>
                    <w:rPr>
                      <w:color w:val="000000"/>
                      <w:szCs w:val="21"/>
                      <w:u w:val="single"/>
                    </w:rPr>
                    <w:t>dB(A)</w:t>
                  </w:r>
                  <w:r>
                    <w:rPr>
                      <w:rFonts w:hint="eastAsia" w:ascii="宋体" w:hAnsi="宋体"/>
                      <w:color w:val="000000"/>
                      <w:szCs w:val="21"/>
                      <w:u w:val="single"/>
                    </w:rPr>
                    <w:t>、夜间</w:t>
                  </w:r>
                  <w:r>
                    <w:rPr>
                      <w:rFonts w:hint="eastAsia"/>
                      <w:color w:val="000000"/>
                      <w:szCs w:val="21"/>
                      <w:u w:val="single"/>
                    </w:rPr>
                    <w:t>55</w:t>
                  </w:r>
                  <w:r>
                    <w:rPr>
                      <w:color w:val="000000"/>
                      <w:szCs w:val="21"/>
                      <w:u w:val="single"/>
                    </w:rPr>
                    <w:t>dB(A)</w:t>
                  </w:r>
                </w:p>
              </w:tc>
              <w:tc>
                <w:tcPr>
                  <w:tcW w:w="1134" w:type="dxa"/>
                  <w:tcMar>
                    <w:left w:w="28" w:type="dxa"/>
                    <w:right w:w="28" w:type="dxa"/>
                  </w:tcMar>
                  <w:vAlign w:val="center"/>
                </w:tcPr>
                <w:p w14:paraId="1C2167CB">
                  <w:pPr>
                    <w:jc w:val="center"/>
                    <w:rPr>
                      <w:bCs/>
                      <w:szCs w:val="21"/>
                    </w:rPr>
                  </w:pPr>
                  <w:r>
                    <w:rPr>
                      <w:rFonts w:hint="eastAsia"/>
                      <w:bCs/>
                      <w:szCs w:val="21"/>
                    </w:rPr>
                    <w:t>厂界噪声</w:t>
                  </w:r>
                </w:p>
              </w:tc>
            </w:tr>
          </w:tbl>
          <w:p w14:paraId="5374502D">
            <w:pPr>
              <w:adjustRightInd w:val="0"/>
              <w:snapToGrid w:val="0"/>
              <w:spacing w:line="360" w:lineRule="auto"/>
              <w:ind w:firstLine="482" w:firstLineChars="200"/>
              <w:rPr>
                <w:b/>
                <w:bCs/>
                <w:kern w:val="0"/>
                <w:sz w:val="24"/>
                <w:u w:val="single"/>
              </w:rPr>
            </w:pPr>
            <w:r>
              <w:rPr>
                <w:rFonts w:hint="eastAsia"/>
                <w:b/>
                <w:bCs/>
                <w:kern w:val="0"/>
                <w:sz w:val="24"/>
                <w:u w:val="single"/>
              </w:rPr>
              <w:t>12</w:t>
            </w:r>
            <w:r>
              <w:rPr>
                <w:rFonts w:hint="eastAsia" w:ascii="宋体" w:hAnsi="宋体"/>
                <w:b/>
                <w:bCs/>
                <w:kern w:val="0"/>
                <w:sz w:val="24"/>
                <w:u w:val="single"/>
              </w:rPr>
              <w:t>、项目与排污许可的衔接</w:t>
            </w:r>
          </w:p>
          <w:p w14:paraId="08EC5518">
            <w:pPr>
              <w:spacing w:line="360" w:lineRule="auto"/>
              <w:ind w:firstLine="480" w:firstLineChars="200"/>
              <w:rPr>
                <w:sz w:val="24"/>
                <w:u w:val="single"/>
              </w:rPr>
            </w:pPr>
            <w:r>
              <w:rPr>
                <w:sz w:val="24"/>
                <w:u w:val="single"/>
              </w:rPr>
              <w:t>根据《排污许可管理办法（试行）》（环境保护部部令第</w:t>
            </w:r>
            <w:r>
              <w:rPr>
                <w:rFonts w:eastAsia="TimesNewRomanPSMT"/>
                <w:sz w:val="24"/>
                <w:u w:val="single"/>
              </w:rPr>
              <w:t>48</w:t>
            </w:r>
            <w:r>
              <w:rPr>
                <w:sz w:val="24"/>
                <w:u w:val="single"/>
              </w:rPr>
              <w:t>号）和《关于做好环境影响评价制度与排污许可制衔接相关工作的通知》（环办环评</w:t>
            </w:r>
            <w:r>
              <w:rPr>
                <w:rFonts w:eastAsia="TimesNewRomanPSMT"/>
                <w:sz w:val="24"/>
                <w:u w:val="single"/>
              </w:rPr>
              <w:t>[2017]84</w:t>
            </w:r>
            <w:r>
              <w:rPr>
                <w:sz w:val="24"/>
                <w:u w:val="single"/>
              </w:rPr>
              <w:t>号），本项目应按照规定的时限申请并取得排污许可证。</w:t>
            </w:r>
          </w:p>
          <w:p w14:paraId="0B268FC8">
            <w:pPr>
              <w:spacing w:line="360" w:lineRule="auto"/>
              <w:ind w:firstLine="480" w:firstLineChars="200"/>
              <w:rPr>
                <w:sz w:val="24"/>
                <w:u w:val="single"/>
              </w:rPr>
            </w:pPr>
            <w:r>
              <w:rPr>
                <w:sz w:val="24"/>
                <w:u w:val="single"/>
              </w:rPr>
              <w:t>本项目为</w:t>
            </w:r>
            <w:r>
              <w:rPr>
                <w:rFonts w:hint="eastAsia"/>
                <w:sz w:val="24"/>
                <w:u w:val="single"/>
              </w:rPr>
              <w:t>C3042特种玻璃制造</w:t>
            </w:r>
            <w:r>
              <w:rPr>
                <w:sz w:val="24"/>
                <w:u w:val="single"/>
              </w:rPr>
              <w:t>，根据《固定污染源排污许可分类管理名录》（2019年版），项目排污许可管理类别对照分析详见下表：</w:t>
            </w:r>
          </w:p>
          <w:p w14:paraId="1F64392D">
            <w:pPr>
              <w:pStyle w:val="137"/>
              <w:numPr>
                <w:ilvl w:val="0"/>
                <w:numId w:val="7"/>
              </w:numPr>
              <w:adjustRightInd w:val="0"/>
              <w:snapToGrid w:val="0"/>
              <w:ind w:firstLineChars="0"/>
              <w:jc w:val="center"/>
              <w:rPr>
                <w:b/>
                <w:kern w:val="0"/>
                <w:u w:val="single"/>
              </w:rPr>
            </w:pPr>
            <w:r>
              <w:rPr>
                <w:rFonts w:hint="eastAsia" w:ascii="宋体" w:hAnsi="宋体"/>
                <w:b/>
                <w:kern w:val="0"/>
                <w:u w:val="single"/>
              </w:rPr>
              <w:t>项目排污许可管理类别对照分析</w:t>
            </w:r>
            <w:r>
              <w:rPr>
                <w:rFonts w:ascii="宋体" w:hAnsi="宋体"/>
                <w:b/>
                <w:kern w:val="0"/>
                <w:u w:val="single"/>
              </w:rPr>
              <w:t>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876"/>
              <w:gridCol w:w="1105"/>
              <w:gridCol w:w="1734"/>
              <w:gridCol w:w="1547"/>
            </w:tblGrid>
            <w:tr w14:paraId="1871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08D3F30">
                  <w:pPr>
                    <w:jc w:val="center"/>
                    <w:rPr>
                      <w:b/>
                      <w:bCs/>
                      <w:szCs w:val="21"/>
                      <w:u w:val="single"/>
                    </w:rPr>
                  </w:pPr>
                  <w:r>
                    <w:rPr>
                      <w:rFonts w:ascii="宋体" w:hAnsi="宋体"/>
                      <w:b/>
                      <w:bCs/>
                      <w:u w:val="single"/>
                    </w:rPr>
                    <w:t>序号</w:t>
                  </w:r>
                </w:p>
              </w:tc>
              <w:tc>
                <w:tcPr>
                  <w:tcW w:w="2876" w:type="dxa"/>
                  <w:tcBorders>
                    <w:top w:val="single" w:color="auto" w:sz="4" w:space="0"/>
                    <w:left w:val="single" w:color="auto" w:sz="4" w:space="0"/>
                    <w:bottom w:val="single" w:color="auto" w:sz="4" w:space="0"/>
                    <w:right w:val="single" w:color="auto" w:sz="4" w:space="0"/>
                  </w:tcBorders>
                  <w:vAlign w:val="center"/>
                </w:tcPr>
                <w:p w14:paraId="565D9E98">
                  <w:pPr>
                    <w:jc w:val="center"/>
                    <w:rPr>
                      <w:b/>
                      <w:bCs/>
                      <w:szCs w:val="21"/>
                      <w:u w:val="single"/>
                    </w:rPr>
                  </w:pPr>
                  <w:r>
                    <w:rPr>
                      <w:b/>
                      <w:bCs/>
                      <w:u w:val="single"/>
                    </w:rPr>
                    <w:t>行业类别</w:t>
                  </w:r>
                </w:p>
              </w:tc>
              <w:tc>
                <w:tcPr>
                  <w:tcW w:w="1105" w:type="dxa"/>
                  <w:tcBorders>
                    <w:top w:val="single" w:color="auto" w:sz="4" w:space="0"/>
                    <w:left w:val="single" w:color="auto" w:sz="4" w:space="0"/>
                    <w:bottom w:val="single" w:color="auto" w:sz="4" w:space="0"/>
                    <w:right w:val="single" w:color="auto" w:sz="4" w:space="0"/>
                  </w:tcBorders>
                  <w:vAlign w:val="center"/>
                </w:tcPr>
                <w:p w14:paraId="7F7DB989">
                  <w:pPr>
                    <w:jc w:val="center"/>
                    <w:rPr>
                      <w:b/>
                      <w:bCs/>
                      <w:szCs w:val="21"/>
                      <w:u w:val="single"/>
                    </w:rPr>
                  </w:pPr>
                  <w:r>
                    <w:rPr>
                      <w:b/>
                      <w:bCs/>
                      <w:u w:val="single"/>
                    </w:rPr>
                    <w:t>重点管理</w:t>
                  </w:r>
                </w:p>
              </w:tc>
              <w:tc>
                <w:tcPr>
                  <w:tcW w:w="1734" w:type="dxa"/>
                  <w:tcBorders>
                    <w:top w:val="single" w:color="auto" w:sz="4" w:space="0"/>
                    <w:left w:val="single" w:color="auto" w:sz="4" w:space="0"/>
                    <w:bottom w:val="single" w:color="auto" w:sz="4" w:space="0"/>
                    <w:right w:val="single" w:color="auto" w:sz="4" w:space="0"/>
                  </w:tcBorders>
                  <w:vAlign w:val="center"/>
                </w:tcPr>
                <w:p w14:paraId="455A11DB">
                  <w:pPr>
                    <w:jc w:val="center"/>
                    <w:rPr>
                      <w:b/>
                      <w:bCs/>
                      <w:szCs w:val="21"/>
                      <w:u w:val="single"/>
                    </w:rPr>
                  </w:pPr>
                  <w:r>
                    <w:rPr>
                      <w:b/>
                      <w:bCs/>
                      <w:u w:val="single"/>
                    </w:rPr>
                    <w:t>简化管理</w:t>
                  </w:r>
                </w:p>
              </w:tc>
              <w:tc>
                <w:tcPr>
                  <w:tcW w:w="1547" w:type="dxa"/>
                  <w:tcBorders>
                    <w:top w:val="single" w:color="auto" w:sz="4" w:space="0"/>
                    <w:left w:val="single" w:color="auto" w:sz="4" w:space="0"/>
                    <w:bottom w:val="single" w:color="auto" w:sz="4" w:space="0"/>
                    <w:right w:val="single" w:color="auto" w:sz="4" w:space="0"/>
                  </w:tcBorders>
                  <w:vAlign w:val="center"/>
                </w:tcPr>
                <w:p w14:paraId="5F876F54">
                  <w:pPr>
                    <w:jc w:val="center"/>
                    <w:rPr>
                      <w:b/>
                      <w:bCs/>
                      <w:szCs w:val="21"/>
                      <w:u w:val="single"/>
                    </w:rPr>
                  </w:pPr>
                  <w:r>
                    <w:rPr>
                      <w:b/>
                      <w:bCs/>
                      <w:u w:val="single"/>
                    </w:rPr>
                    <w:t>登记管理</w:t>
                  </w:r>
                </w:p>
              </w:tc>
            </w:tr>
            <w:tr w14:paraId="5DA9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999" w:type="dxa"/>
                  <w:gridSpan w:val="5"/>
                  <w:tcBorders>
                    <w:top w:val="single" w:color="auto" w:sz="4" w:space="0"/>
                    <w:left w:val="single" w:color="auto" w:sz="4" w:space="0"/>
                    <w:bottom w:val="single" w:color="auto" w:sz="4" w:space="0"/>
                    <w:right w:val="single" w:color="auto" w:sz="4" w:space="0"/>
                  </w:tcBorders>
                  <w:vAlign w:val="center"/>
                </w:tcPr>
                <w:p w14:paraId="27A7CC48">
                  <w:pPr>
                    <w:rPr>
                      <w:szCs w:val="21"/>
                      <w:u w:val="single"/>
                    </w:rPr>
                  </w:pPr>
                  <w:r>
                    <w:rPr>
                      <w:u w:val="single"/>
                    </w:rPr>
                    <w:t>二十五、非金属矿物制品业30</w:t>
                  </w:r>
                </w:p>
              </w:tc>
            </w:tr>
            <w:tr w14:paraId="4267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233D7D">
                  <w:pPr>
                    <w:jc w:val="center"/>
                    <w:rPr>
                      <w:szCs w:val="21"/>
                      <w:u w:val="single"/>
                    </w:rPr>
                  </w:pPr>
                  <w:r>
                    <w:rPr>
                      <w:rFonts w:hint="eastAsia"/>
                      <w:u w:val="single"/>
                    </w:rPr>
                    <w:t>65</w:t>
                  </w:r>
                </w:p>
              </w:tc>
              <w:tc>
                <w:tcPr>
                  <w:tcW w:w="2876" w:type="dxa"/>
                  <w:tcBorders>
                    <w:top w:val="single" w:color="auto" w:sz="4" w:space="0"/>
                    <w:left w:val="single" w:color="auto" w:sz="4" w:space="0"/>
                    <w:bottom w:val="single" w:color="auto" w:sz="4" w:space="0"/>
                    <w:right w:val="single" w:color="auto" w:sz="4" w:space="0"/>
                  </w:tcBorders>
                  <w:vAlign w:val="center"/>
                </w:tcPr>
                <w:p w14:paraId="473599FD">
                  <w:pPr>
                    <w:jc w:val="center"/>
                    <w:rPr>
                      <w:szCs w:val="21"/>
                      <w:u w:val="single"/>
                    </w:rPr>
                  </w:pPr>
                  <w:r>
                    <w:rPr>
                      <w:szCs w:val="21"/>
                      <w:u w:val="single"/>
                    </w:rPr>
                    <w:t>玻璃制造304</w:t>
                  </w:r>
                </w:p>
              </w:tc>
              <w:tc>
                <w:tcPr>
                  <w:tcW w:w="1105" w:type="dxa"/>
                  <w:tcBorders>
                    <w:top w:val="single" w:color="auto" w:sz="4" w:space="0"/>
                    <w:left w:val="single" w:color="auto" w:sz="4" w:space="0"/>
                    <w:bottom w:val="single" w:color="auto" w:sz="4" w:space="0"/>
                    <w:right w:val="single" w:color="auto" w:sz="4" w:space="0"/>
                  </w:tcBorders>
                  <w:vAlign w:val="center"/>
                </w:tcPr>
                <w:p w14:paraId="2C09F64F">
                  <w:pPr>
                    <w:jc w:val="center"/>
                    <w:rPr>
                      <w:szCs w:val="21"/>
                      <w:u w:val="single"/>
                    </w:rPr>
                  </w:pPr>
                  <w:r>
                    <w:rPr>
                      <w:u w:val="single"/>
                    </w:rPr>
                    <w:t>平板玻璃制造3041</w:t>
                  </w:r>
                </w:p>
              </w:tc>
              <w:tc>
                <w:tcPr>
                  <w:tcW w:w="1734" w:type="dxa"/>
                  <w:tcBorders>
                    <w:top w:val="single" w:color="auto" w:sz="4" w:space="0"/>
                    <w:left w:val="single" w:color="auto" w:sz="4" w:space="0"/>
                    <w:bottom w:val="single" w:color="auto" w:sz="4" w:space="0"/>
                    <w:right w:val="single" w:color="auto" w:sz="4" w:space="0"/>
                  </w:tcBorders>
                  <w:vAlign w:val="center"/>
                </w:tcPr>
                <w:p w14:paraId="74156C12">
                  <w:pPr>
                    <w:jc w:val="center"/>
                    <w:rPr>
                      <w:szCs w:val="21"/>
                      <w:u w:val="single"/>
                    </w:rPr>
                  </w:pPr>
                  <w:r>
                    <w:rPr>
                      <w:u w:val="single"/>
                    </w:rPr>
                    <w:t>特种玻璃制造3042</w:t>
                  </w:r>
                </w:p>
              </w:tc>
              <w:tc>
                <w:tcPr>
                  <w:tcW w:w="1547" w:type="dxa"/>
                  <w:tcBorders>
                    <w:top w:val="single" w:color="auto" w:sz="4" w:space="0"/>
                    <w:left w:val="single" w:color="auto" w:sz="4" w:space="0"/>
                    <w:bottom w:val="single" w:color="auto" w:sz="4" w:space="0"/>
                    <w:right w:val="single" w:color="auto" w:sz="4" w:space="0"/>
                  </w:tcBorders>
                  <w:vAlign w:val="center"/>
                </w:tcPr>
                <w:p w14:paraId="311FA1AB">
                  <w:pPr>
                    <w:jc w:val="center"/>
                    <w:rPr>
                      <w:szCs w:val="21"/>
                      <w:u w:val="single"/>
                    </w:rPr>
                  </w:pPr>
                  <w:r>
                    <w:rPr>
                      <w:u w:val="single"/>
                    </w:rPr>
                    <w:t>其他玻璃制造3049</w:t>
                  </w:r>
                </w:p>
              </w:tc>
            </w:tr>
          </w:tbl>
          <w:p w14:paraId="002B44C8">
            <w:pPr>
              <w:spacing w:line="360" w:lineRule="auto"/>
              <w:ind w:firstLine="480" w:firstLineChars="200"/>
              <w:rPr>
                <w:sz w:val="24"/>
              </w:rPr>
            </w:pPr>
            <w:r>
              <w:rPr>
                <w:rFonts w:hint="eastAsia"/>
                <w:sz w:val="24"/>
                <w:u w:val="single"/>
              </w:rPr>
              <w:t>根据上表分析，本项目为C3042特种玻璃制造，排污许可为简化管理。</w:t>
            </w:r>
          </w:p>
        </w:tc>
      </w:tr>
    </w:tbl>
    <w:p w14:paraId="6BCB145A">
      <w:pPr>
        <w:tabs>
          <w:tab w:val="left" w:pos="6194"/>
        </w:tabs>
        <w:adjustRightInd w:val="0"/>
        <w:snapToGrid w:val="0"/>
        <w:spacing w:line="360" w:lineRule="auto"/>
        <w:rPr>
          <w:rFonts w:ascii="黑体" w:hAnsi="黑体" w:eastAsia="黑体"/>
          <w:snapToGrid w:val="0"/>
          <w:sz w:val="30"/>
          <w:szCs w:val="30"/>
        </w:rPr>
        <w:sectPr>
          <w:pgSz w:w="11906" w:h="16838"/>
          <w:pgMar w:top="1701" w:right="1531" w:bottom="1701" w:left="1531" w:header="851" w:footer="1134" w:gutter="0"/>
          <w:cols w:space="720" w:num="1"/>
          <w:docGrid w:linePitch="312" w:charSpace="0"/>
        </w:sectPr>
      </w:pPr>
    </w:p>
    <w:p w14:paraId="4DD63EA1">
      <w:pPr>
        <w:pStyle w:val="34"/>
      </w:pPr>
      <w:bookmarkStart w:id="55" w:name="_Toc157673453"/>
      <w:r>
        <w:rPr>
          <w:rFonts w:hint="eastAsia"/>
        </w:rPr>
        <w:t>五、</w:t>
      </w:r>
      <w:bookmarkStart w:id="56" w:name="_Hlk54167917"/>
      <w:r>
        <w:rPr>
          <w:rFonts w:hint="eastAsia"/>
        </w:rPr>
        <w:t>环境保护措施监督检查清单</w:t>
      </w:r>
      <w:bookmarkEnd w:id="55"/>
      <w:bookmarkEnd w:id="56"/>
    </w:p>
    <w:tbl>
      <w:tblPr>
        <w:tblStyle w:val="38"/>
        <w:tblW w:w="91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842"/>
        <w:gridCol w:w="1276"/>
        <w:gridCol w:w="1998"/>
        <w:gridCol w:w="2873"/>
      </w:tblGrid>
      <w:tr w14:paraId="081D5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132" w:type="dxa"/>
            <w:tcBorders>
              <w:tl2br w:val="single" w:color="auto" w:sz="4" w:space="0"/>
            </w:tcBorders>
          </w:tcPr>
          <w:p w14:paraId="01C6A9F6">
            <w:pPr>
              <w:adjustRightInd w:val="0"/>
              <w:snapToGrid w:val="0"/>
              <w:jc w:val="right"/>
              <w:rPr>
                <w:rFonts w:ascii="宋体" w:hAnsi="宋体" w:cs="宋体"/>
                <w:b/>
                <w:szCs w:val="21"/>
              </w:rPr>
            </w:pPr>
            <w:r>
              <w:rPr>
                <w:rFonts w:hint="eastAsia" w:ascii="宋体" w:hAnsi="宋体" w:cs="宋体"/>
                <w:b/>
                <w:szCs w:val="21"/>
              </w:rPr>
              <w:t>内容</w:t>
            </w:r>
          </w:p>
          <w:p w14:paraId="1F94303E">
            <w:pPr>
              <w:adjustRightInd w:val="0"/>
              <w:snapToGrid w:val="0"/>
              <w:jc w:val="right"/>
              <w:rPr>
                <w:rFonts w:ascii="宋体" w:hAnsi="宋体" w:cs="宋体"/>
                <w:b/>
                <w:szCs w:val="21"/>
              </w:rPr>
            </w:pPr>
          </w:p>
          <w:p w14:paraId="6889123B">
            <w:pPr>
              <w:adjustRightInd w:val="0"/>
              <w:snapToGrid w:val="0"/>
              <w:rPr>
                <w:rFonts w:ascii="宋体" w:hAnsi="宋体" w:cs="宋体"/>
                <w:b/>
                <w:szCs w:val="21"/>
              </w:rPr>
            </w:pPr>
            <w:r>
              <w:rPr>
                <w:rFonts w:hint="eastAsia" w:ascii="宋体" w:hAnsi="宋体" w:cs="宋体"/>
                <w:b/>
                <w:szCs w:val="21"/>
              </w:rPr>
              <w:t>要素</w:t>
            </w:r>
          </w:p>
        </w:tc>
        <w:tc>
          <w:tcPr>
            <w:tcW w:w="1842" w:type="dxa"/>
            <w:vAlign w:val="center"/>
          </w:tcPr>
          <w:p w14:paraId="790C7B6C">
            <w:pPr>
              <w:adjustRightInd w:val="0"/>
              <w:snapToGrid w:val="0"/>
              <w:jc w:val="center"/>
              <w:rPr>
                <w:rFonts w:ascii="宋体" w:hAnsi="宋体" w:cs="宋体"/>
                <w:b/>
                <w:szCs w:val="21"/>
              </w:rPr>
            </w:pPr>
            <w:r>
              <w:rPr>
                <w:rFonts w:hint="eastAsia" w:ascii="宋体" w:hAnsi="宋体" w:cs="宋体"/>
                <w:b/>
                <w:szCs w:val="21"/>
              </w:rPr>
              <w:t>排放口(编号、名称)/污染源</w:t>
            </w:r>
          </w:p>
        </w:tc>
        <w:tc>
          <w:tcPr>
            <w:tcW w:w="1276" w:type="dxa"/>
            <w:vAlign w:val="center"/>
          </w:tcPr>
          <w:p w14:paraId="1AB82842">
            <w:pPr>
              <w:adjustRightInd w:val="0"/>
              <w:snapToGrid w:val="0"/>
              <w:jc w:val="center"/>
              <w:rPr>
                <w:rFonts w:ascii="宋体" w:hAnsi="宋体" w:cs="宋体"/>
                <w:b/>
                <w:szCs w:val="21"/>
              </w:rPr>
            </w:pPr>
            <w:r>
              <w:rPr>
                <w:rFonts w:hint="eastAsia" w:ascii="宋体" w:hAnsi="宋体" w:cs="宋体"/>
                <w:b/>
                <w:szCs w:val="21"/>
              </w:rPr>
              <w:t>污染物项目</w:t>
            </w:r>
          </w:p>
        </w:tc>
        <w:tc>
          <w:tcPr>
            <w:tcW w:w="1998" w:type="dxa"/>
            <w:vAlign w:val="center"/>
          </w:tcPr>
          <w:p w14:paraId="4965AE09">
            <w:pPr>
              <w:adjustRightInd w:val="0"/>
              <w:snapToGrid w:val="0"/>
              <w:jc w:val="center"/>
              <w:rPr>
                <w:rFonts w:ascii="宋体" w:hAnsi="宋体" w:cs="宋体"/>
                <w:b/>
                <w:szCs w:val="21"/>
              </w:rPr>
            </w:pPr>
            <w:r>
              <w:rPr>
                <w:rFonts w:hint="eastAsia" w:ascii="宋体" w:hAnsi="宋体" w:cs="宋体"/>
                <w:b/>
                <w:szCs w:val="21"/>
              </w:rPr>
              <w:t>环境保护措施</w:t>
            </w:r>
          </w:p>
        </w:tc>
        <w:tc>
          <w:tcPr>
            <w:tcW w:w="2873" w:type="dxa"/>
            <w:vAlign w:val="center"/>
          </w:tcPr>
          <w:p w14:paraId="33B86C33">
            <w:pPr>
              <w:adjustRightInd w:val="0"/>
              <w:snapToGrid w:val="0"/>
              <w:jc w:val="center"/>
              <w:rPr>
                <w:rFonts w:ascii="宋体" w:hAnsi="宋体" w:cs="宋体"/>
                <w:b/>
                <w:szCs w:val="21"/>
              </w:rPr>
            </w:pPr>
            <w:r>
              <w:rPr>
                <w:rFonts w:hint="eastAsia" w:ascii="宋体" w:hAnsi="宋体" w:cs="宋体"/>
                <w:b/>
                <w:szCs w:val="21"/>
              </w:rPr>
              <w:t>执行标准</w:t>
            </w:r>
          </w:p>
        </w:tc>
      </w:tr>
      <w:tr w14:paraId="3148D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6" w:hRule="atLeast"/>
          <w:jc w:val="center"/>
        </w:trPr>
        <w:tc>
          <w:tcPr>
            <w:tcW w:w="1132" w:type="dxa"/>
            <w:vMerge w:val="restart"/>
            <w:tcBorders>
              <w:bottom w:val="single" w:color="auto" w:sz="4" w:space="0"/>
            </w:tcBorders>
            <w:vAlign w:val="center"/>
          </w:tcPr>
          <w:p w14:paraId="3A0141FE">
            <w:pPr>
              <w:adjustRightInd w:val="0"/>
              <w:snapToGrid w:val="0"/>
              <w:jc w:val="center"/>
              <w:rPr>
                <w:rFonts w:ascii="宋体" w:hAnsi="宋体" w:cs="宋体"/>
                <w:szCs w:val="21"/>
              </w:rPr>
            </w:pPr>
            <w:r>
              <w:rPr>
                <w:rFonts w:hint="eastAsia" w:ascii="宋体" w:hAnsi="宋体" w:cs="宋体"/>
                <w:szCs w:val="21"/>
              </w:rPr>
              <w:t>大气环境</w:t>
            </w:r>
          </w:p>
        </w:tc>
        <w:tc>
          <w:tcPr>
            <w:tcW w:w="1842" w:type="dxa"/>
            <w:tcBorders>
              <w:bottom w:val="single" w:color="auto" w:sz="4" w:space="0"/>
            </w:tcBorders>
            <w:vAlign w:val="center"/>
          </w:tcPr>
          <w:p w14:paraId="0378ACDC">
            <w:pPr>
              <w:adjustRightInd w:val="0"/>
              <w:snapToGrid w:val="0"/>
              <w:jc w:val="center"/>
              <w:rPr>
                <w:szCs w:val="21"/>
              </w:rPr>
            </w:pPr>
            <w:r>
              <w:rPr>
                <w:rFonts w:hint="eastAsia"/>
                <w:szCs w:val="21"/>
              </w:rPr>
              <w:t>中空工艺</w:t>
            </w:r>
            <w:r>
              <w:rPr>
                <w:rFonts w:hint="eastAsia"/>
                <w:bCs/>
                <w:kern w:val="0"/>
                <w:szCs w:val="21"/>
              </w:rPr>
              <w:t>（涂胶、固定、硅酮胶搅拌混合以及封胶过程）</w:t>
            </w:r>
            <w:r>
              <w:rPr>
                <w:szCs w:val="21"/>
              </w:rPr>
              <w:t>有机废气</w:t>
            </w:r>
            <w:r>
              <w:rPr>
                <w:rFonts w:hint="eastAsia"/>
                <w:szCs w:val="21"/>
              </w:rPr>
              <w:t>、</w:t>
            </w:r>
            <w:r>
              <w:rPr>
                <w:szCs w:val="21"/>
              </w:rPr>
              <w:t>危废间废气排气筒</w:t>
            </w:r>
            <w:r>
              <w:rPr>
                <w:rFonts w:hint="eastAsia"/>
                <w:szCs w:val="21"/>
              </w:rPr>
              <w:t>DA001</w:t>
            </w:r>
          </w:p>
        </w:tc>
        <w:tc>
          <w:tcPr>
            <w:tcW w:w="1276" w:type="dxa"/>
            <w:tcBorders>
              <w:bottom w:val="single" w:color="auto" w:sz="4" w:space="0"/>
            </w:tcBorders>
            <w:vAlign w:val="center"/>
          </w:tcPr>
          <w:p w14:paraId="057E10AA">
            <w:pPr>
              <w:adjustRightInd w:val="0"/>
              <w:snapToGrid w:val="0"/>
              <w:jc w:val="center"/>
              <w:rPr>
                <w:szCs w:val="21"/>
              </w:rPr>
            </w:pPr>
            <w:r>
              <w:rPr>
                <w:rFonts w:hint="eastAsia"/>
                <w:szCs w:val="21"/>
              </w:rPr>
              <w:t>非甲烷总烃</w:t>
            </w:r>
          </w:p>
        </w:tc>
        <w:tc>
          <w:tcPr>
            <w:tcW w:w="1998" w:type="dxa"/>
            <w:tcBorders>
              <w:bottom w:val="single" w:color="auto" w:sz="4" w:space="0"/>
            </w:tcBorders>
            <w:vAlign w:val="center"/>
          </w:tcPr>
          <w:p w14:paraId="27CE6B44">
            <w:pPr>
              <w:adjustRightInd w:val="0"/>
              <w:snapToGrid w:val="0"/>
              <w:jc w:val="center"/>
              <w:rPr>
                <w:szCs w:val="21"/>
              </w:rPr>
            </w:pPr>
            <w:r>
              <w:rPr>
                <w:rFonts w:hint="eastAsia"/>
                <w:szCs w:val="21"/>
              </w:rPr>
              <w:t>集气装置+活性炭吸附-脱附+催化燃烧+15m高排气筒</w:t>
            </w:r>
          </w:p>
        </w:tc>
        <w:tc>
          <w:tcPr>
            <w:tcW w:w="2873" w:type="dxa"/>
            <w:vAlign w:val="center"/>
          </w:tcPr>
          <w:p w14:paraId="777FF2F8">
            <w:pPr>
              <w:adjustRightInd w:val="0"/>
              <w:snapToGrid w:val="0"/>
              <w:jc w:val="center"/>
              <w:rPr>
                <w:szCs w:val="21"/>
              </w:rPr>
            </w:pPr>
            <w:r>
              <w:rPr>
                <w:rFonts w:hint="eastAsia"/>
                <w:szCs w:val="21"/>
              </w:rPr>
              <w:t>《玻璃工业大气污染物排放标准》（GB26453-2022）表1排放限值、《关于全省开展工业企业挥发性有机物专项治理工作中排放建议值的通知》（豫环攻坚办〔2017〕162号）中挥发性有机物其他行业排放建议值要求、《重污染天气重点行业应急减排措施制定技术指南（2020年修订版）》中玻璃后加工企业绩效引领性指标要求</w:t>
            </w:r>
          </w:p>
        </w:tc>
      </w:tr>
      <w:tr w14:paraId="68B18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132" w:type="dxa"/>
            <w:vMerge w:val="continue"/>
            <w:vAlign w:val="center"/>
          </w:tcPr>
          <w:p w14:paraId="0A1395DD">
            <w:pPr>
              <w:adjustRightInd w:val="0"/>
              <w:snapToGrid w:val="0"/>
              <w:jc w:val="center"/>
              <w:rPr>
                <w:rFonts w:ascii="宋体" w:hAnsi="宋体" w:cs="宋体"/>
                <w:szCs w:val="21"/>
              </w:rPr>
            </w:pPr>
          </w:p>
        </w:tc>
        <w:tc>
          <w:tcPr>
            <w:tcW w:w="1842" w:type="dxa"/>
            <w:vAlign w:val="center"/>
          </w:tcPr>
          <w:p w14:paraId="5509033A">
            <w:pPr>
              <w:adjustRightInd w:val="0"/>
              <w:snapToGrid w:val="0"/>
              <w:jc w:val="center"/>
              <w:rPr>
                <w:szCs w:val="21"/>
              </w:rPr>
            </w:pPr>
            <w:r>
              <w:rPr>
                <w:rFonts w:hint="eastAsia"/>
                <w:szCs w:val="21"/>
              </w:rPr>
              <w:t>无组织废气</w:t>
            </w:r>
          </w:p>
        </w:tc>
        <w:tc>
          <w:tcPr>
            <w:tcW w:w="1276" w:type="dxa"/>
            <w:vAlign w:val="center"/>
          </w:tcPr>
          <w:p w14:paraId="475BCD0F">
            <w:pPr>
              <w:adjustRightInd w:val="0"/>
              <w:snapToGrid w:val="0"/>
              <w:jc w:val="center"/>
              <w:rPr>
                <w:szCs w:val="21"/>
              </w:rPr>
            </w:pPr>
            <w:r>
              <w:rPr>
                <w:rFonts w:hint="eastAsia"/>
                <w:szCs w:val="21"/>
              </w:rPr>
              <w:t>非甲烷总烃</w:t>
            </w:r>
          </w:p>
        </w:tc>
        <w:tc>
          <w:tcPr>
            <w:tcW w:w="1998" w:type="dxa"/>
            <w:vAlign w:val="center"/>
          </w:tcPr>
          <w:p w14:paraId="0AB709C6">
            <w:pPr>
              <w:adjustRightInd w:val="0"/>
              <w:snapToGrid w:val="0"/>
              <w:jc w:val="center"/>
              <w:rPr>
                <w:rFonts w:ascii="宋体" w:hAnsi="宋体" w:cs="宋体"/>
                <w:szCs w:val="21"/>
              </w:rPr>
            </w:pPr>
            <w:r>
              <w:rPr>
                <w:rFonts w:hint="eastAsia"/>
                <w:szCs w:val="21"/>
              </w:rPr>
              <w:t>车间密闭</w:t>
            </w:r>
          </w:p>
        </w:tc>
        <w:tc>
          <w:tcPr>
            <w:tcW w:w="2873" w:type="dxa"/>
            <w:vAlign w:val="center"/>
          </w:tcPr>
          <w:p w14:paraId="1B848CD3">
            <w:pPr>
              <w:adjustRightInd w:val="0"/>
              <w:snapToGrid w:val="0"/>
              <w:jc w:val="center"/>
              <w:rPr>
                <w:szCs w:val="21"/>
                <w:shd w:val="clear" w:color="auto" w:fill="FFFFFF"/>
              </w:rPr>
            </w:pPr>
            <w:r>
              <w:rPr>
                <w:rFonts w:hint="eastAsia"/>
                <w:szCs w:val="21"/>
                <w:shd w:val="clear" w:color="auto" w:fill="FFFFFF"/>
              </w:rPr>
              <w:t>《关于全省开展工业企业挥发性有机物专项治理工作中排放建议值的通知》（豫环攻坚办〔2017〕162号）工业企业边界挥发性有机物排放建议值、《玻璃工业大气污染物排放标准》（GB26453-2022）表B.1</w:t>
            </w:r>
          </w:p>
        </w:tc>
      </w:tr>
      <w:tr w14:paraId="35F67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1132" w:type="dxa"/>
            <w:vMerge w:val="restart"/>
            <w:vAlign w:val="center"/>
          </w:tcPr>
          <w:p w14:paraId="78AB4263">
            <w:pPr>
              <w:adjustRightInd w:val="0"/>
              <w:snapToGrid w:val="0"/>
              <w:jc w:val="center"/>
              <w:rPr>
                <w:rFonts w:ascii="宋体" w:hAnsi="宋体" w:cs="宋体"/>
                <w:szCs w:val="21"/>
              </w:rPr>
            </w:pPr>
            <w:r>
              <w:rPr>
                <w:rFonts w:hint="eastAsia" w:ascii="宋体" w:hAnsi="宋体" w:cs="宋体"/>
                <w:szCs w:val="21"/>
              </w:rPr>
              <w:t>地表水环境</w:t>
            </w:r>
          </w:p>
        </w:tc>
        <w:tc>
          <w:tcPr>
            <w:tcW w:w="1842" w:type="dxa"/>
            <w:vAlign w:val="center"/>
          </w:tcPr>
          <w:p w14:paraId="3CB555AD">
            <w:pPr>
              <w:adjustRightInd w:val="0"/>
              <w:snapToGrid w:val="0"/>
              <w:jc w:val="center"/>
              <w:rPr>
                <w:rFonts w:ascii="宋体" w:hAnsi="宋体" w:cs="宋体"/>
                <w:szCs w:val="21"/>
              </w:rPr>
            </w:pPr>
            <w:r>
              <w:rPr>
                <w:rFonts w:hint="eastAsia" w:ascii="宋体" w:hAnsi="宋体" w:cs="宋体"/>
                <w:szCs w:val="21"/>
              </w:rPr>
              <w:t>生活污水</w:t>
            </w:r>
          </w:p>
        </w:tc>
        <w:tc>
          <w:tcPr>
            <w:tcW w:w="1276" w:type="dxa"/>
            <w:vAlign w:val="center"/>
          </w:tcPr>
          <w:p w14:paraId="25638E07">
            <w:pPr>
              <w:pStyle w:val="86"/>
              <w:spacing w:beforeLines="0" w:afterLines="0"/>
            </w:pPr>
            <w:r>
              <w:rPr>
                <w:snapToGrid w:val="0"/>
                <w:kern w:val="0"/>
              </w:rPr>
              <w:t>COD</w:t>
            </w:r>
            <w:r>
              <w:rPr>
                <w:snapToGrid w:val="0"/>
                <w:kern w:val="0"/>
                <w:vertAlign w:val="subscript"/>
              </w:rPr>
              <w:t>cr</w:t>
            </w:r>
            <w:r>
              <w:rPr>
                <w:snapToGrid w:val="0"/>
                <w:kern w:val="0"/>
              </w:rPr>
              <w:t>、BOD</w:t>
            </w:r>
            <w:r>
              <w:rPr>
                <w:snapToGrid w:val="0"/>
                <w:kern w:val="0"/>
                <w:vertAlign w:val="subscript"/>
              </w:rPr>
              <w:t>5</w:t>
            </w:r>
            <w:r>
              <w:rPr>
                <w:snapToGrid w:val="0"/>
                <w:kern w:val="0"/>
              </w:rPr>
              <w:t>、SS、氨氮</w:t>
            </w:r>
          </w:p>
        </w:tc>
        <w:tc>
          <w:tcPr>
            <w:tcW w:w="1998" w:type="dxa"/>
            <w:vAlign w:val="center"/>
          </w:tcPr>
          <w:p w14:paraId="1B430A49">
            <w:pPr>
              <w:jc w:val="center"/>
              <w:rPr>
                <w:szCs w:val="21"/>
              </w:rPr>
            </w:pPr>
            <w:r>
              <w:rPr>
                <w:rFonts w:hint="eastAsia"/>
                <w:bCs/>
                <w:kern w:val="0"/>
                <w:szCs w:val="21"/>
              </w:rPr>
              <w:t>经</w:t>
            </w:r>
            <w:r>
              <w:rPr>
                <w:bCs/>
                <w:kern w:val="0"/>
                <w:szCs w:val="21"/>
              </w:rPr>
              <w:t>化粪池处理</w:t>
            </w:r>
            <w:r>
              <w:rPr>
                <w:rFonts w:hint="eastAsia"/>
                <w:bCs/>
                <w:kern w:val="0"/>
                <w:szCs w:val="21"/>
              </w:rPr>
              <w:t>后排入市政管网，通过市政管网排入清丰中州水务有限公司第二污水处理厂进行处理</w:t>
            </w:r>
          </w:p>
        </w:tc>
        <w:tc>
          <w:tcPr>
            <w:tcW w:w="2873" w:type="dxa"/>
            <w:vMerge w:val="restart"/>
            <w:vAlign w:val="center"/>
          </w:tcPr>
          <w:p w14:paraId="7F969C6E">
            <w:pPr>
              <w:jc w:val="center"/>
              <w:rPr>
                <w:szCs w:val="21"/>
              </w:rPr>
            </w:pPr>
            <w:r>
              <w:rPr>
                <w:rFonts w:hint="eastAsia"/>
                <w:szCs w:val="21"/>
              </w:rPr>
              <w:t>《污水综合排放标准》（GB8978-1996）表4三级标准及清丰中州水务有限公司第二污水处理厂收水水质要求</w:t>
            </w:r>
          </w:p>
        </w:tc>
      </w:tr>
      <w:tr w14:paraId="4D25B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32" w:type="dxa"/>
            <w:vMerge w:val="continue"/>
            <w:vAlign w:val="center"/>
          </w:tcPr>
          <w:p w14:paraId="73247B6F">
            <w:pPr>
              <w:adjustRightInd w:val="0"/>
              <w:snapToGrid w:val="0"/>
              <w:jc w:val="center"/>
              <w:rPr>
                <w:rFonts w:ascii="宋体" w:hAnsi="宋体" w:cs="宋体"/>
                <w:szCs w:val="21"/>
              </w:rPr>
            </w:pPr>
          </w:p>
        </w:tc>
        <w:tc>
          <w:tcPr>
            <w:tcW w:w="1842" w:type="dxa"/>
            <w:vAlign w:val="center"/>
          </w:tcPr>
          <w:p w14:paraId="4B1B499F">
            <w:pPr>
              <w:adjustRightInd w:val="0"/>
              <w:snapToGrid w:val="0"/>
              <w:jc w:val="center"/>
              <w:rPr>
                <w:rFonts w:ascii="宋体" w:hAnsi="宋体" w:cs="宋体"/>
                <w:szCs w:val="21"/>
                <w:u w:val="single"/>
              </w:rPr>
            </w:pPr>
            <w:r>
              <w:rPr>
                <w:rFonts w:hint="eastAsia" w:ascii="宋体" w:hAnsi="宋体" w:cs="宋体"/>
                <w:szCs w:val="21"/>
                <w:u w:val="single"/>
              </w:rPr>
              <w:t>生产废水（磨边和清洗废水）</w:t>
            </w:r>
          </w:p>
        </w:tc>
        <w:tc>
          <w:tcPr>
            <w:tcW w:w="1276" w:type="dxa"/>
            <w:vAlign w:val="center"/>
          </w:tcPr>
          <w:p w14:paraId="2EFD83D9">
            <w:pPr>
              <w:pStyle w:val="86"/>
              <w:spacing w:beforeLines="0" w:afterLines="0"/>
              <w:rPr>
                <w:snapToGrid w:val="0"/>
                <w:kern w:val="0"/>
                <w:u w:val="single"/>
              </w:rPr>
            </w:pPr>
            <w:r>
              <w:rPr>
                <w:snapToGrid w:val="0"/>
                <w:kern w:val="0"/>
                <w:u w:val="single"/>
              </w:rPr>
              <w:t>COD</w:t>
            </w:r>
            <w:r>
              <w:rPr>
                <w:rFonts w:hint="eastAsia"/>
                <w:snapToGrid w:val="0"/>
                <w:kern w:val="0"/>
                <w:u w:val="single"/>
              </w:rPr>
              <w:t>、SS</w:t>
            </w:r>
          </w:p>
        </w:tc>
        <w:tc>
          <w:tcPr>
            <w:tcW w:w="1998" w:type="dxa"/>
            <w:vAlign w:val="center"/>
          </w:tcPr>
          <w:p w14:paraId="4EA8B884">
            <w:pPr>
              <w:jc w:val="center"/>
              <w:rPr>
                <w:bCs/>
                <w:kern w:val="0"/>
                <w:szCs w:val="21"/>
                <w:u w:val="single"/>
              </w:rPr>
            </w:pPr>
            <w:r>
              <w:rPr>
                <w:rFonts w:hint="eastAsia"/>
                <w:bCs/>
                <w:kern w:val="0"/>
                <w:szCs w:val="21"/>
                <w:u w:val="single"/>
              </w:rPr>
              <w:t>磨边、清洗废水经循环水槽收集后循环使用，定期更换的生产废水经三级沉淀池处理后部分回用于磨边工序，剩余废水定期外排，通过市政管网排入清丰中州水务有限公司第二污水处理厂进一步处理</w:t>
            </w:r>
          </w:p>
        </w:tc>
        <w:tc>
          <w:tcPr>
            <w:tcW w:w="2873" w:type="dxa"/>
            <w:vMerge w:val="continue"/>
            <w:vAlign w:val="center"/>
          </w:tcPr>
          <w:p w14:paraId="14CB92D0">
            <w:pPr>
              <w:jc w:val="center"/>
              <w:rPr>
                <w:szCs w:val="21"/>
              </w:rPr>
            </w:pPr>
          </w:p>
        </w:tc>
      </w:tr>
      <w:tr w14:paraId="07070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132" w:type="dxa"/>
            <w:vMerge w:val="continue"/>
            <w:vAlign w:val="center"/>
          </w:tcPr>
          <w:p w14:paraId="11A3DF17">
            <w:pPr>
              <w:adjustRightInd w:val="0"/>
              <w:snapToGrid w:val="0"/>
              <w:jc w:val="center"/>
              <w:rPr>
                <w:rFonts w:ascii="宋体" w:hAnsi="宋体" w:cs="宋体"/>
                <w:szCs w:val="21"/>
              </w:rPr>
            </w:pPr>
          </w:p>
        </w:tc>
        <w:tc>
          <w:tcPr>
            <w:tcW w:w="1842" w:type="dxa"/>
            <w:vAlign w:val="center"/>
          </w:tcPr>
          <w:p w14:paraId="27349C1F">
            <w:pPr>
              <w:adjustRightInd w:val="0"/>
              <w:snapToGrid w:val="0"/>
              <w:jc w:val="center"/>
              <w:rPr>
                <w:rFonts w:hint="eastAsia" w:ascii="宋体" w:hAnsi="宋体" w:cs="宋体"/>
                <w:szCs w:val="21"/>
                <w:u w:val="single"/>
              </w:rPr>
            </w:pPr>
            <w:r>
              <w:rPr>
                <w:rFonts w:hint="eastAsia" w:ascii="宋体" w:hAnsi="宋体" w:cs="宋体"/>
                <w:szCs w:val="21"/>
                <w:u w:val="single"/>
              </w:rPr>
              <w:t>纯水制备浓水</w:t>
            </w:r>
          </w:p>
        </w:tc>
        <w:tc>
          <w:tcPr>
            <w:tcW w:w="1276" w:type="dxa"/>
            <w:vAlign w:val="center"/>
          </w:tcPr>
          <w:p w14:paraId="46AFCE04">
            <w:pPr>
              <w:pStyle w:val="86"/>
              <w:spacing w:beforeLines="0" w:afterLines="0"/>
              <w:rPr>
                <w:snapToGrid w:val="0"/>
                <w:kern w:val="0"/>
                <w:u w:val="single"/>
              </w:rPr>
            </w:pPr>
            <w:r>
              <w:rPr>
                <w:snapToGrid w:val="0"/>
                <w:kern w:val="0"/>
                <w:u w:val="single"/>
              </w:rPr>
              <w:t>COD</w:t>
            </w:r>
            <w:r>
              <w:rPr>
                <w:rFonts w:hint="eastAsia"/>
                <w:snapToGrid w:val="0"/>
                <w:kern w:val="0"/>
                <w:u w:val="single"/>
              </w:rPr>
              <w:t>、SS</w:t>
            </w:r>
          </w:p>
        </w:tc>
        <w:tc>
          <w:tcPr>
            <w:tcW w:w="1998" w:type="dxa"/>
            <w:vAlign w:val="center"/>
          </w:tcPr>
          <w:p w14:paraId="46F79851">
            <w:pPr>
              <w:jc w:val="center"/>
              <w:rPr>
                <w:bCs/>
                <w:kern w:val="0"/>
                <w:szCs w:val="21"/>
                <w:u w:val="single"/>
              </w:rPr>
            </w:pPr>
            <w:r>
              <w:rPr>
                <w:rFonts w:hint="eastAsia"/>
                <w:bCs/>
                <w:kern w:val="0"/>
                <w:szCs w:val="21"/>
                <w:u w:val="single"/>
              </w:rPr>
              <w:t>直接排入市政管网，通过市政管网排入清丰中州水务有限公司第二污水处理厂进一步处理</w:t>
            </w:r>
          </w:p>
        </w:tc>
        <w:tc>
          <w:tcPr>
            <w:tcW w:w="2873" w:type="dxa"/>
            <w:vMerge w:val="continue"/>
            <w:vAlign w:val="center"/>
          </w:tcPr>
          <w:p w14:paraId="63AF3A34">
            <w:pPr>
              <w:jc w:val="center"/>
              <w:rPr>
                <w:rFonts w:hint="eastAsia"/>
                <w:szCs w:val="21"/>
              </w:rPr>
            </w:pPr>
          </w:p>
        </w:tc>
      </w:tr>
      <w:tr w14:paraId="7FC29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132" w:type="dxa"/>
            <w:vAlign w:val="center"/>
          </w:tcPr>
          <w:p w14:paraId="298C02A3">
            <w:pPr>
              <w:adjustRightInd w:val="0"/>
              <w:snapToGrid w:val="0"/>
              <w:jc w:val="center"/>
              <w:rPr>
                <w:rFonts w:ascii="宋体" w:hAnsi="宋体" w:cs="宋体"/>
                <w:szCs w:val="21"/>
              </w:rPr>
            </w:pPr>
            <w:r>
              <w:rPr>
                <w:rFonts w:hint="eastAsia" w:ascii="宋体" w:hAnsi="宋体" w:cs="宋体"/>
                <w:szCs w:val="21"/>
              </w:rPr>
              <w:t>声环境</w:t>
            </w:r>
          </w:p>
        </w:tc>
        <w:tc>
          <w:tcPr>
            <w:tcW w:w="1842" w:type="dxa"/>
            <w:vAlign w:val="center"/>
          </w:tcPr>
          <w:p w14:paraId="587C9A54">
            <w:pPr>
              <w:adjustRightInd w:val="0"/>
              <w:snapToGrid w:val="0"/>
              <w:jc w:val="center"/>
              <w:rPr>
                <w:rFonts w:ascii="宋体" w:hAnsi="宋体" w:cs="宋体"/>
                <w:szCs w:val="21"/>
              </w:rPr>
            </w:pPr>
            <w:r>
              <w:rPr>
                <w:rFonts w:hint="eastAsia"/>
                <w:szCs w:val="21"/>
              </w:rPr>
              <w:t>设备噪声</w:t>
            </w:r>
          </w:p>
        </w:tc>
        <w:tc>
          <w:tcPr>
            <w:tcW w:w="1276" w:type="dxa"/>
            <w:vAlign w:val="center"/>
          </w:tcPr>
          <w:p w14:paraId="0ED35C12">
            <w:pPr>
              <w:adjustRightInd w:val="0"/>
              <w:snapToGrid w:val="0"/>
              <w:jc w:val="center"/>
              <w:rPr>
                <w:rFonts w:ascii="宋体" w:hAnsi="宋体" w:cs="宋体"/>
                <w:szCs w:val="21"/>
              </w:rPr>
            </w:pPr>
            <w:r>
              <w:rPr>
                <w:rFonts w:hint="eastAsia"/>
                <w:bCs/>
                <w:kern w:val="0"/>
                <w:szCs w:val="21"/>
              </w:rPr>
              <w:t>等效声级LAeq</w:t>
            </w:r>
          </w:p>
        </w:tc>
        <w:tc>
          <w:tcPr>
            <w:tcW w:w="1998" w:type="dxa"/>
            <w:vAlign w:val="center"/>
          </w:tcPr>
          <w:p w14:paraId="03DBBA6C">
            <w:pPr>
              <w:adjustRightInd w:val="0"/>
              <w:snapToGrid w:val="0"/>
              <w:jc w:val="center"/>
              <w:rPr>
                <w:rFonts w:ascii="宋体" w:hAnsi="宋体" w:cs="宋体"/>
                <w:szCs w:val="21"/>
              </w:rPr>
            </w:pPr>
            <w:r>
              <w:rPr>
                <w:rFonts w:hint="eastAsia"/>
                <w:szCs w:val="21"/>
              </w:rPr>
              <w:t>选用</w:t>
            </w:r>
            <w:r>
              <w:rPr>
                <w:szCs w:val="21"/>
              </w:rPr>
              <w:t>低噪声设备，</w:t>
            </w:r>
            <w:r>
              <w:rPr>
                <w:rFonts w:hint="eastAsia"/>
                <w:szCs w:val="21"/>
              </w:rPr>
              <w:t>采取隔声、减振、消声等措施</w:t>
            </w:r>
          </w:p>
        </w:tc>
        <w:tc>
          <w:tcPr>
            <w:tcW w:w="2873" w:type="dxa"/>
            <w:vAlign w:val="center"/>
          </w:tcPr>
          <w:p w14:paraId="4345456D">
            <w:pPr>
              <w:adjustRightInd w:val="0"/>
              <w:snapToGrid w:val="0"/>
              <w:jc w:val="center"/>
              <w:rPr>
                <w:rFonts w:ascii="宋体" w:hAnsi="宋体" w:cs="宋体"/>
                <w:szCs w:val="21"/>
              </w:rPr>
            </w:pPr>
            <w:r>
              <w:rPr>
                <w:szCs w:val="21"/>
              </w:rPr>
              <w:t>《工业企业厂界环境噪声排放标准》（GB12348-2008）</w:t>
            </w:r>
            <w:r>
              <w:rPr>
                <w:rFonts w:hint="eastAsia"/>
                <w:szCs w:val="21"/>
              </w:rPr>
              <w:t>3类</w:t>
            </w:r>
            <w:r>
              <w:rPr>
                <w:szCs w:val="21"/>
              </w:rPr>
              <w:t>标准</w:t>
            </w:r>
          </w:p>
        </w:tc>
      </w:tr>
      <w:tr w14:paraId="02BB0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32" w:type="dxa"/>
            <w:vAlign w:val="center"/>
          </w:tcPr>
          <w:p w14:paraId="53B9B09B">
            <w:pPr>
              <w:adjustRightInd w:val="0"/>
              <w:snapToGrid w:val="0"/>
              <w:jc w:val="center"/>
              <w:rPr>
                <w:rFonts w:ascii="宋体" w:hAnsi="宋体" w:cs="宋体"/>
                <w:szCs w:val="21"/>
              </w:rPr>
            </w:pPr>
            <w:r>
              <w:rPr>
                <w:rFonts w:hint="eastAsia" w:ascii="宋体" w:hAnsi="宋体" w:cs="宋体"/>
                <w:szCs w:val="21"/>
              </w:rPr>
              <w:t>电磁辐射</w:t>
            </w:r>
          </w:p>
        </w:tc>
        <w:tc>
          <w:tcPr>
            <w:tcW w:w="1842" w:type="dxa"/>
            <w:vAlign w:val="center"/>
          </w:tcPr>
          <w:p w14:paraId="3188AD85">
            <w:pPr>
              <w:adjustRightInd w:val="0"/>
              <w:snapToGrid w:val="0"/>
              <w:jc w:val="center"/>
              <w:rPr>
                <w:rFonts w:ascii="宋体" w:hAnsi="宋体" w:cs="宋体"/>
                <w:szCs w:val="21"/>
              </w:rPr>
            </w:pPr>
            <w:r>
              <w:rPr>
                <w:rFonts w:hint="eastAsia" w:ascii="宋体" w:hAnsi="宋体" w:cs="宋体"/>
                <w:szCs w:val="21"/>
              </w:rPr>
              <w:t>/</w:t>
            </w:r>
          </w:p>
        </w:tc>
        <w:tc>
          <w:tcPr>
            <w:tcW w:w="1276" w:type="dxa"/>
            <w:vAlign w:val="center"/>
          </w:tcPr>
          <w:p w14:paraId="589E40F3">
            <w:pPr>
              <w:adjustRightInd w:val="0"/>
              <w:snapToGrid w:val="0"/>
              <w:jc w:val="center"/>
              <w:rPr>
                <w:rFonts w:ascii="宋体" w:hAnsi="宋体" w:cs="宋体"/>
                <w:szCs w:val="21"/>
              </w:rPr>
            </w:pPr>
            <w:r>
              <w:rPr>
                <w:rFonts w:hint="eastAsia" w:ascii="宋体" w:hAnsi="宋体" w:cs="宋体"/>
                <w:szCs w:val="21"/>
              </w:rPr>
              <w:t>/</w:t>
            </w:r>
          </w:p>
        </w:tc>
        <w:tc>
          <w:tcPr>
            <w:tcW w:w="1998" w:type="dxa"/>
            <w:vAlign w:val="center"/>
          </w:tcPr>
          <w:p w14:paraId="065A39E7">
            <w:pPr>
              <w:adjustRightInd w:val="0"/>
              <w:snapToGrid w:val="0"/>
              <w:jc w:val="center"/>
              <w:rPr>
                <w:rFonts w:ascii="宋体" w:hAnsi="宋体" w:cs="宋体"/>
                <w:szCs w:val="21"/>
              </w:rPr>
            </w:pPr>
            <w:r>
              <w:rPr>
                <w:rFonts w:hint="eastAsia" w:ascii="宋体" w:hAnsi="宋体" w:cs="宋体"/>
                <w:szCs w:val="21"/>
              </w:rPr>
              <w:t>/</w:t>
            </w:r>
          </w:p>
        </w:tc>
        <w:tc>
          <w:tcPr>
            <w:tcW w:w="2873" w:type="dxa"/>
            <w:vAlign w:val="center"/>
          </w:tcPr>
          <w:p w14:paraId="68099FAF">
            <w:pPr>
              <w:adjustRightInd w:val="0"/>
              <w:snapToGrid w:val="0"/>
              <w:jc w:val="center"/>
              <w:rPr>
                <w:rFonts w:ascii="宋体" w:hAnsi="宋体" w:cs="宋体"/>
                <w:szCs w:val="21"/>
              </w:rPr>
            </w:pPr>
            <w:r>
              <w:rPr>
                <w:rFonts w:hint="eastAsia" w:ascii="宋体" w:hAnsi="宋体" w:cs="宋体"/>
                <w:szCs w:val="21"/>
              </w:rPr>
              <w:t>/</w:t>
            </w:r>
          </w:p>
        </w:tc>
      </w:tr>
      <w:tr w14:paraId="2CDCF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1132" w:type="dxa"/>
            <w:vAlign w:val="center"/>
          </w:tcPr>
          <w:p w14:paraId="37589790">
            <w:pPr>
              <w:adjustRightInd w:val="0"/>
              <w:snapToGrid w:val="0"/>
              <w:jc w:val="center"/>
              <w:rPr>
                <w:rFonts w:ascii="宋体" w:hAnsi="宋体" w:cs="宋体"/>
                <w:szCs w:val="21"/>
              </w:rPr>
            </w:pPr>
            <w:r>
              <w:rPr>
                <w:rFonts w:hint="eastAsia" w:ascii="宋体" w:hAnsi="宋体" w:cs="宋体"/>
                <w:szCs w:val="21"/>
              </w:rPr>
              <w:t>固体废物</w:t>
            </w:r>
          </w:p>
        </w:tc>
        <w:tc>
          <w:tcPr>
            <w:tcW w:w="7989" w:type="dxa"/>
            <w:gridSpan w:val="4"/>
            <w:vAlign w:val="center"/>
          </w:tcPr>
          <w:p w14:paraId="4F081C86">
            <w:pPr>
              <w:adjustRightInd w:val="0"/>
              <w:snapToGrid w:val="0"/>
              <w:spacing w:line="360" w:lineRule="auto"/>
              <w:ind w:firstLine="420" w:firstLineChars="200"/>
              <w:rPr>
                <w:szCs w:val="21"/>
              </w:rPr>
            </w:pPr>
            <w:r>
              <w:rPr>
                <w:rFonts w:hint="eastAsia"/>
                <w:szCs w:val="21"/>
              </w:rPr>
              <w:t>生活垃圾集中收集定期由环卫部门外运处理；</w:t>
            </w:r>
          </w:p>
          <w:p w14:paraId="41595662">
            <w:pPr>
              <w:adjustRightInd w:val="0"/>
              <w:snapToGrid w:val="0"/>
              <w:spacing w:line="360" w:lineRule="auto"/>
              <w:ind w:firstLine="420" w:firstLineChars="200"/>
              <w:rPr>
                <w:szCs w:val="21"/>
                <w:u w:val="single"/>
              </w:rPr>
            </w:pPr>
            <w:r>
              <w:rPr>
                <w:rFonts w:hint="eastAsia"/>
                <w:szCs w:val="21"/>
                <w:u w:val="single"/>
              </w:rPr>
              <w:t>一般工业固废主要为废玻璃边角料、不合格品、废铝条、玻璃沉渣、废滤材、未沾染胶的废胶桶；废玻璃边角料、不合格品、废铝条、玻璃沉渣收集后外售或交专业公司处理处置；废滤材由厂家更换回收；未沾染胶的废胶桶由厂家回收。一般固废暂存区严格按照《一般工业固体废物贮存和填埋污染控制标准》(GB18599-2020)的相关要求建设并做好“三防”措施。</w:t>
            </w:r>
          </w:p>
          <w:p w14:paraId="567E720C">
            <w:pPr>
              <w:adjustRightInd w:val="0"/>
              <w:snapToGrid w:val="0"/>
              <w:spacing w:line="360" w:lineRule="auto"/>
              <w:ind w:firstLine="420" w:firstLineChars="200"/>
              <w:rPr>
                <w:szCs w:val="21"/>
              </w:rPr>
            </w:pPr>
            <w:r>
              <w:rPr>
                <w:rFonts w:hint="eastAsia"/>
                <w:szCs w:val="21"/>
                <w:u w:val="single"/>
              </w:rPr>
              <w:t>危险废物主要为废润滑油及其包装桶、沾染胶的废塑料膜和废胶桶、废活性炭、废催化剂，收集后暂存在危废暂存间，定期交有资质单位回收处置。危险废物按照废物类别分类、分区暂存入危废间（15m</w:t>
            </w:r>
            <w:r>
              <w:rPr>
                <w:rFonts w:hint="eastAsia"/>
                <w:szCs w:val="21"/>
                <w:u w:val="single"/>
                <w:vertAlign w:val="superscript"/>
              </w:rPr>
              <w:t>2</w:t>
            </w:r>
            <w:r>
              <w:rPr>
                <w:rFonts w:hint="eastAsia"/>
                <w:szCs w:val="21"/>
                <w:u w:val="single"/>
              </w:rPr>
              <w:t>）内，危废暂存间按照《危险废物贮存污染控制标准》（GB18597-2023）进行建设。</w:t>
            </w:r>
          </w:p>
        </w:tc>
      </w:tr>
      <w:tr w14:paraId="1C94A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1132" w:type="dxa"/>
            <w:vAlign w:val="center"/>
          </w:tcPr>
          <w:p w14:paraId="7322DB90">
            <w:pPr>
              <w:adjustRightInd w:val="0"/>
              <w:snapToGrid w:val="0"/>
              <w:jc w:val="center"/>
              <w:rPr>
                <w:rFonts w:ascii="宋体" w:hAnsi="宋体" w:cs="宋体"/>
                <w:szCs w:val="21"/>
              </w:rPr>
            </w:pPr>
            <w:r>
              <w:rPr>
                <w:rFonts w:hint="eastAsia" w:ascii="宋体" w:hAnsi="宋体" w:cs="宋体"/>
                <w:szCs w:val="21"/>
              </w:rPr>
              <w:t>土壤及地下水污染防治措施</w:t>
            </w:r>
          </w:p>
        </w:tc>
        <w:tc>
          <w:tcPr>
            <w:tcW w:w="7989" w:type="dxa"/>
            <w:gridSpan w:val="4"/>
            <w:vAlign w:val="center"/>
          </w:tcPr>
          <w:p w14:paraId="31D3915D">
            <w:pPr>
              <w:adjustRightInd w:val="0"/>
              <w:snapToGrid w:val="0"/>
              <w:spacing w:line="360" w:lineRule="auto"/>
              <w:ind w:firstLine="420" w:firstLineChars="200"/>
              <w:rPr>
                <w:rFonts w:ascii="宋体" w:hAnsi="宋体" w:cs="宋体"/>
                <w:szCs w:val="21"/>
              </w:rPr>
            </w:pPr>
            <w:r>
              <w:rPr>
                <w:rFonts w:hint="eastAsia"/>
                <w:szCs w:val="21"/>
              </w:rPr>
              <w:t>项目危废暂存间和密封胶储存区设为重点防渗区，其他生产区域为简单防渗区。严格落实地下水污染分区防渗措施。</w:t>
            </w:r>
          </w:p>
        </w:tc>
      </w:tr>
      <w:tr w14:paraId="17C94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32" w:type="dxa"/>
            <w:vAlign w:val="center"/>
          </w:tcPr>
          <w:p w14:paraId="4E414E2B">
            <w:pPr>
              <w:adjustRightInd w:val="0"/>
              <w:snapToGrid w:val="0"/>
              <w:jc w:val="center"/>
              <w:rPr>
                <w:rFonts w:ascii="宋体" w:hAnsi="宋体" w:cs="宋体"/>
                <w:szCs w:val="21"/>
              </w:rPr>
            </w:pPr>
            <w:r>
              <w:rPr>
                <w:rFonts w:hint="eastAsia" w:ascii="宋体" w:hAnsi="宋体" w:cs="宋体"/>
                <w:szCs w:val="21"/>
              </w:rPr>
              <w:t>生态保护措施</w:t>
            </w:r>
          </w:p>
        </w:tc>
        <w:tc>
          <w:tcPr>
            <w:tcW w:w="7989" w:type="dxa"/>
            <w:gridSpan w:val="4"/>
            <w:vAlign w:val="center"/>
          </w:tcPr>
          <w:p w14:paraId="44AFDAE7">
            <w:pPr>
              <w:adjustRightInd w:val="0"/>
              <w:snapToGrid w:val="0"/>
              <w:jc w:val="center"/>
              <w:rPr>
                <w:rFonts w:ascii="宋体" w:hAnsi="宋体" w:cs="宋体"/>
                <w:szCs w:val="21"/>
              </w:rPr>
            </w:pPr>
            <w:r>
              <w:rPr>
                <w:rFonts w:hint="eastAsia" w:ascii="宋体" w:hAnsi="宋体" w:cs="宋体"/>
                <w:szCs w:val="21"/>
              </w:rPr>
              <w:t>无</w:t>
            </w:r>
          </w:p>
        </w:tc>
      </w:tr>
      <w:tr w14:paraId="159AA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4" w:hRule="atLeast"/>
          <w:jc w:val="center"/>
        </w:trPr>
        <w:tc>
          <w:tcPr>
            <w:tcW w:w="1132" w:type="dxa"/>
            <w:vAlign w:val="center"/>
          </w:tcPr>
          <w:p w14:paraId="6A5A88FB">
            <w:pPr>
              <w:adjustRightInd w:val="0"/>
              <w:snapToGrid w:val="0"/>
              <w:jc w:val="center"/>
              <w:rPr>
                <w:szCs w:val="21"/>
              </w:rPr>
            </w:pPr>
            <w:r>
              <w:rPr>
                <w:rFonts w:hint="eastAsia"/>
                <w:szCs w:val="21"/>
              </w:rPr>
              <w:t>环境风险防范措施</w:t>
            </w:r>
          </w:p>
        </w:tc>
        <w:tc>
          <w:tcPr>
            <w:tcW w:w="7989" w:type="dxa"/>
            <w:gridSpan w:val="4"/>
            <w:vAlign w:val="center"/>
          </w:tcPr>
          <w:p w14:paraId="1E7B5789">
            <w:pPr>
              <w:adjustRightInd w:val="0"/>
              <w:snapToGrid w:val="0"/>
              <w:spacing w:line="360" w:lineRule="auto"/>
              <w:ind w:firstLine="420" w:firstLineChars="200"/>
              <w:rPr>
                <w:rFonts w:hint="eastAsia"/>
                <w:szCs w:val="21"/>
                <w:u w:val="single"/>
              </w:rPr>
            </w:pPr>
            <w:r>
              <w:rPr>
                <w:rFonts w:hint="eastAsia"/>
                <w:szCs w:val="21"/>
                <w:u w:val="single"/>
              </w:rPr>
              <w:t>（1）泄漏环境风险防范措施</w:t>
            </w:r>
          </w:p>
          <w:p w14:paraId="0311F255">
            <w:pPr>
              <w:adjustRightInd w:val="0"/>
              <w:snapToGrid w:val="0"/>
              <w:spacing w:line="360" w:lineRule="auto"/>
              <w:ind w:firstLine="420" w:firstLineChars="200"/>
              <w:rPr>
                <w:szCs w:val="21"/>
                <w:u w:val="single"/>
              </w:rPr>
            </w:pPr>
            <w:r>
              <w:rPr>
                <w:rFonts w:hint="eastAsia"/>
                <w:szCs w:val="21"/>
                <w:u w:val="single"/>
              </w:rPr>
              <w:t>本项目丁基密封胶、硅酮密封胶储存在密封桶内，提出以下风险防范措施：</w:t>
            </w:r>
          </w:p>
          <w:p w14:paraId="518E5751">
            <w:pPr>
              <w:adjustRightInd w:val="0"/>
              <w:snapToGrid w:val="0"/>
              <w:spacing w:line="360" w:lineRule="auto"/>
              <w:ind w:firstLine="420" w:firstLineChars="200"/>
              <w:rPr>
                <w:szCs w:val="21"/>
                <w:u w:val="single"/>
              </w:rPr>
            </w:pPr>
            <w:r>
              <w:rPr>
                <w:szCs w:val="21"/>
                <w:u w:val="single"/>
              </w:rPr>
              <w:t>a.</w:t>
            </w:r>
            <w:r>
              <w:rPr>
                <w:rFonts w:hint="eastAsia"/>
                <w:szCs w:val="21"/>
                <w:u w:val="single"/>
              </w:rPr>
              <w:t>胶水应通过专业生产厂家购买，且由专用车辆负责运送至厂区，胶水购买后直接交专业管理员接收并入库。管理员先检查包装的完好性，封口是否严密，试剂无泄漏，标签是否粘贴牢固无破损，内容清晰，贮存条件明确。瓶签已部分脱胶的，应及时用胶水粘贴。无标签的试剂不得入库，应及时予销毁。</w:t>
            </w:r>
          </w:p>
          <w:p w14:paraId="4309FDF7">
            <w:pPr>
              <w:adjustRightInd w:val="0"/>
              <w:snapToGrid w:val="0"/>
              <w:spacing w:line="360" w:lineRule="auto"/>
              <w:ind w:firstLine="420" w:firstLineChars="200"/>
              <w:rPr>
                <w:szCs w:val="21"/>
                <w:u w:val="single"/>
              </w:rPr>
            </w:pPr>
            <w:r>
              <w:rPr>
                <w:szCs w:val="21"/>
                <w:u w:val="single"/>
              </w:rPr>
              <w:t>b.</w:t>
            </w:r>
            <w:r>
              <w:rPr>
                <w:rFonts w:hint="eastAsia"/>
                <w:szCs w:val="21"/>
                <w:u w:val="single"/>
              </w:rPr>
              <w:t>应严格按其性质和贮存要求分类存放，并控制贮存量。</w:t>
            </w:r>
          </w:p>
          <w:p w14:paraId="19B14B6A">
            <w:pPr>
              <w:adjustRightInd w:val="0"/>
              <w:snapToGrid w:val="0"/>
              <w:spacing w:line="360" w:lineRule="auto"/>
              <w:ind w:firstLine="420" w:firstLineChars="200"/>
              <w:rPr>
                <w:szCs w:val="21"/>
                <w:u w:val="single"/>
              </w:rPr>
            </w:pPr>
            <w:r>
              <w:rPr>
                <w:szCs w:val="21"/>
                <w:u w:val="single"/>
              </w:rPr>
              <w:t>c.</w:t>
            </w:r>
            <w:r>
              <w:rPr>
                <w:rFonts w:hint="eastAsia"/>
                <w:szCs w:val="21"/>
                <w:u w:val="single"/>
              </w:rPr>
              <w:t>保管员必须每天检查一次储存情况并记录。</w:t>
            </w:r>
          </w:p>
          <w:p w14:paraId="56184C09">
            <w:pPr>
              <w:adjustRightInd w:val="0"/>
              <w:snapToGrid w:val="0"/>
              <w:spacing w:line="360" w:lineRule="auto"/>
              <w:ind w:firstLine="420" w:firstLineChars="200"/>
              <w:rPr>
                <w:rFonts w:hint="eastAsia"/>
                <w:szCs w:val="21"/>
                <w:u w:val="single"/>
              </w:rPr>
            </w:pPr>
            <w:r>
              <w:rPr>
                <w:szCs w:val="21"/>
                <w:u w:val="single"/>
              </w:rPr>
              <w:t>d.</w:t>
            </w:r>
            <w:r>
              <w:rPr>
                <w:rFonts w:hint="eastAsia"/>
                <w:szCs w:val="21"/>
                <w:u w:val="single"/>
              </w:rPr>
              <w:t>储存间内应通风、阴凉、避光，室温应保持以</w:t>
            </w:r>
            <w:r>
              <w:rPr>
                <w:szCs w:val="21"/>
                <w:u w:val="single"/>
              </w:rPr>
              <w:t>5</w:t>
            </w:r>
            <w:r>
              <w:rPr>
                <w:rFonts w:hint="eastAsia"/>
                <w:szCs w:val="21"/>
                <w:u w:val="single"/>
              </w:rPr>
              <w:t>～</w:t>
            </w:r>
            <w:r>
              <w:rPr>
                <w:szCs w:val="21"/>
                <w:u w:val="single"/>
              </w:rPr>
              <w:t>30</w:t>
            </w:r>
            <w:r>
              <w:rPr>
                <w:rFonts w:hint="eastAsia"/>
                <w:szCs w:val="21"/>
                <w:u w:val="single"/>
              </w:rPr>
              <w:t>℃。室内严禁明火，保持场地清洁干净，并配备相应的消防器材和个人防护用品等。</w:t>
            </w:r>
          </w:p>
          <w:p w14:paraId="310D5E2B">
            <w:pPr>
              <w:adjustRightInd w:val="0"/>
              <w:snapToGrid w:val="0"/>
              <w:spacing w:line="360" w:lineRule="auto"/>
              <w:ind w:firstLine="420" w:firstLineChars="200"/>
              <w:rPr>
                <w:rFonts w:hint="eastAsia"/>
                <w:szCs w:val="21"/>
                <w:u w:val="single"/>
              </w:rPr>
            </w:pPr>
            <w:r>
              <w:rPr>
                <w:rFonts w:hint="eastAsia"/>
                <w:szCs w:val="21"/>
                <w:u w:val="single"/>
              </w:rPr>
              <w:t>e.储存间地面应采取表面防渗措施，并在贮存容器下方设置不锈钢托盘，在储存间内设置空桶，发生少量泄漏应立即将容器内剩余溶液转移至空桶内，并收集托盘内泄漏液体，防止泄漏物料挥发到大气中，对环境产生影响。</w:t>
            </w:r>
          </w:p>
          <w:p w14:paraId="79DB4F57">
            <w:pPr>
              <w:adjustRightInd w:val="0"/>
              <w:snapToGrid w:val="0"/>
              <w:spacing w:line="360" w:lineRule="auto"/>
              <w:ind w:firstLine="420" w:firstLineChars="200"/>
              <w:rPr>
                <w:rFonts w:hint="eastAsia"/>
                <w:szCs w:val="21"/>
                <w:u w:val="single"/>
              </w:rPr>
            </w:pPr>
            <w:r>
              <w:rPr>
                <w:rFonts w:hint="eastAsia"/>
                <w:szCs w:val="21"/>
                <w:u w:val="single"/>
              </w:rPr>
              <w:t>f.储存区设置围挡等截留设施，若发生事故泄露，将物料控制在储存间内。</w:t>
            </w:r>
          </w:p>
          <w:p w14:paraId="4A94435A">
            <w:pPr>
              <w:adjustRightInd w:val="0"/>
              <w:snapToGrid w:val="0"/>
              <w:spacing w:line="360" w:lineRule="auto"/>
              <w:ind w:firstLine="420" w:firstLineChars="200"/>
              <w:rPr>
                <w:rFonts w:hint="eastAsia"/>
                <w:szCs w:val="21"/>
                <w:u w:val="single"/>
              </w:rPr>
            </w:pPr>
            <w:r>
              <w:rPr>
                <w:rFonts w:hint="eastAsia"/>
                <w:szCs w:val="21"/>
                <w:u w:val="single"/>
              </w:rPr>
              <w:t>（2）火灾导致的次生环境风险防范措施</w:t>
            </w:r>
          </w:p>
          <w:p w14:paraId="1E921247">
            <w:pPr>
              <w:adjustRightInd w:val="0"/>
              <w:snapToGrid w:val="0"/>
              <w:spacing w:line="360" w:lineRule="auto"/>
              <w:ind w:firstLine="420" w:firstLineChars="200"/>
              <w:rPr>
                <w:rFonts w:hint="eastAsia"/>
                <w:szCs w:val="21"/>
                <w:u w:val="single"/>
              </w:rPr>
            </w:pPr>
            <w:r>
              <w:rPr>
                <w:rFonts w:hint="eastAsia"/>
                <w:szCs w:val="21"/>
                <w:u w:val="single"/>
              </w:rPr>
              <w:t>项目发生火灾会产生一定的燃烧烟气和消防废水。当发生事故时，应采取措施，发生事故时采用沙包堵截消防废水，避免消防废水排除厂外。厂区内配备消防、灭火器材等，企业应建立严格的应急管理制度，有专职的应急管理人员。</w:t>
            </w:r>
          </w:p>
          <w:p w14:paraId="1140E110">
            <w:pPr>
              <w:adjustRightInd w:val="0"/>
              <w:snapToGrid w:val="0"/>
              <w:spacing w:line="360" w:lineRule="auto"/>
              <w:ind w:firstLine="420" w:firstLineChars="200"/>
              <w:rPr>
                <w:rFonts w:hint="eastAsia"/>
                <w:szCs w:val="21"/>
                <w:u w:val="single"/>
              </w:rPr>
            </w:pPr>
            <w:r>
              <w:rPr>
                <w:rFonts w:hint="eastAsia"/>
                <w:szCs w:val="21"/>
                <w:u w:val="single"/>
              </w:rPr>
              <w:t>（3）废气事故排放风险的防范措施</w:t>
            </w:r>
          </w:p>
          <w:p w14:paraId="28A4B1C1">
            <w:pPr>
              <w:adjustRightInd w:val="0"/>
              <w:snapToGrid w:val="0"/>
              <w:spacing w:line="360" w:lineRule="auto"/>
              <w:ind w:firstLine="420" w:firstLineChars="200"/>
              <w:rPr>
                <w:szCs w:val="21"/>
                <w:u w:val="single"/>
              </w:rPr>
            </w:pPr>
            <w:r>
              <w:rPr>
                <w:rFonts w:hint="eastAsia"/>
                <w:szCs w:val="21"/>
                <w:u w:val="single"/>
              </w:rPr>
              <w:t>本项目废气正常处理后排放浓度不超过排放标准，对周围环境的影响较小。但是，当废气治理设施发生故障情况，可能会对环境空气质量造成一定的影响。导致废气治理设施运行故障的原因主要有：抽风设备故障、人员操作失误、处理装置故障等。企业必须严加管理，杜绝事故排放的事故发生。应认真做好设备的定期维护、保修工作，使处理设施达到预期效果。现场作业人员定时记录废气抽排放系统及收集排放系统，并派专人巡视，废气处理系统出现故障，立即停止生产，切断废气来源，维修正常后再恢复生产，杜绝事故性废气直排，待检修完毕再恢复生产。</w:t>
            </w:r>
          </w:p>
        </w:tc>
      </w:tr>
      <w:tr w14:paraId="3FBBA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32" w:type="dxa"/>
            <w:vAlign w:val="center"/>
          </w:tcPr>
          <w:p w14:paraId="79BBB2A4">
            <w:pPr>
              <w:adjustRightInd w:val="0"/>
              <w:snapToGrid w:val="0"/>
              <w:jc w:val="center"/>
              <w:rPr>
                <w:rFonts w:ascii="宋体" w:hAnsi="宋体" w:cs="宋体"/>
                <w:spacing w:val="-8"/>
                <w:szCs w:val="21"/>
              </w:rPr>
            </w:pPr>
            <w:r>
              <w:rPr>
                <w:rFonts w:hint="eastAsia"/>
                <w:szCs w:val="21"/>
              </w:rPr>
              <w:t>其他环境管理要求</w:t>
            </w:r>
          </w:p>
        </w:tc>
        <w:tc>
          <w:tcPr>
            <w:tcW w:w="7989" w:type="dxa"/>
            <w:gridSpan w:val="4"/>
            <w:vAlign w:val="center"/>
          </w:tcPr>
          <w:p w14:paraId="6FD1DDC8">
            <w:pPr>
              <w:adjustRightInd w:val="0"/>
              <w:snapToGrid w:val="0"/>
              <w:spacing w:line="360" w:lineRule="auto"/>
              <w:ind w:firstLine="420" w:firstLineChars="200"/>
              <w:rPr>
                <w:szCs w:val="21"/>
                <w:u w:val="single"/>
              </w:rPr>
            </w:pPr>
            <w:r>
              <w:rPr>
                <w:rFonts w:hint="eastAsia"/>
                <w:szCs w:val="21"/>
                <w:u w:val="single"/>
              </w:rPr>
              <w:t>1、环境管理</w:t>
            </w:r>
          </w:p>
          <w:p w14:paraId="2074BCE4">
            <w:pPr>
              <w:adjustRightInd w:val="0"/>
              <w:snapToGrid w:val="0"/>
              <w:spacing w:line="360" w:lineRule="auto"/>
              <w:ind w:firstLine="420" w:firstLineChars="200"/>
              <w:rPr>
                <w:szCs w:val="21"/>
                <w:u w:val="single"/>
              </w:rPr>
            </w:pPr>
            <w:r>
              <w:rPr>
                <w:rFonts w:hint="eastAsia"/>
                <w:szCs w:val="21"/>
                <w:u w:val="single"/>
              </w:rPr>
              <w:t>加强环境管理是贯彻执行环境保护法规，实现建设项目的社会、经济和环境效益的协调统一，以及企业可持续发展的重要保证。为加强环境管理，有效控制环境污染，根据本项目具体情况，建设单位应设置环保管理机构和管理人员并建立相应的环境管理体系。完善环保手续与环保档案，建立环境管理台账制度，落实环境管理台账记录的责任人，明确工作职责，包括台账的记录、整理、维护和管理等。</w:t>
            </w:r>
          </w:p>
          <w:p w14:paraId="34523979">
            <w:pPr>
              <w:adjustRightInd w:val="0"/>
              <w:snapToGrid w:val="0"/>
              <w:spacing w:line="360" w:lineRule="auto"/>
              <w:ind w:firstLine="420" w:firstLineChars="200"/>
              <w:rPr>
                <w:rFonts w:hint="eastAsia"/>
                <w:szCs w:val="21"/>
                <w:u w:val="single"/>
              </w:rPr>
            </w:pPr>
            <w:r>
              <w:rPr>
                <w:rFonts w:hint="eastAsia"/>
                <w:szCs w:val="21"/>
                <w:u w:val="single"/>
              </w:rPr>
              <w:t>2、排污许可制度</w:t>
            </w:r>
          </w:p>
          <w:p w14:paraId="67F75700">
            <w:pPr>
              <w:adjustRightInd w:val="0"/>
              <w:snapToGrid w:val="0"/>
              <w:spacing w:line="360" w:lineRule="auto"/>
              <w:ind w:firstLine="420" w:firstLineChars="200"/>
              <w:rPr>
                <w:szCs w:val="21"/>
                <w:u w:val="single"/>
              </w:rPr>
            </w:pPr>
            <w:r>
              <w:rPr>
                <w:rFonts w:hint="eastAsia"/>
                <w:szCs w:val="21"/>
                <w:u w:val="single"/>
              </w:rPr>
              <w:t>根据《排污许可管理办法（试行）》（环境保护部部令第</w:t>
            </w:r>
            <w:r>
              <w:rPr>
                <w:szCs w:val="21"/>
                <w:u w:val="single"/>
              </w:rPr>
              <w:t>48</w:t>
            </w:r>
            <w:r>
              <w:rPr>
                <w:rFonts w:hint="eastAsia"/>
                <w:szCs w:val="21"/>
                <w:u w:val="single"/>
              </w:rPr>
              <w:t>号）和《关于做好环境影响评价制度与排污许可制衔接相关工作的通知》（环办环评</w:t>
            </w:r>
            <w:r>
              <w:rPr>
                <w:szCs w:val="21"/>
                <w:u w:val="single"/>
              </w:rPr>
              <w:t xml:space="preserve">[2017]84 </w:t>
            </w:r>
            <w:r>
              <w:rPr>
                <w:rFonts w:hint="eastAsia"/>
                <w:szCs w:val="21"/>
                <w:u w:val="single"/>
              </w:rPr>
              <w:t>号），新建排污单位应当在启动生产设施或者发生实际排污之前申请取得排污许可证，本项目为</w:t>
            </w:r>
            <w:r>
              <w:rPr>
                <w:rFonts w:hint="eastAsia"/>
                <w:szCs w:val="21"/>
                <w:u w:val="single"/>
                <w:lang w:eastAsia="zh-CN"/>
              </w:rPr>
              <w:t>因厂址变化导致重大变动后重新报批项目</w:t>
            </w:r>
            <w:r>
              <w:rPr>
                <w:rFonts w:hint="eastAsia"/>
                <w:szCs w:val="21"/>
                <w:u w:val="single"/>
              </w:rPr>
              <w:t>，应该在发生实际排污之前进行按照《固定污染源排污许可分类管理名录（</w:t>
            </w:r>
            <w:r>
              <w:rPr>
                <w:szCs w:val="21"/>
                <w:u w:val="single"/>
              </w:rPr>
              <w:t xml:space="preserve">2019 </w:t>
            </w:r>
            <w:r>
              <w:rPr>
                <w:rFonts w:hint="eastAsia"/>
                <w:szCs w:val="21"/>
                <w:u w:val="single"/>
              </w:rPr>
              <w:t>年版）》（生态环境部令第</w:t>
            </w:r>
            <w:r>
              <w:rPr>
                <w:szCs w:val="21"/>
                <w:u w:val="single"/>
              </w:rPr>
              <w:t>11</w:t>
            </w:r>
            <w:r>
              <w:rPr>
                <w:rFonts w:hint="eastAsia"/>
                <w:szCs w:val="21"/>
                <w:u w:val="single"/>
              </w:rPr>
              <w:t>号）相关要求在排污许可证申报平台进行排污许可填报。</w:t>
            </w:r>
          </w:p>
          <w:p w14:paraId="57FCACD0">
            <w:pPr>
              <w:adjustRightInd w:val="0"/>
              <w:snapToGrid w:val="0"/>
              <w:spacing w:line="360" w:lineRule="auto"/>
              <w:ind w:firstLine="420" w:firstLineChars="200"/>
              <w:rPr>
                <w:rFonts w:hint="eastAsia"/>
                <w:szCs w:val="21"/>
                <w:u w:val="single"/>
              </w:rPr>
            </w:pPr>
            <w:r>
              <w:rPr>
                <w:rFonts w:hint="eastAsia"/>
                <w:szCs w:val="21"/>
                <w:u w:val="single"/>
              </w:rPr>
              <w:t>3、排污口规范化要求</w:t>
            </w:r>
          </w:p>
          <w:p w14:paraId="52371E9A">
            <w:pPr>
              <w:adjustRightInd w:val="0"/>
              <w:snapToGrid w:val="0"/>
              <w:spacing w:line="360" w:lineRule="auto"/>
              <w:ind w:firstLine="420" w:firstLineChars="200"/>
              <w:rPr>
                <w:szCs w:val="21"/>
              </w:rPr>
            </w:pPr>
            <w:r>
              <w:rPr>
                <w:rFonts w:hint="eastAsia"/>
                <w:szCs w:val="21"/>
                <w:u w:val="single"/>
              </w:rPr>
              <w:t>按照排污许可要求规范化设置排污口，排气筒应设置便于采样、监测的采样口。采样口的设置应符合《污染源监测技术规范》要求。</w:t>
            </w:r>
          </w:p>
          <w:p w14:paraId="42CEF1E8">
            <w:pPr>
              <w:adjustRightInd w:val="0"/>
              <w:snapToGrid w:val="0"/>
              <w:spacing w:line="360" w:lineRule="auto"/>
              <w:ind w:firstLine="420" w:firstLineChars="200"/>
              <w:rPr>
                <w:rFonts w:hint="eastAsia"/>
                <w:szCs w:val="21"/>
                <w:u w:val="single"/>
              </w:rPr>
            </w:pPr>
            <w:r>
              <w:rPr>
                <w:rFonts w:hint="eastAsia"/>
                <w:szCs w:val="21"/>
                <w:u w:val="single"/>
              </w:rPr>
              <w:t>4、竣工环保验收</w:t>
            </w:r>
          </w:p>
          <w:p w14:paraId="664399F7">
            <w:pPr>
              <w:adjustRightInd w:val="0"/>
              <w:snapToGrid w:val="0"/>
              <w:spacing w:line="360" w:lineRule="auto"/>
              <w:ind w:firstLine="420" w:firstLineChars="200"/>
              <w:rPr>
                <w:szCs w:val="21"/>
                <w:u w:val="single"/>
              </w:rPr>
            </w:pPr>
            <w:r>
              <w:rPr>
                <w:rFonts w:hint="eastAsia"/>
                <w:szCs w:val="21"/>
                <w:u w:val="single"/>
              </w:rPr>
              <w:t>根据《建设项目环境保护管理条例》（国务院第682 号令）要求：建设项目需要配套建设的环境保护设施，必须与主体工程同时设计、同时施工、同时投产使用。建设单位应当按照国务院环境保护行政主管部门规定的标准和程序，对配套建设的环境保护设施进行验收，编制验收报告。</w:t>
            </w:r>
          </w:p>
        </w:tc>
      </w:tr>
    </w:tbl>
    <w:p w14:paraId="0D0A9783">
      <w:pPr>
        <w:pStyle w:val="34"/>
      </w:pPr>
      <w:r>
        <w:br w:type="page"/>
      </w:r>
      <w:bookmarkStart w:id="57" w:name="_Toc157673454"/>
      <w:r>
        <w:rPr>
          <w:rFonts w:hint="eastAsia"/>
        </w:rPr>
        <w:t>六、结论</w:t>
      </w:r>
      <w:bookmarkEnd w:id="57"/>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B859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F8E263C">
            <w:pPr>
              <w:adjustRightInd w:val="0"/>
              <w:snapToGrid w:val="0"/>
              <w:spacing w:line="360" w:lineRule="auto"/>
              <w:ind w:firstLine="480" w:firstLineChars="200"/>
              <w:rPr>
                <w:sz w:val="24"/>
              </w:rPr>
            </w:pPr>
            <w:r>
              <w:rPr>
                <w:sz w:val="24"/>
              </w:rPr>
              <w:t>本项目建设符合国家产业政策</w:t>
            </w:r>
            <w:r>
              <w:rPr>
                <w:rFonts w:hint="eastAsia"/>
                <w:sz w:val="24"/>
              </w:rPr>
              <w:t>和相关规划要求</w:t>
            </w:r>
            <w:r>
              <w:rPr>
                <w:sz w:val="24"/>
              </w:rPr>
              <w:t>，</w:t>
            </w:r>
            <w:r>
              <w:rPr>
                <w:rFonts w:hint="eastAsia"/>
                <w:sz w:val="24"/>
              </w:rPr>
              <w:t>符合濮阳市“三线一单”分区管控相关要求。</w:t>
            </w:r>
            <w:r>
              <w:rPr>
                <w:rFonts w:hint="eastAsia"/>
                <w:sz w:val="24"/>
                <w:lang w:val="zh-CN" w:bidi="zh-CN"/>
              </w:rPr>
              <w:t>在认真落实本次环评提出的各项污染防治措施</w:t>
            </w:r>
            <w:r>
              <w:rPr>
                <w:rFonts w:hint="eastAsia"/>
                <w:sz w:val="24"/>
                <w:lang w:bidi="zh-CN"/>
              </w:rPr>
              <w:t>的基础上</w:t>
            </w:r>
            <w:r>
              <w:rPr>
                <w:rFonts w:hint="eastAsia"/>
                <w:sz w:val="24"/>
                <w:lang w:val="zh-CN" w:bidi="zh-CN"/>
              </w:rPr>
              <w:t>，</w:t>
            </w:r>
            <w:r>
              <w:rPr>
                <w:rFonts w:hint="eastAsia"/>
                <w:sz w:val="24"/>
                <w:lang w:bidi="zh-CN"/>
              </w:rPr>
              <w:t>项目营运期产生的污染物实现达标排放，</w:t>
            </w:r>
            <w:r>
              <w:rPr>
                <w:rFonts w:hint="eastAsia"/>
                <w:sz w:val="24"/>
                <w:lang w:val="zh-CN" w:bidi="zh-CN"/>
              </w:rPr>
              <w:t>将不会对周围环境产生明显影响；在认真落实各项风险防范措施后，风险影响程度在可控范围之内。</w:t>
            </w:r>
          </w:p>
          <w:p w14:paraId="6DBFDD4D">
            <w:pPr>
              <w:adjustRightInd w:val="0"/>
              <w:snapToGrid w:val="0"/>
              <w:spacing w:line="360" w:lineRule="auto"/>
              <w:ind w:firstLine="480" w:firstLineChars="200"/>
              <w:rPr>
                <w:sz w:val="24"/>
              </w:rPr>
            </w:pPr>
            <w:r>
              <w:rPr>
                <w:sz w:val="24"/>
              </w:rPr>
              <w:t>项目应严格执行“三同时”制度，落实本环评报告中</w:t>
            </w:r>
            <w:r>
              <w:rPr>
                <w:rFonts w:hint="eastAsia"/>
                <w:sz w:val="24"/>
              </w:rPr>
              <w:t>提出的各项</w:t>
            </w:r>
            <w:r>
              <w:rPr>
                <w:sz w:val="24"/>
              </w:rPr>
              <w:t>环保措施</w:t>
            </w:r>
            <w:r>
              <w:rPr>
                <w:rFonts w:hint="eastAsia"/>
                <w:sz w:val="24"/>
              </w:rPr>
              <w:t>和风险防范措施</w:t>
            </w:r>
            <w:r>
              <w:rPr>
                <w:sz w:val="24"/>
              </w:rPr>
              <w:t>，且相应的环保措施必须</w:t>
            </w:r>
            <w:r>
              <w:rPr>
                <w:rFonts w:hint="eastAsia"/>
                <w:sz w:val="24"/>
              </w:rPr>
              <w:t>通过竣工环保验收</w:t>
            </w:r>
            <w:r>
              <w:rPr>
                <w:sz w:val="24"/>
              </w:rPr>
              <w:t>后，方可投入使用，并确保日后能够正常运行，将本项目对周围环境的影响控制在允许的范围以内。在此前提下，从环境保护角度</w:t>
            </w:r>
            <w:r>
              <w:rPr>
                <w:rFonts w:hint="eastAsia"/>
                <w:sz w:val="24"/>
              </w:rPr>
              <w:t>考虑，</w:t>
            </w:r>
            <w:r>
              <w:rPr>
                <w:sz w:val="24"/>
              </w:rPr>
              <w:t>本项目</w:t>
            </w:r>
            <w:r>
              <w:rPr>
                <w:rFonts w:hint="eastAsia"/>
                <w:sz w:val="24"/>
              </w:rPr>
              <w:t>建设</w:t>
            </w:r>
            <w:r>
              <w:rPr>
                <w:sz w:val="24"/>
              </w:rPr>
              <w:t>是可行的。</w:t>
            </w:r>
          </w:p>
        </w:tc>
      </w:tr>
    </w:tbl>
    <w:p w14:paraId="4B61524E">
      <w:pPr>
        <w:rPr>
          <w:rFonts w:ascii="宋体"/>
        </w:rPr>
        <w:sectPr>
          <w:pgSz w:w="11906" w:h="16838"/>
          <w:pgMar w:top="1701" w:right="1531" w:bottom="1701" w:left="1531" w:header="850" w:footer="1134" w:gutter="0"/>
          <w:cols w:space="720" w:num="1"/>
          <w:docGrid w:linePitch="312" w:charSpace="0"/>
        </w:sectPr>
      </w:pPr>
    </w:p>
    <w:p w14:paraId="1A59348F">
      <w:pPr>
        <w:pStyle w:val="34"/>
      </w:pPr>
      <w:bookmarkStart w:id="58" w:name="_Toc157673455"/>
      <w:r>
        <w:rPr>
          <w:rFonts w:hint="eastAsia"/>
        </w:rPr>
        <w:t>建设项目污染物排放量汇总表</w:t>
      </w:r>
      <w:bookmarkEnd w:id="58"/>
    </w:p>
    <w:tbl>
      <w:tblPr>
        <w:tblStyle w:val="38"/>
        <w:tblW w:w="14199" w:type="dxa"/>
        <w:tblInd w:w="-19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2850"/>
        <w:gridCol w:w="1462"/>
        <w:gridCol w:w="1250"/>
        <w:gridCol w:w="1488"/>
        <w:gridCol w:w="1487"/>
        <w:gridCol w:w="1485"/>
        <w:gridCol w:w="1783"/>
        <w:gridCol w:w="1219"/>
      </w:tblGrid>
      <w:tr w14:paraId="45E78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5" w:type="dxa"/>
            <w:tcBorders>
              <w:tl2br w:val="single" w:color="auto" w:sz="4" w:space="0"/>
            </w:tcBorders>
            <w:tcMar>
              <w:left w:w="28" w:type="dxa"/>
              <w:right w:w="28" w:type="dxa"/>
            </w:tcMar>
            <w:vAlign w:val="center"/>
          </w:tcPr>
          <w:p w14:paraId="0B5111F8">
            <w:pPr>
              <w:pStyle w:val="63"/>
              <w:spacing w:beforeLines="0" w:afterLines="0" w:line="240" w:lineRule="auto"/>
              <w:ind w:firstLine="0"/>
              <w:jc w:val="right"/>
              <w:rPr>
                <w:rFonts w:ascii="Times New Roman" w:eastAsia="黑体"/>
                <w:snapToGrid w:val="0"/>
                <w:spacing w:val="-6"/>
                <w:kern w:val="21"/>
                <w:sz w:val="21"/>
                <w:szCs w:val="21"/>
              </w:rPr>
            </w:pPr>
            <w:r>
              <w:rPr>
                <w:rFonts w:ascii="Times New Roman" w:eastAsia="黑体"/>
                <w:snapToGrid w:val="0"/>
                <w:spacing w:val="-6"/>
                <w:kern w:val="21"/>
                <w:sz w:val="21"/>
                <w:szCs w:val="21"/>
              </w:rPr>
              <w:t>项目</w:t>
            </w:r>
          </w:p>
          <w:p w14:paraId="5C0EDDC8">
            <w:pPr>
              <w:pStyle w:val="63"/>
              <w:spacing w:beforeLines="0" w:afterLines="0" w:line="240" w:lineRule="auto"/>
              <w:ind w:firstLine="0"/>
              <w:jc w:val="left"/>
              <w:rPr>
                <w:rFonts w:ascii="Times New Roman" w:eastAsia="黑体"/>
                <w:snapToGrid w:val="0"/>
                <w:spacing w:val="-6"/>
                <w:kern w:val="21"/>
                <w:sz w:val="21"/>
                <w:szCs w:val="21"/>
              </w:rPr>
            </w:pPr>
            <w:r>
              <w:rPr>
                <w:rFonts w:ascii="Times New Roman" w:eastAsia="黑体"/>
                <w:snapToGrid w:val="0"/>
                <w:spacing w:val="-6"/>
                <w:kern w:val="21"/>
                <w:sz w:val="21"/>
                <w:szCs w:val="21"/>
              </w:rPr>
              <w:t>分类</w:t>
            </w:r>
          </w:p>
        </w:tc>
        <w:tc>
          <w:tcPr>
            <w:tcW w:w="2850" w:type="dxa"/>
            <w:tcMar>
              <w:left w:w="28" w:type="dxa"/>
              <w:right w:w="28" w:type="dxa"/>
            </w:tcMar>
            <w:vAlign w:val="center"/>
          </w:tcPr>
          <w:p w14:paraId="120C86CA">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t>污染物名称</w:t>
            </w:r>
          </w:p>
        </w:tc>
        <w:tc>
          <w:tcPr>
            <w:tcW w:w="1462" w:type="dxa"/>
            <w:tcMar>
              <w:left w:w="28" w:type="dxa"/>
              <w:right w:w="28" w:type="dxa"/>
            </w:tcMar>
            <w:vAlign w:val="center"/>
          </w:tcPr>
          <w:p w14:paraId="3EC72F12">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t>现有工程</w:t>
            </w:r>
          </w:p>
          <w:p w14:paraId="3C8E6153">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1 \* GB3 \* MERGEFORMAT </w:instrText>
            </w:r>
            <w:r>
              <w:rPr>
                <w:rFonts w:ascii="Times New Roman" w:eastAsia="黑体"/>
                <w:snapToGrid w:val="0"/>
                <w:spacing w:val="-6"/>
                <w:kern w:val="21"/>
                <w:sz w:val="21"/>
                <w:szCs w:val="21"/>
              </w:rPr>
              <w:fldChar w:fldCharType="separate"/>
            </w:r>
            <w:r>
              <w:rPr>
                <w:rFonts w:hint="eastAsia" w:hAnsi="宋体" w:cs="宋体"/>
                <w:kern w:val="2"/>
                <w:sz w:val="21"/>
                <w:szCs w:val="21"/>
              </w:rPr>
              <w:t>①</w:t>
            </w:r>
            <w:r>
              <w:rPr>
                <w:rFonts w:ascii="Times New Roman" w:eastAsia="黑体"/>
                <w:snapToGrid w:val="0"/>
                <w:spacing w:val="-6"/>
                <w:kern w:val="21"/>
                <w:sz w:val="21"/>
                <w:szCs w:val="21"/>
              </w:rPr>
              <w:fldChar w:fldCharType="end"/>
            </w:r>
          </w:p>
        </w:tc>
        <w:tc>
          <w:tcPr>
            <w:tcW w:w="1250" w:type="dxa"/>
            <w:tcMar>
              <w:left w:w="28" w:type="dxa"/>
              <w:right w:w="28" w:type="dxa"/>
            </w:tcMar>
            <w:vAlign w:val="center"/>
          </w:tcPr>
          <w:p w14:paraId="01F52C53">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t>现有工程</w:t>
            </w:r>
          </w:p>
          <w:p w14:paraId="1F41BE2C">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t>许可排放量</w:t>
            </w:r>
          </w:p>
          <w:p w14:paraId="00D603A2">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2 \* GB3 \* MERGEFORMAT </w:instrText>
            </w:r>
            <w:r>
              <w:rPr>
                <w:rFonts w:ascii="Times New Roman" w:eastAsia="黑体"/>
                <w:snapToGrid w:val="0"/>
                <w:spacing w:val="-6"/>
                <w:kern w:val="21"/>
                <w:sz w:val="21"/>
                <w:szCs w:val="21"/>
              </w:rPr>
              <w:fldChar w:fldCharType="separate"/>
            </w:r>
            <w:r>
              <w:rPr>
                <w:rFonts w:hint="eastAsia" w:hAnsi="宋体" w:cs="宋体"/>
                <w:snapToGrid w:val="0"/>
                <w:spacing w:val="-6"/>
                <w:kern w:val="21"/>
                <w:sz w:val="21"/>
                <w:szCs w:val="21"/>
              </w:rPr>
              <w:t>②</w:t>
            </w:r>
            <w:r>
              <w:rPr>
                <w:rFonts w:ascii="Times New Roman" w:eastAsia="黑体"/>
                <w:snapToGrid w:val="0"/>
                <w:spacing w:val="-6"/>
                <w:kern w:val="21"/>
                <w:sz w:val="21"/>
                <w:szCs w:val="21"/>
              </w:rPr>
              <w:fldChar w:fldCharType="end"/>
            </w:r>
          </w:p>
        </w:tc>
        <w:tc>
          <w:tcPr>
            <w:tcW w:w="1488" w:type="dxa"/>
            <w:tcMar>
              <w:left w:w="28" w:type="dxa"/>
              <w:right w:w="28" w:type="dxa"/>
            </w:tcMar>
            <w:vAlign w:val="center"/>
          </w:tcPr>
          <w:p w14:paraId="71ECEFA4">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t>在建工程</w:t>
            </w:r>
          </w:p>
          <w:p w14:paraId="3BB2DA68">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3 \* GB3 \* MERGEFORMAT </w:instrText>
            </w:r>
            <w:r>
              <w:rPr>
                <w:rFonts w:ascii="Times New Roman" w:eastAsia="黑体"/>
                <w:snapToGrid w:val="0"/>
                <w:spacing w:val="-6"/>
                <w:kern w:val="21"/>
                <w:sz w:val="21"/>
                <w:szCs w:val="21"/>
              </w:rPr>
              <w:fldChar w:fldCharType="separate"/>
            </w:r>
            <w:r>
              <w:rPr>
                <w:rFonts w:hint="eastAsia" w:hAnsi="宋体" w:cs="宋体"/>
                <w:kern w:val="2"/>
                <w:sz w:val="21"/>
                <w:szCs w:val="21"/>
              </w:rPr>
              <w:t>③</w:t>
            </w:r>
            <w:r>
              <w:rPr>
                <w:rFonts w:ascii="Times New Roman" w:eastAsia="黑体"/>
                <w:snapToGrid w:val="0"/>
                <w:spacing w:val="-6"/>
                <w:kern w:val="21"/>
                <w:sz w:val="21"/>
                <w:szCs w:val="21"/>
              </w:rPr>
              <w:fldChar w:fldCharType="end"/>
            </w:r>
          </w:p>
        </w:tc>
        <w:tc>
          <w:tcPr>
            <w:tcW w:w="1487" w:type="dxa"/>
            <w:tcMar>
              <w:left w:w="28" w:type="dxa"/>
              <w:right w:w="28" w:type="dxa"/>
            </w:tcMar>
            <w:vAlign w:val="center"/>
          </w:tcPr>
          <w:p w14:paraId="0BDF82ED">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t>本项目</w:t>
            </w:r>
          </w:p>
          <w:p w14:paraId="52F762B5">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4 \* GB3 \* MERGEFORMAT </w:instrText>
            </w:r>
            <w:r>
              <w:rPr>
                <w:rFonts w:ascii="Times New Roman" w:eastAsia="黑体"/>
                <w:snapToGrid w:val="0"/>
                <w:spacing w:val="-6"/>
                <w:kern w:val="21"/>
                <w:sz w:val="21"/>
                <w:szCs w:val="21"/>
              </w:rPr>
              <w:fldChar w:fldCharType="separate"/>
            </w:r>
            <w:r>
              <w:rPr>
                <w:rFonts w:hint="eastAsia" w:hAnsi="宋体" w:cs="宋体"/>
                <w:kern w:val="2"/>
                <w:sz w:val="21"/>
                <w:szCs w:val="21"/>
              </w:rPr>
              <w:t>④</w:t>
            </w:r>
            <w:r>
              <w:rPr>
                <w:rFonts w:ascii="Times New Roman" w:eastAsia="黑体"/>
                <w:snapToGrid w:val="0"/>
                <w:spacing w:val="-6"/>
                <w:kern w:val="21"/>
                <w:sz w:val="21"/>
                <w:szCs w:val="21"/>
              </w:rPr>
              <w:fldChar w:fldCharType="end"/>
            </w:r>
          </w:p>
        </w:tc>
        <w:tc>
          <w:tcPr>
            <w:tcW w:w="1485" w:type="dxa"/>
            <w:tcMar>
              <w:left w:w="28" w:type="dxa"/>
              <w:right w:w="28" w:type="dxa"/>
            </w:tcMar>
            <w:vAlign w:val="center"/>
          </w:tcPr>
          <w:p w14:paraId="7B58BDF0">
            <w:pPr>
              <w:pStyle w:val="63"/>
              <w:spacing w:beforeLines="0" w:afterLines="0" w:line="240" w:lineRule="auto"/>
              <w:ind w:firstLine="0"/>
              <w:rPr>
                <w:rFonts w:ascii="Times New Roman" w:eastAsia="黑体"/>
                <w:snapToGrid w:val="0"/>
                <w:spacing w:val="-16"/>
                <w:kern w:val="21"/>
                <w:sz w:val="21"/>
                <w:szCs w:val="21"/>
              </w:rPr>
            </w:pPr>
            <w:r>
              <w:rPr>
                <w:rFonts w:ascii="Times New Roman" w:eastAsia="黑体"/>
                <w:snapToGrid w:val="0"/>
                <w:spacing w:val="-16"/>
                <w:kern w:val="21"/>
                <w:sz w:val="21"/>
                <w:szCs w:val="21"/>
              </w:rPr>
              <w:t>以新带老削减量</w:t>
            </w:r>
          </w:p>
          <w:p w14:paraId="684D8907">
            <w:pPr>
              <w:pStyle w:val="63"/>
              <w:spacing w:beforeLines="0" w:afterLines="0" w:line="240" w:lineRule="auto"/>
              <w:ind w:firstLine="0"/>
              <w:rPr>
                <w:rFonts w:ascii="Times New Roman" w:eastAsia="黑体"/>
                <w:snapToGrid w:val="0"/>
                <w:spacing w:val="-16"/>
                <w:kern w:val="21"/>
                <w:sz w:val="21"/>
                <w:szCs w:val="21"/>
              </w:rPr>
            </w:pPr>
            <w:r>
              <w:rPr>
                <w:rFonts w:ascii="Times New Roman" w:eastAsia="黑体"/>
                <w:snapToGrid w:val="0"/>
                <w:spacing w:val="-16"/>
                <w:kern w:val="21"/>
                <w:sz w:val="21"/>
                <w:szCs w:val="21"/>
              </w:rPr>
              <w:t>（新建项目不填）</w:t>
            </w:r>
            <w:r>
              <w:rPr>
                <w:rFonts w:ascii="Times New Roman" w:eastAsia="黑体"/>
                <w:snapToGrid w:val="0"/>
                <w:spacing w:val="-16"/>
                <w:kern w:val="21"/>
                <w:sz w:val="21"/>
                <w:szCs w:val="21"/>
              </w:rPr>
              <w:fldChar w:fldCharType="begin"/>
            </w:r>
            <w:r>
              <w:rPr>
                <w:rFonts w:ascii="Times New Roman" w:eastAsia="黑体"/>
                <w:snapToGrid w:val="0"/>
                <w:spacing w:val="-16"/>
                <w:kern w:val="21"/>
                <w:sz w:val="21"/>
                <w:szCs w:val="21"/>
              </w:rPr>
              <w:instrText xml:space="preserve"> = 5 \* GB3 \* MERGEFORMAT </w:instrText>
            </w:r>
            <w:r>
              <w:rPr>
                <w:rFonts w:ascii="Times New Roman" w:eastAsia="黑体"/>
                <w:snapToGrid w:val="0"/>
                <w:spacing w:val="-16"/>
                <w:kern w:val="21"/>
                <w:sz w:val="21"/>
                <w:szCs w:val="21"/>
              </w:rPr>
              <w:fldChar w:fldCharType="separate"/>
            </w:r>
            <w:r>
              <w:rPr>
                <w:rFonts w:hint="eastAsia" w:hAnsi="宋体" w:cs="宋体"/>
                <w:kern w:val="2"/>
                <w:sz w:val="21"/>
                <w:szCs w:val="21"/>
              </w:rPr>
              <w:t>⑤</w:t>
            </w:r>
            <w:r>
              <w:rPr>
                <w:rFonts w:ascii="Times New Roman" w:eastAsia="黑体"/>
                <w:snapToGrid w:val="0"/>
                <w:spacing w:val="-16"/>
                <w:kern w:val="21"/>
                <w:sz w:val="21"/>
                <w:szCs w:val="21"/>
              </w:rPr>
              <w:fldChar w:fldCharType="end"/>
            </w:r>
          </w:p>
        </w:tc>
        <w:tc>
          <w:tcPr>
            <w:tcW w:w="1783" w:type="dxa"/>
            <w:tcMar>
              <w:left w:w="28" w:type="dxa"/>
              <w:right w:w="28" w:type="dxa"/>
            </w:tcMar>
            <w:vAlign w:val="center"/>
          </w:tcPr>
          <w:p w14:paraId="691CB96B">
            <w:pPr>
              <w:pStyle w:val="63"/>
              <w:spacing w:beforeLines="0" w:afterLines="0" w:line="240" w:lineRule="auto"/>
              <w:ind w:firstLine="0"/>
              <w:rPr>
                <w:rFonts w:ascii="Times New Roman" w:eastAsia="黑体"/>
                <w:snapToGrid w:val="0"/>
                <w:spacing w:val="-16"/>
                <w:kern w:val="21"/>
                <w:sz w:val="21"/>
                <w:szCs w:val="21"/>
              </w:rPr>
            </w:pPr>
            <w:r>
              <w:rPr>
                <w:rFonts w:ascii="Times New Roman" w:eastAsia="黑体"/>
                <w:snapToGrid w:val="0"/>
                <w:spacing w:val="-16"/>
                <w:kern w:val="21"/>
                <w:sz w:val="21"/>
                <w:szCs w:val="21"/>
              </w:rPr>
              <w:t>本项目建成后</w:t>
            </w:r>
          </w:p>
          <w:p w14:paraId="7CE8B3E8">
            <w:pPr>
              <w:pStyle w:val="63"/>
              <w:spacing w:beforeLines="0" w:afterLines="0" w:line="240" w:lineRule="auto"/>
              <w:ind w:firstLine="0"/>
              <w:rPr>
                <w:rFonts w:ascii="Times New Roman" w:eastAsia="黑体"/>
                <w:snapToGrid w:val="0"/>
                <w:spacing w:val="-16"/>
                <w:kern w:val="21"/>
                <w:sz w:val="21"/>
                <w:szCs w:val="21"/>
              </w:rPr>
            </w:pPr>
            <w:r>
              <w:rPr>
                <w:rFonts w:ascii="Times New Roman" w:eastAsia="黑体"/>
                <w:snapToGrid w:val="0"/>
                <w:spacing w:val="-16"/>
                <w:kern w:val="21"/>
                <w:sz w:val="21"/>
                <w:szCs w:val="21"/>
              </w:rPr>
              <w:t>全厂排放量（固体废物产生量）</w:t>
            </w:r>
            <w:r>
              <w:rPr>
                <w:rFonts w:ascii="Times New Roman" w:eastAsia="黑体"/>
                <w:snapToGrid w:val="0"/>
                <w:spacing w:val="-16"/>
                <w:kern w:val="21"/>
                <w:sz w:val="21"/>
                <w:szCs w:val="21"/>
              </w:rPr>
              <w:fldChar w:fldCharType="begin"/>
            </w:r>
            <w:r>
              <w:rPr>
                <w:rFonts w:ascii="Times New Roman" w:eastAsia="黑体"/>
                <w:snapToGrid w:val="0"/>
                <w:spacing w:val="-16"/>
                <w:kern w:val="21"/>
                <w:sz w:val="21"/>
                <w:szCs w:val="21"/>
              </w:rPr>
              <w:instrText xml:space="preserve"> = 6 \* GB3 \* MERGEFORMAT </w:instrText>
            </w:r>
            <w:r>
              <w:rPr>
                <w:rFonts w:ascii="Times New Roman" w:eastAsia="黑体"/>
                <w:snapToGrid w:val="0"/>
                <w:spacing w:val="-16"/>
                <w:kern w:val="21"/>
                <w:sz w:val="21"/>
                <w:szCs w:val="21"/>
              </w:rPr>
              <w:fldChar w:fldCharType="separate"/>
            </w:r>
            <w:r>
              <w:rPr>
                <w:rFonts w:hint="eastAsia" w:hAnsi="宋体" w:cs="宋体"/>
                <w:kern w:val="2"/>
                <w:sz w:val="21"/>
                <w:szCs w:val="21"/>
              </w:rPr>
              <w:t>⑥</w:t>
            </w:r>
            <w:r>
              <w:rPr>
                <w:rFonts w:ascii="Times New Roman" w:eastAsia="黑体"/>
                <w:snapToGrid w:val="0"/>
                <w:spacing w:val="-16"/>
                <w:kern w:val="21"/>
                <w:sz w:val="21"/>
                <w:szCs w:val="21"/>
              </w:rPr>
              <w:fldChar w:fldCharType="end"/>
            </w:r>
          </w:p>
        </w:tc>
        <w:tc>
          <w:tcPr>
            <w:tcW w:w="1219" w:type="dxa"/>
            <w:tcMar>
              <w:left w:w="28" w:type="dxa"/>
              <w:right w:w="28" w:type="dxa"/>
            </w:tcMar>
            <w:vAlign w:val="center"/>
          </w:tcPr>
          <w:p w14:paraId="6B7F77F4">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t>变化量</w:t>
            </w:r>
          </w:p>
          <w:p w14:paraId="6080E20E">
            <w:pPr>
              <w:pStyle w:val="63"/>
              <w:spacing w:beforeLines="0" w:afterLines="0" w:line="240" w:lineRule="auto"/>
              <w:ind w:firstLine="0"/>
              <w:rPr>
                <w:rFonts w:ascii="Times New Roman" w:eastAsia="黑体"/>
                <w:snapToGrid w:val="0"/>
                <w:spacing w:val="-6"/>
                <w:kern w:val="21"/>
                <w:sz w:val="21"/>
                <w:szCs w:val="21"/>
              </w:rPr>
            </w:pP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7 \* GB3 \* MERGEFORMAT </w:instrText>
            </w:r>
            <w:r>
              <w:rPr>
                <w:rFonts w:ascii="Times New Roman" w:eastAsia="黑体"/>
                <w:snapToGrid w:val="0"/>
                <w:spacing w:val="-6"/>
                <w:kern w:val="21"/>
                <w:sz w:val="21"/>
                <w:szCs w:val="21"/>
              </w:rPr>
              <w:fldChar w:fldCharType="separate"/>
            </w:r>
            <w:r>
              <w:rPr>
                <w:rFonts w:hint="eastAsia" w:hAnsi="宋体" w:cs="宋体"/>
                <w:kern w:val="2"/>
                <w:sz w:val="21"/>
                <w:szCs w:val="21"/>
              </w:rPr>
              <w:t>⑦</w:t>
            </w:r>
            <w:r>
              <w:rPr>
                <w:rFonts w:ascii="Times New Roman" w:eastAsia="黑体"/>
                <w:snapToGrid w:val="0"/>
                <w:spacing w:val="-6"/>
                <w:kern w:val="21"/>
                <w:sz w:val="21"/>
                <w:szCs w:val="21"/>
              </w:rPr>
              <w:fldChar w:fldCharType="end"/>
            </w:r>
          </w:p>
        </w:tc>
      </w:tr>
      <w:tr w14:paraId="1D009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175" w:type="dxa"/>
            <w:vMerge w:val="restart"/>
            <w:vAlign w:val="center"/>
          </w:tcPr>
          <w:p w14:paraId="7E74945B">
            <w:pPr>
              <w:pStyle w:val="63"/>
              <w:spacing w:beforeLines="0" w:afterLines="0" w:line="240" w:lineRule="auto"/>
              <w:ind w:firstLine="0"/>
              <w:rPr>
                <w:rFonts w:ascii="Times New Roman"/>
                <w:snapToGrid w:val="0"/>
                <w:kern w:val="21"/>
                <w:sz w:val="21"/>
                <w:szCs w:val="21"/>
              </w:rPr>
            </w:pPr>
            <w:r>
              <w:rPr>
                <w:rFonts w:ascii="Times New Roman"/>
                <w:snapToGrid w:val="0"/>
                <w:kern w:val="21"/>
                <w:sz w:val="21"/>
                <w:szCs w:val="21"/>
              </w:rPr>
              <w:t>废气</w:t>
            </w:r>
          </w:p>
        </w:tc>
        <w:tc>
          <w:tcPr>
            <w:tcW w:w="2850" w:type="dxa"/>
            <w:vAlign w:val="center"/>
          </w:tcPr>
          <w:p w14:paraId="4B1A0FD8">
            <w:pPr>
              <w:pStyle w:val="63"/>
              <w:spacing w:beforeLines="0" w:afterLines="0" w:line="240" w:lineRule="auto"/>
              <w:ind w:firstLine="0"/>
              <w:rPr>
                <w:rFonts w:ascii="Times New Roman"/>
                <w:snapToGrid w:val="0"/>
                <w:kern w:val="21"/>
                <w:sz w:val="21"/>
                <w:szCs w:val="21"/>
              </w:rPr>
            </w:pPr>
            <w:r>
              <w:rPr>
                <w:rFonts w:hint="eastAsia" w:ascii="Times New Roman"/>
                <w:snapToGrid w:val="0"/>
                <w:kern w:val="21"/>
                <w:sz w:val="21"/>
                <w:szCs w:val="21"/>
              </w:rPr>
              <w:t>非甲烷总烃</w:t>
            </w:r>
            <w:r>
              <w:rPr>
                <w:rFonts w:ascii="Times New Roman"/>
                <w:snapToGrid w:val="0"/>
                <w:kern w:val="21"/>
                <w:sz w:val="21"/>
                <w:szCs w:val="21"/>
              </w:rPr>
              <w:t>（t/a）</w:t>
            </w:r>
          </w:p>
        </w:tc>
        <w:tc>
          <w:tcPr>
            <w:tcW w:w="1462" w:type="dxa"/>
            <w:vAlign w:val="center"/>
          </w:tcPr>
          <w:p w14:paraId="660667E8">
            <w:pPr>
              <w:widowControl/>
              <w:jc w:val="center"/>
              <w:textAlignment w:val="center"/>
              <w:rPr>
                <w:bCs/>
                <w:sz w:val="21"/>
                <w:szCs w:val="21"/>
              </w:rPr>
            </w:pPr>
            <w:r>
              <w:rPr>
                <w:rFonts w:hint="eastAsia"/>
                <w:szCs w:val="21"/>
              </w:rPr>
              <w:t>0.182</w:t>
            </w:r>
          </w:p>
        </w:tc>
        <w:tc>
          <w:tcPr>
            <w:tcW w:w="1250" w:type="dxa"/>
            <w:vAlign w:val="center"/>
          </w:tcPr>
          <w:p w14:paraId="50070AAB">
            <w:pPr>
              <w:widowControl/>
              <w:jc w:val="center"/>
              <w:textAlignment w:val="center"/>
              <w:rPr>
                <w:rFonts w:hint="eastAsia" w:eastAsia="宋体"/>
                <w:szCs w:val="21"/>
                <w:lang w:val="en-US" w:eastAsia="zh-CN"/>
              </w:rPr>
            </w:pPr>
            <w:r>
              <w:rPr>
                <w:rFonts w:hint="eastAsia"/>
                <w:szCs w:val="21"/>
                <w:lang w:val="en-US" w:eastAsia="zh-CN"/>
              </w:rPr>
              <w:t>/</w:t>
            </w:r>
          </w:p>
        </w:tc>
        <w:tc>
          <w:tcPr>
            <w:tcW w:w="1488" w:type="dxa"/>
            <w:vAlign w:val="center"/>
          </w:tcPr>
          <w:p w14:paraId="6C714300">
            <w:pPr>
              <w:pStyle w:val="63"/>
              <w:spacing w:beforeLines="0" w:afterLines="0" w:line="240" w:lineRule="auto"/>
              <w:ind w:firstLine="0"/>
              <w:rPr>
                <w:rFonts w:ascii="Times New Roman"/>
                <w:snapToGrid w:val="0"/>
                <w:kern w:val="21"/>
                <w:sz w:val="21"/>
                <w:szCs w:val="21"/>
              </w:rPr>
            </w:pPr>
            <w:r>
              <w:rPr>
                <w:rFonts w:ascii="Times New Roman"/>
                <w:snapToGrid w:val="0"/>
                <w:kern w:val="21"/>
                <w:sz w:val="21"/>
                <w:szCs w:val="21"/>
              </w:rPr>
              <w:t>/</w:t>
            </w:r>
          </w:p>
        </w:tc>
        <w:tc>
          <w:tcPr>
            <w:tcW w:w="1487" w:type="dxa"/>
            <w:vAlign w:val="center"/>
          </w:tcPr>
          <w:p w14:paraId="698CC274">
            <w:pPr>
              <w:widowControl/>
              <w:jc w:val="center"/>
              <w:textAlignment w:val="center"/>
              <w:rPr>
                <w:rFonts w:hint="default" w:eastAsia="宋体"/>
                <w:szCs w:val="21"/>
                <w:lang w:val="en-US" w:eastAsia="zh-CN"/>
              </w:rPr>
            </w:pPr>
            <w:r>
              <w:rPr>
                <w:rFonts w:hint="eastAsia"/>
                <w:szCs w:val="21"/>
                <w:lang w:val="en-US" w:eastAsia="zh-CN"/>
              </w:rPr>
              <w:t>0.1677</w:t>
            </w:r>
          </w:p>
        </w:tc>
        <w:tc>
          <w:tcPr>
            <w:tcW w:w="1485" w:type="dxa"/>
            <w:vAlign w:val="center"/>
          </w:tcPr>
          <w:p w14:paraId="6AEECDD6">
            <w:pPr>
              <w:widowControl/>
              <w:jc w:val="center"/>
              <w:textAlignment w:val="center"/>
              <w:rPr>
                <w:szCs w:val="21"/>
              </w:rPr>
            </w:pPr>
            <w:r>
              <w:rPr>
                <w:rFonts w:hint="eastAsia"/>
                <w:szCs w:val="21"/>
              </w:rPr>
              <w:t>0.182</w:t>
            </w:r>
          </w:p>
        </w:tc>
        <w:tc>
          <w:tcPr>
            <w:tcW w:w="1783" w:type="dxa"/>
            <w:vAlign w:val="center"/>
          </w:tcPr>
          <w:p w14:paraId="16D75E15">
            <w:pPr>
              <w:widowControl/>
              <w:jc w:val="center"/>
              <w:textAlignment w:val="center"/>
              <w:rPr>
                <w:rFonts w:hint="default" w:eastAsia="宋体"/>
                <w:szCs w:val="21"/>
                <w:lang w:val="en-US" w:eastAsia="zh-CN"/>
              </w:rPr>
            </w:pPr>
            <w:r>
              <w:rPr>
                <w:rFonts w:hint="eastAsia"/>
                <w:szCs w:val="21"/>
                <w:lang w:val="en-US" w:eastAsia="zh-CN"/>
              </w:rPr>
              <w:t>0.1677</w:t>
            </w:r>
          </w:p>
        </w:tc>
        <w:tc>
          <w:tcPr>
            <w:tcW w:w="1219" w:type="dxa"/>
            <w:vAlign w:val="center"/>
          </w:tcPr>
          <w:p w14:paraId="54754764">
            <w:pPr>
              <w:jc w:val="center"/>
              <w:rPr>
                <w:rFonts w:hint="default" w:eastAsia="宋体"/>
                <w:snapToGrid w:val="0"/>
                <w:kern w:val="21"/>
                <w:szCs w:val="21"/>
                <w:lang w:val="en-US" w:eastAsia="zh-CN"/>
              </w:rPr>
            </w:pPr>
            <w:r>
              <w:rPr>
                <w:rFonts w:hint="eastAsia"/>
                <w:snapToGrid w:val="0"/>
                <w:kern w:val="21"/>
                <w:szCs w:val="21"/>
                <w:lang w:val="en-US" w:eastAsia="zh-CN"/>
              </w:rPr>
              <w:t>-0.0143</w:t>
            </w:r>
          </w:p>
        </w:tc>
      </w:tr>
      <w:tr w14:paraId="6EB57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175" w:type="dxa"/>
            <w:vMerge w:val="continue"/>
            <w:vAlign w:val="center"/>
          </w:tcPr>
          <w:p w14:paraId="68B1F9F7">
            <w:pPr>
              <w:pStyle w:val="63"/>
              <w:spacing w:beforeLines="0" w:afterLines="0" w:line="240" w:lineRule="auto"/>
              <w:ind w:firstLine="0"/>
              <w:rPr>
                <w:rFonts w:ascii="Times New Roman"/>
                <w:snapToGrid w:val="0"/>
                <w:kern w:val="21"/>
                <w:sz w:val="21"/>
                <w:szCs w:val="21"/>
              </w:rPr>
            </w:pPr>
          </w:p>
        </w:tc>
        <w:tc>
          <w:tcPr>
            <w:tcW w:w="2850" w:type="dxa"/>
            <w:vAlign w:val="center"/>
          </w:tcPr>
          <w:p w14:paraId="28B9D1A1">
            <w:pPr>
              <w:pStyle w:val="63"/>
              <w:spacing w:beforeLines="0" w:afterLines="0" w:line="240" w:lineRule="auto"/>
              <w:ind w:firstLine="0"/>
              <w:rPr>
                <w:rFonts w:hint="eastAsia" w:ascii="Times New Roman"/>
                <w:snapToGrid w:val="0"/>
                <w:kern w:val="21"/>
                <w:sz w:val="21"/>
                <w:szCs w:val="21"/>
              </w:rPr>
            </w:pPr>
            <w:r>
              <w:rPr>
                <w:rFonts w:hint="eastAsia" w:ascii="Times New Roman"/>
                <w:snapToGrid w:val="0"/>
                <w:kern w:val="21"/>
                <w:sz w:val="21"/>
                <w:szCs w:val="21"/>
              </w:rPr>
              <w:t>油烟</w:t>
            </w:r>
            <w:r>
              <w:rPr>
                <w:rFonts w:ascii="Times New Roman"/>
                <w:snapToGrid w:val="0"/>
                <w:kern w:val="21"/>
                <w:sz w:val="21"/>
                <w:szCs w:val="21"/>
              </w:rPr>
              <w:t>（t/a）</w:t>
            </w:r>
          </w:p>
        </w:tc>
        <w:tc>
          <w:tcPr>
            <w:tcW w:w="1462" w:type="dxa"/>
            <w:vAlign w:val="center"/>
          </w:tcPr>
          <w:p w14:paraId="44F570D8">
            <w:pPr>
              <w:widowControl/>
              <w:jc w:val="center"/>
              <w:textAlignment w:val="center"/>
              <w:rPr>
                <w:rFonts w:hint="eastAsia"/>
                <w:bCs/>
                <w:sz w:val="21"/>
                <w:szCs w:val="21"/>
              </w:rPr>
            </w:pPr>
            <w:r>
              <w:rPr>
                <w:rFonts w:hint="eastAsia"/>
                <w:szCs w:val="21"/>
              </w:rPr>
              <w:t>0.000485</w:t>
            </w:r>
          </w:p>
        </w:tc>
        <w:tc>
          <w:tcPr>
            <w:tcW w:w="1250" w:type="dxa"/>
            <w:vAlign w:val="center"/>
          </w:tcPr>
          <w:p w14:paraId="7674437C">
            <w:pPr>
              <w:widowControl/>
              <w:jc w:val="center"/>
              <w:textAlignment w:val="center"/>
              <w:rPr>
                <w:rFonts w:hint="eastAsia" w:eastAsia="宋体"/>
                <w:szCs w:val="21"/>
                <w:lang w:val="en-US" w:eastAsia="zh-CN"/>
              </w:rPr>
            </w:pPr>
            <w:r>
              <w:rPr>
                <w:rFonts w:hint="eastAsia"/>
                <w:szCs w:val="21"/>
                <w:lang w:val="en-US" w:eastAsia="zh-CN"/>
              </w:rPr>
              <w:t>/</w:t>
            </w:r>
          </w:p>
        </w:tc>
        <w:tc>
          <w:tcPr>
            <w:tcW w:w="1488" w:type="dxa"/>
            <w:vAlign w:val="center"/>
          </w:tcPr>
          <w:p w14:paraId="4B75367E">
            <w:pPr>
              <w:pStyle w:val="63"/>
              <w:spacing w:beforeLines="0" w:afterLines="0" w:line="240" w:lineRule="auto"/>
              <w:ind w:firstLine="0"/>
              <w:rPr>
                <w:rFonts w:ascii="Times New Roman"/>
                <w:snapToGrid w:val="0"/>
                <w:kern w:val="21"/>
                <w:sz w:val="21"/>
                <w:szCs w:val="21"/>
              </w:rPr>
            </w:pPr>
            <w:r>
              <w:rPr>
                <w:rFonts w:hint="eastAsia" w:ascii="Times New Roman"/>
                <w:snapToGrid w:val="0"/>
                <w:kern w:val="21"/>
                <w:sz w:val="21"/>
                <w:szCs w:val="21"/>
              </w:rPr>
              <w:t>/</w:t>
            </w:r>
          </w:p>
        </w:tc>
        <w:tc>
          <w:tcPr>
            <w:tcW w:w="1487" w:type="dxa"/>
            <w:vAlign w:val="center"/>
          </w:tcPr>
          <w:p w14:paraId="0A61DAE0">
            <w:pPr>
              <w:widowControl/>
              <w:jc w:val="center"/>
              <w:textAlignment w:val="center"/>
              <w:rPr>
                <w:rFonts w:hint="eastAsia"/>
                <w:szCs w:val="21"/>
              </w:rPr>
            </w:pPr>
            <w:r>
              <w:rPr>
                <w:rFonts w:hint="eastAsia"/>
                <w:szCs w:val="21"/>
              </w:rPr>
              <w:t>0</w:t>
            </w:r>
          </w:p>
        </w:tc>
        <w:tc>
          <w:tcPr>
            <w:tcW w:w="1485" w:type="dxa"/>
            <w:vAlign w:val="center"/>
          </w:tcPr>
          <w:p w14:paraId="562B01B6">
            <w:pPr>
              <w:widowControl/>
              <w:jc w:val="center"/>
              <w:textAlignment w:val="center"/>
              <w:rPr>
                <w:rFonts w:hint="eastAsia"/>
                <w:bCs/>
                <w:szCs w:val="21"/>
              </w:rPr>
            </w:pPr>
            <w:r>
              <w:rPr>
                <w:rFonts w:hint="eastAsia"/>
                <w:szCs w:val="21"/>
              </w:rPr>
              <w:t>0.000485</w:t>
            </w:r>
          </w:p>
        </w:tc>
        <w:tc>
          <w:tcPr>
            <w:tcW w:w="1783" w:type="dxa"/>
            <w:vAlign w:val="center"/>
          </w:tcPr>
          <w:p w14:paraId="09CEDBE6">
            <w:pPr>
              <w:widowControl/>
              <w:jc w:val="center"/>
              <w:textAlignment w:val="center"/>
              <w:rPr>
                <w:rFonts w:hint="eastAsia"/>
                <w:szCs w:val="21"/>
              </w:rPr>
            </w:pPr>
            <w:r>
              <w:rPr>
                <w:rFonts w:hint="eastAsia"/>
                <w:szCs w:val="21"/>
              </w:rPr>
              <w:t>0</w:t>
            </w:r>
          </w:p>
        </w:tc>
        <w:tc>
          <w:tcPr>
            <w:tcW w:w="1219" w:type="dxa"/>
            <w:vAlign w:val="center"/>
          </w:tcPr>
          <w:p w14:paraId="5739C82D">
            <w:pPr>
              <w:jc w:val="center"/>
              <w:rPr>
                <w:rFonts w:hint="default" w:eastAsia="宋体"/>
                <w:snapToGrid w:val="0"/>
                <w:kern w:val="21"/>
                <w:szCs w:val="21"/>
                <w:lang w:val="en-US" w:eastAsia="zh-CN"/>
              </w:rPr>
            </w:pPr>
            <w:r>
              <w:rPr>
                <w:rFonts w:hint="eastAsia"/>
                <w:snapToGrid w:val="0"/>
                <w:kern w:val="21"/>
                <w:szCs w:val="21"/>
                <w:lang w:val="en-US" w:eastAsia="zh-CN"/>
              </w:rPr>
              <w:t>-0.000485</w:t>
            </w:r>
          </w:p>
        </w:tc>
      </w:tr>
      <w:tr w14:paraId="13E773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175" w:type="dxa"/>
            <w:vMerge w:val="restart"/>
            <w:vAlign w:val="center"/>
          </w:tcPr>
          <w:p w14:paraId="2C057D0F">
            <w:pPr>
              <w:pStyle w:val="63"/>
              <w:spacing w:before="31" w:after="31" w:line="240" w:lineRule="auto"/>
              <w:ind w:firstLine="0"/>
              <w:rPr>
                <w:rFonts w:ascii="Times New Roman"/>
                <w:snapToGrid w:val="0"/>
                <w:kern w:val="21"/>
                <w:sz w:val="21"/>
                <w:szCs w:val="21"/>
              </w:rPr>
            </w:pPr>
            <w:r>
              <w:rPr>
                <w:rFonts w:ascii="Times New Roman"/>
                <w:snapToGrid w:val="0"/>
                <w:kern w:val="21"/>
                <w:sz w:val="21"/>
                <w:szCs w:val="21"/>
              </w:rPr>
              <w:t>废水</w:t>
            </w:r>
          </w:p>
        </w:tc>
        <w:tc>
          <w:tcPr>
            <w:tcW w:w="2850" w:type="dxa"/>
            <w:vAlign w:val="center"/>
          </w:tcPr>
          <w:p w14:paraId="0472A7CA">
            <w:pPr>
              <w:widowControl/>
              <w:jc w:val="center"/>
              <w:rPr>
                <w:szCs w:val="21"/>
              </w:rPr>
            </w:pPr>
            <w:r>
              <w:rPr>
                <w:szCs w:val="21"/>
              </w:rPr>
              <w:t>废水量（m</w:t>
            </w:r>
            <w:r>
              <w:rPr>
                <w:szCs w:val="21"/>
                <w:vertAlign w:val="superscript"/>
              </w:rPr>
              <w:t>3</w:t>
            </w:r>
            <w:r>
              <w:rPr>
                <w:szCs w:val="21"/>
              </w:rPr>
              <w:t>/a）</w:t>
            </w:r>
          </w:p>
        </w:tc>
        <w:tc>
          <w:tcPr>
            <w:tcW w:w="1462" w:type="dxa"/>
            <w:vAlign w:val="center"/>
          </w:tcPr>
          <w:p w14:paraId="12305C47">
            <w:pPr>
              <w:widowControl/>
              <w:jc w:val="center"/>
              <w:textAlignment w:val="center"/>
              <w:rPr>
                <w:kern w:val="0"/>
                <w:szCs w:val="21"/>
                <w:lang w:bidi="ar"/>
              </w:rPr>
            </w:pPr>
            <w:r>
              <w:rPr>
                <w:rFonts w:hint="eastAsia"/>
                <w:kern w:val="0"/>
                <w:szCs w:val="21"/>
                <w:lang w:bidi="ar"/>
              </w:rPr>
              <w:t>798</w:t>
            </w:r>
          </w:p>
        </w:tc>
        <w:tc>
          <w:tcPr>
            <w:tcW w:w="1250" w:type="dxa"/>
            <w:vAlign w:val="center"/>
          </w:tcPr>
          <w:p w14:paraId="3309CD68">
            <w:pPr>
              <w:widowControl/>
              <w:jc w:val="center"/>
              <w:textAlignment w:val="center"/>
              <w:rPr>
                <w:rFonts w:hint="eastAsia" w:eastAsia="宋体"/>
                <w:kern w:val="0"/>
                <w:szCs w:val="21"/>
                <w:lang w:val="en-US" w:eastAsia="zh-CN" w:bidi="ar"/>
              </w:rPr>
            </w:pPr>
            <w:r>
              <w:rPr>
                <w:rFonts w:hint="eastAsia"/>
                <w:kern w:val="0"/>
                <w:szCs w:val="21"/>
                <w:lang w:val="en-US" w:eastAsia="zh-CN" w:bidi="ar"/>
              </w:rPr>
              <w:t>/</w:t>
            </w:r>
          </w:p>
        </w:tc>
        <w:tc>
          <w:tcPr>
            <w:tcW w:w="1488" w:type="dxa"/>
            <w:vAlign w:val="center"/>
          </w:tcPr>
          <w:p w14:paraId="48B0206D">
            <w:pPr>
              <w:pStyle w:val="63"/>
              <w:spacing w:beforeLines="0" w:afterLines="0" w:line="240" w:lineRule="auto"/>
              <w:ind w:firstLine="0"/>
              <w:rPr>
                <w:rFonts w:ascii="Times New Roman"/>
                <w:snapToGrid w:val="0"/>
                <w:kern w:val="21"/>
                <w:sz w:val="21"/>
                <w:szCs w:val="21"/>
              </w:rPr>
            </w:pPr>
            <w:r>
              <w:rPr>
                <w:rFonts w:ascii="Times New Roman"/>
                <w:snapToGrid w:val="0"/>
                <w:kern w:val="21"/>
                <w:sz w:val="21"/>
                <w:szCs w:val="21"/>
              </w:rPr>
              <w:t>/</w:t>
            </w:r>
          </w:p>
        </w:tc>
        <w:tc>
          <w:tcPr>
            <w:tcW w:w="1487" w:type="dxa"/>
            <w:vAlign w:val="center"/>
          </w:tcPr>
          <w:p w14:paraId="7621F9C5">
            <w:pPr>
              <w:widowControl/>
              <w:jc w:val="center"/>
              <w:textAlignment w:val="center"/>
              <w:rPr>
                <w:rFonts w:hint="default" w:eastAsia="宋体"/>
                <w:szCs w:val="21"/>
                <w:lang w:val="en-US" w:eastAsia="zh-CN"/>
              </w:rPr>
            </w:pPr>
            <w:r>
              <w:rPr>
                <w:rFonts w:hint="eastAsia"/>
                <w:szCs w:val="21"/>
                <w:lang w:val="en-US" w:eastAsia="zh-CN"/>
              </w:rPr>
              <w:t>660</w:t>
            </w:r>
          </w:p>
        </w:tc>
        <w:tc>
          <w:tcPr>
            <w:tcW w:w="1485" w:type="dxa"/>
            <w:vAlign w:val="center"/>
          </w:tcPr>
          <w:p w14:paraId="3F2BAF13">
            <w:pPr>
              <w:widowControl/>
              <w:jc w:val="center"/>
              <w:textAlignment w:val="center"/>
              <w:rPr>
                <w:szCs w:val="21"/>
              </w:rPr>
            </w:pPr>
            <w:r>
              <w:rPr>
                <w:rFonts w:hint="eastAsia"/>
                <w:kern w:val="0"/>
                <w:szCs w:val="21"/>
                <w:lang w:bidi="ar"/>
              </w:rPr>
              <w:t>798</w:t>
            </w:r>
          </w:p>
        </w:tc>
        <w:tc>
          <w:tcPr>
            <w:tcW w:w="1783" w:type="dxa"/>
            <w:vAlign w:val="center"/>
          </w:tcPr>
          <w:p w14:paraId="4A5924DC">
            <w:pPr>
              <w:widowControl/>
              <w:jc w:val="center"/>
              <w:textAlignment w:val="center"/>
              <w:rPr>
                <w:rFonts w:hint="default" w:eastAsia="宋体"/>
                <w:szCs w:val="21"/>
                <w:lang w:val="en-US" w:eastAsia="zh-CN"/>
              </w:rPr>
            </w:pPr>
            <w:r>
              <w:rPr>
                <w:rFonts w:hint="eastAsia"/>
                <w:szCs w:val="21"/>
              </w:rPr>
              <w:t>6</w:t>
            </w:r>
            <w:r>
              <w:rPr>
                <w:rFonts w:hint="eastAsia"/>
                <w:szCs w:val="21"/>
                <w:lang w:val="en-US" w:eastAsia="zh-CN"/>
              </w:rPr>
              <w:t>60</w:t>
            </w:r>
          </w:p>
        </w:tc>
        <w:tc>
          <w:tcPr>
            <w:tcW w:w="1219" w:type="dxa"/>
            <w:vAlign w:val="center"/>
          </w:tcPr>
          <w:p w14:paraId="2C9B6FAA">
            <w:pPr>
              <w:widowControl/>
              <w:jc w:val="center"/>
              <w:textAlignment w:val="center"/>
              <w:rPr>
                <w:rFonts w:hint="default" w:eastAsia="宋体"/>
                <w:szCs w:val="21"/>
                <w:lang w:val="en-US" w:eastAsia="zh-CN"/>
              </w:rPr>
            </w:pPr>
            <w:r>
              <w:rPr>
                <w:rFonts w:hint="eastAsia"/>
                <w:szCs w:val="21"/>
                <w:lang w:val="en-US" w:eastAsia="zh-CN"/>
              </w:rPr>
              <w:t>-138</w:t>
            </w:r>
          </w:p>
        </w:tc>
      </w:tr>
      <w:tr w14:paraId="682E7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175" w:type="dxa"/>
            <w:vMerge w:val="continue"/>
            <w:vAlign w:val="center"/>
          </w:tcPr>
          <w:p w14:paraId="642DA648">
            <w:pPr>
              <w:pStyle w:val="63"/>
              <w:spacing w:beforeLines="0" w:afterLines="0" w:line="240" w:lineRule="auto"/>
              <w:ind w:firstLine="0"/>
              <w:rPr>
                <w:rFonts w:ascii="Times New Roman"/>
                <w:snapToGrid w:val="0"/>
                <w:kern w:val="21"/>
                <w:sz w:val="21"/>
                <w:szCs w:val="21"/>
              </w:rPr>
            </w:pPr>
          </w:p>
        </w:tc>
        <w:tc>
          <w:tcPr>
            <w:tcW w:w="2850" w:type="dxa"/>
            <w:vAlign w:val="center"/>
          </w:tcPr>
          <w:p w14:paraId="692719CC">
            <w:pPr>
              <w:widowControl/>
              <w:jc w:val="center"/>
              <w:rPr>
                <w:szCs w:val="21"/>
              </w:rPr>
            </w:pPr>
            <w:r>
              <w:rPr>
                <w:szCs w:val="21"/>
              </w:rPr>
              <w:t>COD（t/a）</w:t>
            </w:r>
          </w:p>
        </w:tc>
        <w:tc>
          <w:tcPr>
            <w:tcW w:w="1462" w:type="dxa"/>
            <w:vAlign w:val="center"/>
          </w:tcPr>
          <w:p w14:paraId="779C5BD2">
            <w:pPr>
              <w:widowControl/>
              <w:kinsoku w:val="0"/>
              <w:autoSpaceDE w:val="0"/>
              <w:autoSpaceDN w:val="0"/>
              <w:adjustRightInd w:val="0"/>
              <w:snapToGrid w:val="0"/>
              <w:jc w:val="center"/>
              <w:textAlignment w:val="baseline"/>
              <w:rPr>
                <w:rFonts w:eastAsiaTheme="minorEastAsia"/>
                <w:snapToGrid w:val="0"/>
                <w:kern w:val="0"/>
                <w:szCs w:val="21"/>
              </w:rPr>
            </w:pPr>
            <w:r>
              <w:rPr>
                <w:rFonts w:hint="eastAsia" w:eastAsiaTheme="minorEastAsia"/>
                <w:snapToGrid w:val="0"/>
                <w:kern w:val="0"/>
                <w:szCs w:val="21"/>
              </w:rPr>
              <w:t>0.0319</w:t>
            </w:r>
          </w:p>
        </w:tc>
        <w:tc>
          <w:tcPr>
            <w:tcW w:w="1250" w:type="dxa"/>
            <w:vAlign w:val="center"/>
          </w:tcPr>
          <w:p w14:paraId="0FC702DD">
            <w:pPr>
              <w:widowControl/>
              <w:kinsoku w:val="0"/>
              <w:autoSpaceDE w:val="0"/>
              <w:autoSpaceDN w:val="0"/>
              <w:adjustRightInd w:val="0"/>
              <w:snapToGrid w:val="0"/>
              <w:jc w:val="center"/>
              <w:textAlignment w:val="baseline"/>
              <w:rPr>
                <w:rFonts w:hint="eastAsia" w:eastAsiaTheme="minorEastAsia"/>
                <w:snapToGrid w:val="0"/>
                <w:kern w:val="0"/>
                <w:szCs w:val="21"/>
                <w:lang w:val="en-US" w:eastAsia="zh-CN"/>
              </w:rPr>
            </w:pPr>
            <w:r>
              <w:rPr>
                <w:rFonts w:hint="eastAsia" w:eastAsiaTheme="minorEastAsia"/>
                <w:snapToGrid w:val="0"/>
                <w:kern w:val="0"/>
                <w:szCs w:val="21"/>
                <w:lang w:val="en-US" w:eastAsia="zh-CN"/>
              </w:rPr>
              <w:t>/</w:t>
            </w:r>
          </w:p>
        </w:tc>
        <w:tc>
          <w:tcPr>
            <w:tcW w:w="1488" w:type="dxa"/>
            <w:vAlign w:val="center"/>
          </w:tcPr>
          <w:p w14:paraId="64005356">
            <w:pPr>
              <w:pStyle w:val="63"/>
              <w:spacing w:beforeLines="0" w:afterLines="0" w:line="240" w:lineRule="auto"/>
              <w:ind w:firstLine="0"/>
              <w:rPr>
                <w:rFonts w:ascii="Times New Roman"/>
                <w:snapToGrid w:val="0"/>
                <w:kern w:val="21"/>
                <w:sz w:val="21"/>
                <w:szCs w:val="21"/>
              </w:rPr>
            </w:pPr>
            <w:r>
              <w:rPr>
                <w:rFonts w:ascii="Times New Roman"/>
                <w:snapToGrid w:val="0"/>
                <w:kern w:val="21"/>
                <w:sz w:val="21"/>
                <w:szCs w:val="21"/>
              </w:rPr>
              <w:t>/</w:t>
            </w:r>
          </w:p>
        </w:tc>
        <w:tc>
          <w:tcPr>
            <w:tcW w:w="1487" w:type="dxa"/>
            <w:vAlign w:val="center"/>
          </w:tcPr>
          <w:p w14:paraId="63B5FD14">
            <w:pPr>
              <w:widowControl/>
              <w:jc w:val="center"/>
              <w:textAlignment w:val="center"/>
              <w:rPr>
                <w:rFonts w:hint="default" w:eastAsia="宋体"/>
                <w:szCs w:val="21"/>
                <w:lang w:val="en-US" w:eastAsia="zh-CN"/>
              </w:rPr>
            </w:pPr>
            <w:r>
              <w:rPr>
                <w:rFonts w:hint="eastAsia"/>
                <w:szCs w:val="21"/>
              </w:rPr>
              <w:t>0.02</w:t>
            </w:r>
            <w:r>
              <w:rPr>
                <w:rFonts w:hint="eastAsia"/>
                <w:szCs w:val="21"/>
                <w:lang w:val="en-US" w:eastAsia="zh-CN"/>
              </w:rPr>
              <w:t>64</w:t>
            </w:r>
          </w:p>
        </w:tc>
        <w:tc>
          <w:tcPr>
            <w:tcW w:w="1485" w:type="dxa"/>
            <w:vAlign w:val="center"/>
          </w:tcPr>
          <w:p w14:paraId="0CF3AA10">
            <w:pPr>
              <w:widowControl/>
              <w:kinsoku w:val="0"/>
              <w:autoSpaceDE w:val="0"/>
              <w:autoSpaceDN w:val="0"/>
              <w:adjustRightInd w:val="0"/>
              <w:snapToGrid w:val="0"/>
              <w:jc w:val="center"/>
              <w:textAlignment w:val="baseline"/>
              <w:rPr>
                <w:szCs w:val="21"/>
              </w:rPr>
            </w:pPr>
            <w:r>
              <w:rPr>
                <w:rFonts w:hint="eastAsia" w:eastAsiaTheme="minorEastAsia"/>
                <w:snapToGrid w:val="0"/>
                <w:kern w:val="0"/>
                <w:szCs w:val="21"/>
              </w:rPr>
              <w:t>0.0319</w:t>
            </w:r>
          </w:p>
        </w:tc>
        <w:tc>
          <w:tcPr>
            <w:tcW w:w="1783" w:type="dxa"/>
            <w:vAlign w:val="center"/>
          </w:tcPr>
          <w:p w14:paraId="5AFC039B">
            <w:pPr>
              <w:widowControl/>
              <w:jc w:val="center"/>
              <w:textAlignment w:val="center"/>
              <w:rPr>
                <w:rFonts w:hint="default" w:eastAsia="宋体"/>
                <w:szCs w:val="21"/>
                <w:lang w:val="en-US" w:eastAsia="zh-CN"/>
              </w:rPr>
            </w:pPr>
            <w:r>
              <w:rPr>
                <w:rFonts w:hint="eastAsia"/>
                <w:szCs w:val="21"/>
              </w:rPr>
              <w:t>0.02</w:t>
            </w:r>
            <w:r>
              <w:rPr>
                <w:rFonts w:hint="eastAsia"/>
                <w:szCs w:val="21"/>
                <w:lang w:val="en-US" w:eastAsia="zh-CN"/>
              </w:rPr>
              <w:t>64</w:t>
            </w:r>
          </w:p>
        </w:tc>
        <w:tc>
          <w:tcPr>
            <w:tcW w:w="1219" w:type="dxa"/>
            <w:vAlign w:val="center"/>
          </w:tcPr>
          <w:p w14:paraId="4980BF96">
            <w:pPr>
              <w:widowControl/>
              <w:jc w:val="center"/>
              <w:textAlignment w:val="center"/>
              <w:rPr>
                <w:rFonts w:hint="default" w:eastAsia="宋体"/>
                <w:szCs w:val="21"/>
                <w:lang w:val="en-US" w:eastAsia="zh-CN"/>
              </w:rPr>
            </w:pPr>
            <w:r>
              <w:rPr>
                <w:rFonts w:hint="eastAsia"/>
                <w:szCs w:val="21"/>
                <w:lang w:val="en-US" w:eastAsia="zh-CN"/>
              </w:rPr>
              <w:t>-0.0055</w:t>
            </w:r>
          </w:p>
        </w:tc>
      </w:tr>
      <w:tr w14:paraId="2C574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75" w:type="dxa"/>
            <w:vMerge w:val="continue"/>
            <w:vAlign w:val="center"/>
          </w:tcPr>
          <w:p w14:paraId="7F482C3B">
            <w:pPr>
              <w:pStyle w:val="63"/>
              <w:spacing w:beforeLines="0" w:afterLines="0" w:line="240" w:lineRule="auto"/>
              <w:ind w:firstLine="0"/>
              <w:rPr>
                <w:rFonts w:ascii="Times New Roman"/>
                <w:snapToGrid w:val="0"/>
                <w:kern w:val="21"/>
                <w:sz w:val="21"/>
                <w:szCs w:val="21"/>
              </w:rPr>
            </w:pPr>
          </w:p>
        </w:tc>
        <w:tc>
          <w:tcPr>
            <w:tcW w:w="2850" w:type="dxa"/>
            <w:vAlign w:val="center"/>
          </w:tcPr>
          <w:p w14:paraId="39578E27">
            <w:pPr>
              <w:widowControl/>
              <w:jc w:val="center"/>
              <w:rPr>
                <w:szCs w:val="21"/>
              </w:rPr>
            </w:pPr>
            <w:r>
              <w:rPr>
                <w:szCs w:val="21"/>
              </w:rPr>
              <w:t>氨氮（t/a）</w:t>
            </w:r>
          </w:p>
        </w:tc>
        <w:tc>
          <w:tcPr>
            <w:tcW w:w="1462" w:type="dxa"/>
            <w:vAlign w:val="center"/>
          </w:tcPr>
          <w:p w14:paraId="777B19FA">
            <w:pPr>
              <w:widowControl/>
              <w:kinsoku w:val="0"/>
              <w:autoSpaceDE w:val="0"/>
              <w:autoSpaceDN w:val="0"/>
              <w:adjustRightInd w:val="0"/>
              <w:snapToGrid w:val="0"/>
              <w:jc w:val="center"/>
              <w:textAlignment w:val="baseline"/>
              <w:rPr>
                <w:rFonts w:eastAsiaTheme="minorEastAsia"/>
                <w:snapToGrid w:val="0"/>
                <w:kern w:val="0"/>
                <w:szCs w:val="21"/>
              </w:rPr>
            </w:pPr>
            <w:r>
              <w:rPr>
                <w:rFonts w:hint="eastAsia" w:eastAsiaTheme="minorEastAsia"/>
                <w:snapToGrid w:val="0"/>
                <w:kern w:val="0"/>
                <w:szCs w:val="21"/>
              </w:rPr>
              <w:t>0.0016</w:t>
            </w:r>
          </w:p>
        </w:tc>
        <w:tc>
          <w:tcPr>
            <w:tcW w:w="1250" w:type="dxa"/>
            <w:vAlign w:val="center"/>
          </w:tcPr>
          <w:p w14:paraId="7FE74E77">
            <w:pPr>
              <w:widowControl/>
              <w:kinsoku w:val="0"/>
              <w:autoSpaceDE w:val="0"/>
              <w:autoSpaceDN w:val="0"/>
              <w:adjustRightInd w:val="0"/>
              <w:snapToGrid w:val="0"/>
              <w:jc w:val="center"/>
              <w:textAlignment w:val="baseline"/>
              <w:rPr>
                <w:rFonts w:hint="eastAsia" w:eastAsiaTheme="minorEastAsia"/>
                <w:snapToGrid w:val="0"/>
                <w:kern w:val="0"/>
                <w:szCs w:val="21"/>
                <w:lang w:val="en-US" w:eastAsia="zh-CN"/>
              </w:rPr>
            </w:pPr>
            <w:r>
              <w:rPr>
                <w:rFonts w:hint="eastAsia" w:eastAsiaTheme="minorEastAsia"/>
                <w:snapToGrid w:val="0"/>
                <w:kern w:val="0"/>
                <w:szCs w:val="21"/>
                <w:lang w:val="en-US" w:eastAsia="zh-CN"/>
              </w:rPr>
              <w:t>/</w:t>
            </w:r>
          </w:p>
        </w:tc>
        <w:tc>
          <w:tcPr>
            <w:tcW w:w="1488" w:type="dxa"/>
            <w:vAlign w:val="center"/>
          </w:tcPr>
          <w:p w14:paraId="619221A6">
            <w:pPr>
              <w:pStyle w:val="63"/>
              <w:spacing w:beforeLines="0" w:afterLines="0" w:line="240" w:lineRule="auto"/>
              <w:ind w:firstLine="0"/>
              <w:rPr>
                <w:rFonts w:ascii="Times New Roman"/>
                <w:snapToGrid w:val="0"/>
                <w:kern w:val="21"/>
                <w:sz w:val="21"/>
                <w:szCs w:val="21"/>
              </w:rPr>
            </w:pPr>
            <w:r>
              <w:rPr>
                <w:rFonts w:ascii="Times New Roman"/>
                <w:snapToGrid w:val="0"/>
                <w:kern w:val="21"/>
                <w:sz w:val="21"/>
                <w:szCs w:val="21"/>
              </w:rPr>
              <w:t>/</w:t>
            </w:r>
          </w:p>
        </w:tc>
        <w:tc>
          <w:tcPr>
            <w:tcW w:w="1487" w:type="dxa"/>
            <w:vAlign w:val="center"/>
          </w:tcPr>
          <w:p w14:paraId="55793695">
            <w:pPr>
              <w:widowControl/>
              <w:jc w:val="center"/>
              <w:textAlignment w:val="center"/>
              <w:rPr>
                <w:szCs w:val="21"/>
              </w:rPr>
            </w:pPr>
            <w:r>
              <w:rPr>
                <w:rFonts w:hint="eastAsia"/>
                <w:szCs w:val="21"/>
              </w:rPr>
              <w:t>0.0013</w:t>
            </w:r>
          </w:p>
        </w:tc>
        <w:tc>
          <w:tcPr>
            <w:tcW w:w="1485" w:type="dxa"/>
            <w:vAlign w:val="center"/>
          </w:tcPr>
          <w:p w14:paraId="2419DADA">
            <w:pPr>
              <w:widowControl/>
              <w:kinsoku w:val="0"/>
              <w:autoSpaceDE w:val="0"/>
              <w:autoSpaceDN w:val="0"/>
              <w:adjustRightInd w:val="0"/>
              <w:snapToGrid w:val="0"/>
              <w:jc w:val="center"/>
              <w:textAlignment w:val="baseline"/>
              <w:rPr>
                <w:szCs w:val="21"/>
              </w:rPr>
            </w:pPr>
            <w:r>
              <w:rPr>
                <w:rFonts w:hint="eastAsia" w:eastAsiaTheme="minorEastAsia"/>
                <w:snapToGrid w:val="0"/>
                <w:kern w:val="0"/>
                <w:szCs w:val="21"/>
              </w:rPr>
              <w:t>0.0016</w:t>
            </w:r>
          </w:p>
        </w:tc>
        <w:tc>
          <w:tcPr>
            <w:tcW w:w="1783" w:type="dxa"/>
            <w:vAlign w:val="center"/>
          </w:tcPr>
          <w:p w14:paraId="0A5291F1">
            <w:pPr>
              <w:widowControl/>
              <w:jc w:val="center"/>
              <w:textAlignment w:val="center"/>
              <w:rPr>
                <w:szCs w:val="21"/>
              </w:rPr>
            </w:pPr>
            <w:r>
              <w:rPr>
                <w:rFonts w:hint="eastAsia"/>
                <w:szCs w:val="21"/>
              </w:rPr>
              <w:t>0.0013</w:t>
            </w:r>
          </w:p>
        </w:tc>
        <w:tc>
          <w:tcPr>
            <w:tcW w:w="1219" w:type="dxa"/>
            <w:vAlign w:val="center"/>
          </w:tcPr>
          <w:p w14:paraId="08FEA5F0">
            <w:pPr>
              <w:widowControl/>
              <w:jc w:val="center"/>
              <w:textAlignment w:val="center"/>
              <w:rPr>
                <w:rFonts w:hint="default" w:eastAsia="宋体"/>
                <w:szCs w:val="21"/>
                <w:lang w:val="en-US" w:eastAsia="zh-CN"/>
              </w:rPr>
            </w:pPr>
            <w:r>
              <w:rPr>
                <w:rFonts w:hint="eastAsia"/>
                <w:szCs w:val="21"/>
                <w:lang w:val="en-US" w:eastAsia="zh-CN"/>
              </w:rPr>
              <w:t>-0.0003</w:t>
            </w:r>
          </w:p>
        </w:tc>
      </w:tr>
      <w:tr w14:paraId="5DABB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175" w:type="dxa"/>
            <w:vMerge w:val="restart"/>
            <w:vAlign w:val="center"/>
          </w:tcPr>
          <w:p w14:paraId="58CE87C8">
            <w:pPr>
              <w:pStyle w:val="63"/>
              <w:spacing w:beforeLines="0" w:afterLines="0" w:line="240" w:lineRule="auto"/>
              <w:ind w:firstLine="0"/>
              <w:rPr>
                <w:rFonts w:ascii="Times New Roman"/>
                <w:snapToGrid w:val="0"/>
                <w:kern w:val="21"/>
                <w:sz w:val="21"/>
                <w:szCs w:val="21"/>
              </w:rPr>
            </w:pPr>
            <w:r>
              <w:rPr>
                <w:rFonts w:ascii="Times New Roman"/>
                <w:snapToGrid w:val="0"/>
                <w:kern w:val="21"/>
                <w:sz w:val="21"/>
                <w:szCs w:val="21"/>
              </w:rPr>
              <w:t>一般工业</w:t>
            </w:r>
          </w:p>
          <w:p w14:paraId="45C6F9CC">
            <w:pPr>
              <w:pStyle w:val="63"/>
              <w:spacing w:beforeLines="0" w:afterLines="0" w:line="240" w:lineRule="auto"/>
              <w:ind w:firstLine="0"/>
              <w:rPr>
                <w:rFonts w:ascii="Times New Roman"/>
                <w:snapToGrid w:val="0"/>
                <w:kern w:val="21"/>
                <w:sz w:val="21"/>
                <w:szCs w:val="21"/>
              </w:rPr>
            </w:pPr>
            <w:r>
              <w:rPr>
                <w:rFonts w:ascii="Times New Roman"/>
                <w:snapToGrid w:val="0"/>
                <w:kern w:val="21"/>
                <w:sz w:val="21"/>
                <w:szCs w:val="21"/>
              </w:rPr>
              <w:t>固体废物</w:t>
            </w:r>
          </w:p>
        </w:tc>
        <w:tc>
          <w:tcPr>
            <w:tcW w:w="2850" w:type="dxa"/>
            <w:vAlign w:val="center"/>
          </w:tcPr>
          <w:p w14:paraId="0F889CC0">
            <w:pPr>
              <w:jc w:val="center"/>
              <w:rPr>
                <w:bCs/>
                <w:szCs w:val="21"/>
              </w:rPr>
            </w:pPr>
            <w:r>
              <w:rPr>
                <w:rFonts w:hint="eastAsia"/>
                <w:bCs/>
                <w:szCs w:val="21"/>
              </w:rPr>
              <w:t>废玻璃边角料、不合格品</w:t>
            </w:r>
            <w:r>
              <w:rPr>
                <w:bCs/>
                <w:szCs w:val="21"/>
              </w:rPr>
              <w:t>（t</w:t>
            </w:r>
            <w:r>
              <w:rPr>
                <w:rFonts w:hint="eastAsia"/>
                <w:bCs/>
                <w:szCs w:val="21"/>
              </w:rPr>
              <w:t>/a</w:t>
            </w:r>
            <w:r>
              <w:rPr>
                <w:bCs/>
                <w:szCs w:val="21"/>
              </w:rPr>
              <w:t>）</w:t>
            </w:r>
          </w:p>
        </w:tc>
        <w:tc>
          <w:tcPr>
            <w:tcW w:w="1462" w:type="dxa"/>
            <w:vAlign w:val="center"/>
          </w:tcPr>
          <w:p w14:paraId="3B9CF4B5">
            <w:pPr>
              <w:adjustRightInd w:val="0"/>
              <w:snapToGrid w:val="0"/>
              <w:jc w:val="center"/>
              <w:rPr>
                <w:rFonts w:hint="default" w:eastAsia="宋体"/>
                <w:szCs w:val="21"/>
                <w:lang w:val="en-US" w:eastAsia="zh-CN"/>
              </w:rPr>
            </w:pPr>
            <w:r>
              <w:rPr>
                <w:rFonts w:hint="eastAsia"/>
                <w:szCs w:val="21"/>
                <w:lang w:val="en-US" w:eastAsia="zh-CN"/>
              </w:rPr>
              <w:t>370.6</w:t>
            </w:r>
          </w:p>
        </w:tc>
        <w:tc>
          <w:tcPr>
            <w:tcW w:w="1250" w:type="dxa"/>
            <w:vAlign w:val="center"/>
          </w:tcPr>
          <w:p w14:paraId="16B5B827">
            <w:pPr>
              <w:pStyle w:val="63"/>
              <w:spacing w:before="31" w:after="31" w:line="240" w:lineRule="auto"/>
              <w:ind w:firstLine="0"/>
              <w:rPr>
                <w:rFonts w:ascii="Times New Roman"/>
                <w:snapToGrid w:val="0"/>
                <w:kern w:val="21"/>
                <w:sz w:val="21"/>
                <w:szCs w:val="21"/>
              </w:rPr>
            </w:pPr>
            <w:r>
              <w:rPr>
                <w:rFonts w:hint="eastAsia" w:ascii="Times New Roman"/>
                <w:snapToGrid w:val="0"/>
                <w:kern w:val="21"/>
                <w:sz w:val="21"/>
                <w:szCs w:val="21"/>
              </w:rPr>
              <w:t>/</w:t>
            </w:r>
          </w:p>
        </w:tc>
        <w:tc>
          <w:tcPr>
            <w:tcW w:w="1488" w:type="dxa"/>
            <w:vAlign w:val="center"/>
          </w:tcPr>
          <w:p w14:paraId="6F1E429F">
            <w:pPr>
              <w:pStyle w:val="63"/>
              <w:spacing w:before="31" w:after="31" w:line="240" w:lineRule="auto"/>
              <w:ind w:firstLine="0"/>
              <w:rPr>
                <w:rFonts w:ascii="Times New Roman"/>
                <w:snapToGrid w:val="0"/>
                <w:kern w:val="21"/>
                <w:sz w:val="21"/>
                <w:szCs w:val="21"/>
              </w:rPr>
            </w:pPr>
            <w:r>
              <w:rPr>
                <w:rFonts w:hint="eastAsia" w:ascii="Times New Roman"/>
                <w:snapToGrid w:val="0"/>
                <w:kern w:val="21"/>
                <w:sz w:val="21"/>
                <w:szCs w:val="21"/>
              </w:rPr>
              <w:t>/</w:t>
            </w:r>
          </w:p>
        </w:tc>
        <w:tc>
          <w:tcPr>
            <w:tcW w:w="1487" w:type="dxa"/>
            <w:vAlign w:val="center"/>
          </w:tcPr>
          <w:p w14:paraId="644F9E35">
            <w:pPr>
              <w:adjustRightInd w:val="0"/>
              <w:snapToGrid w:val="0"/>
              <w:jc w:val="center"/>
              <w:rPr>
                <w:rFonts w:hint="default" w:eastAsia="宋体"/>
                <w:szCs w:val="21"/>
                <w:lang w:val="en-US" w:eastAsia="zh-CN"/>
              </w:rPr>
            </w:pPr>
            <w:r>
              <w:rPr>
                <w:rFonts w:hint="eastAsia"/>
                <w:kern w:val="0"/>
                <w:szCs w:val="21"/>
                <w:lang w:val="en-US" w:eastAsia="zh-CN"/>
              </w:rPr>
              <w:t>112.5</w:t>
            </w:r>
          </w:p>
        </w:tc>
        <w:tc>
          <w:tcPr>
            <w:tcW w:w="1485" w:type="dxa"/>
            <w:vAlign w:val="center"/>
          </w:tcPr>
          <w:p w14:paraId="594F9710">
            <w:pPr>
              <w:adjustRightInd w:val="0"/>
              <w:snapToGrid w:val="0"/>
              <w:jc w:val="center"/>
              <w:rPr>
                <w:szCs w:val="21"/>
              </w:rPr>
            </w:pPr>
            <w:r>
              <w:rPr>
                <w:rFonts w:hint="eastAsia"/>
                <w:szCs w:val="21"/>
                <w:lang w:val="en-US" w:eastAsia="zh-CN"/>
              </w:rPr>
              <w:t>370.6</w:t>
            </w:r>
          </w:p>
        </w:tc>
        <w:tc>
          <w:tcPr>
            <w:tcW w:w="1783" w:type="dxa"/>
            <w:vAlign w:val="center"/>
          </w:tcPr>
          <w:p w14:paraId="79F5B2CB">
            <w:pPr>
              <w:adjustRightInd w:val="0"/>
              <w:snapToGrid w:val="0"/>
              <w:jc w:val="center"/>
              <w:rPr>
                <w:rFonts w:hint="default" w:eastAsia="宋体"/>
                <w:szCs w:val="21"/>
                <w:lang w:val="en-US" w:eastAsia="zh-CN"/>
              </w:rPr>
            </w:pPr>
            <w:r>
              <w:rPr>
                <w:rFonts w:hint="eastAsia"/>
                <w:szCs w:val="21"/>
                <w:lang w:val="en-US" w:eastAsia="zh-CN"/>
              </w:rPr>
              <w:t>112.5</w:t>
            </w:r>
          </w:p>
        </w:tc>
        <w:tc>
          <w:tcPr>
            <w:tcW w:w="1219" w:type="dxa"/>
            <w:vAlign w:val="center"/>
          </w:tcPr>
          <w:p w14:paraId="76EA79EE">
            <w:pPr>
              <w:jc w:val="center"/>
              <w:rPr>
                <w:rFonts w:hint="default" w:eastAsia="宋体"/>
                <w:szCs w:val="21"/>
                <w:lang w:val="en-US" w:eastAsia="zh-CN"/>
              </w:rPr>
            </w:pPr>
            <w:r>
              <w:rPr>
                <w:rFonts w:hint="eastAsia"/>
                <w:szCs w:val="21"/>
                <w:lang w:val="en-US" w:eastAsia="zh-CN"/>
              </w:rPr>
              <w:t>-258.1</w:t>
            </w:r>
          </w:p>
        </w:tc>
      </w:tr>
      <w:tr w14:paraId="7DC2A5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175" w:type="dxa"/>
            <w:vMerge w:val="continue"/>
            <w:vAlign w:val="center"/>
          </w:tcPr>
          <w:p w14:paraId="3FB1F62B">
            <w:pPr>
              <w:pStyle w:val="63"/>
              <w:spacing w:beforeLines="0" w:afterLines="0" w:line="240" w:lineRule="auto"/>
              <w:ind w:firstLine="0"/>
              <w:rPr>
                <w:rFonts w:ascii="Times New Roman"/>
                <w:snapToGrid w:val="0"/>
                <w:kern w:val="21"/>
                <w:sz w:val="21"/>
                <w:szCs w:val="21"/>
              </w:rPr>
            </w:pPr>
          </w:p>
        </w:tc>
        <w:tc>
          <w:tcPr>
            <w:tcW w:w="2850" w:type="dxa"/>
            <w:vAlign w:val="center"/>
          </w:tcPr>
          <w:p w14:paraId="03454EAB">
            <w:pPr>
              <w:jc w:val="center"/>
              <w:rPr>
                <w:bCs/>
                <w:szCs w:val="21"/>
              </w:rPr>
            </w:pPr>
            <w:r>
              <w:rPr>
                <w:rFonts w:hint="eastAsia"/>
                <w:bCs/>
                <w:szCs w:val="21"/>
              </w:rPr>
              <w:t>废铝条</w:t>
            </w:r>
          </w:p>
        </w:tc>
        <w:tc>
          <w:tcPr>
            <w:tcW w:w="1462" w:type="dxa"/>
            <w:vAlign w:val="center"/>
          </w:tcPr>
          <w:p w14:paraId="7A2D1D9A">
            <w:pPr>
              <w:adjustRightInd w:val="0"/>
              <w:snapToGrid w:val="0"/>
              <w:jc w:val="center"/>
              <w:rPr>
                <w:rFonts w:hint="eastAsia" w:eastAsia="宋体"/>
                <w:szCs w:val="21"/>
                <w:lang w:eastAsia="zh-CN"/>
              </w:rPr>
            </w:pPr>
            <w:r>
              <w:rPr>
                <w:rFonts w:hint="eastAsia"/>
                <w:szCs w:val="21"/>
                <w:lang w:val="en-US" w:eastAsia="zh-CN"/>
              </w:rPr>
              <w:t>/</w:t>
            </w:r>
          </w:p>
        </w:tc>
        <w:tc>
          <w:tcPr>
            <w:tcW w:w="1250" w:type="dxa"/>
            <w:vAlign w:val="center"/>
          </w:tcPr>
          <w:p w14:paraId="6A37EE49">
            <w:pPr>
              <w:pStyle w:val="63"/>
              <w:spacing w:before="31" w:after="31" w:line="240" w:lineRule="auto"/>
              <w:ind w:firstLine="0"/>
              <w:rPr>
                <w:rFonts w:ascii="Times New Roman"/>
                <w:snapToGrid w:val="0"/>
                <w:kern w:val="21"/>
                <w:sz w:val="21"/>
                <w:szCs w:val="21"/>
              </w:rPr>
            </w:pPr>
            <w:r>
              <w:rPr>
                <w:rFonts w:hint="eastAsia" w:ascii="Times New Roman"/>
                <w:snapToGrid w:val="0"/>
                <w:kern w:val="21"/>
                <w:sz w:val="21"/>
                <w:szCs w:val="21"/>
              </w:rPr>
              <w:t>/</w:t>
            </w:r>
          </w:p>
        </w:tc>
        <w:tc>
          <w:tcPr>
            <w:tcW w:w="1488" w:type="dxa"/>
            <w:vAlign w:val="center"/>
          </w:tcPr>
          <w:p w14:paraId="4F6AFCB2">
            <w:pPr>
              <w:pStyle w:val="63"/>
              <w:spacing w:before="31" w:after="31" w:line="240" w:lineRule="auto"/>
              <w:ind w:firstLine="0"/>
              <w:rPr>
                <w:rFonts w:ascii="Times New Roman"/>
                <w:snapToGrid w:val="0"/>
                <w:kern w:val="21"/>
                <w:sz w:val="21"/>
                <w:szCs w:val="21"/>
              </w:rPr>
            </w:pPr>
            <w:r>
              <w:rPr>
                <w:rFonts w:hint="eastAsia" w:ascii="Times New Roman"/>
                <w:snapToGrid w:val="0"/>
                <w:kern w:val="21"/>
                <w:sz w:val="21"/>
                <w:szCs w:val="21"/>
              </w:rPr>
              <w:t>/</w:t>
            </w:r>
          </w:p>
        </w:tc>
        <w:tc>
          <w:tcPr>
            <w:tcW w:w="1487" w:type="dxa"/>
            <w:vAlign w:val="center"/>
          </w:tcPr>
          <w:p w14:paraId="63DBB8A1">
            <w:pPr>
              <w:adjustRightInd w:val="0"/>
              <w:snapToGrid w:val="0"/>
              <w:jc w:val="center"/>
              <w:rPr>
                <w:kern w:val="0"/>
                <w:szCs w:val="21"/>
              </w:rPr>
            </w:pPr>
            <w:r>
              <w:rPr>
                <w:rFonts w:hint="eastAsia"/>
                <w:kern w:val="0"/>
                <w:szCs w:val="21"/>
              </w:rPr>
              <w:t>0.2</w:t>
            </w:r>
          </w:p>
        </w:tc>
        <w:tc>
          <w:tcPr>
            <w:tcW w:w="1485" w:type="dxa"/>
            <w:vAlign w:val="center"/>
          </w:tcPr>
          <w:p w14:paraId="45FEB10C">
            <w:pPr>
              <w:adjustRightInd w:val="0"/>
              <w:snapToGrid w:val="0"/>
              <w:jc w:val="center"/>
              <w:rPr>
                <w:kern w:val="0"/>
                <w:szCs w:val="21"/>
              </w:rPr>
            </w:pPr>
            <w:r>
              <w:rPr>
                <w:rFonts w:hint="eastAsia"/>
                <w:kern w:val="0"/>
                <w:szCs w:val="21"/>
              </w:rPr>
              <w:t>0</w:t>
            </w:r>
          </w:p>
        </w:tc>
        <w:tc>
          <w:tcPr>
            <w:tcW w:w="1783" w:type="dxa"/>
            <w:vAlign w:val="center"/>
          </w:tcPr>
          <w:p w14:paraId="145C56B8">
            <w:pPr>
              <w:adjustRightInd w:val="0"/>
              <w:snapToGrid w:val="0"/>
              <w:jc w:val="center"/>
              <w:rPr>
                <w:szCs w:val="21"/>
              </w:rPr>
            </w:pPr>
            <w:r>
              <w:rPr>
                <w:rFonts w:hint="eastAsia"/>
                <w:szCs w:val="21"/>
              </w:rPr>
              <w:t>0.2</w:t>
            </w:r>
          </w:p>
        </w:tc>
        <w:tc>
          <w:tcPr>
            <w:tcW w:w="1219" w:type="dxa"/>
            <w:vAlign w:val="center"/>
          </w:tcPr>
          <w:p w14:paraId="6D3D335A">
            <w:pPr>
              <w:jc w:val="center"/>
              <w:rPr>
                <w:szCs w:val="21"/>
              </w:rPr>
            </w:pPr>
            <w:r>
              <w:rPr>
                <w:rFonts w:hint="eastAsia"/>
                <w:szCs w:val="21"/>
              </w:rPr>
              <w:t>+0.2</w:t>
            </w:r>
          </w:p>
        </w:tc>
      </w:tr>
      <w:tr w14:paraId="48AB51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175" w:type="dxa"/>
            <w:vMerge w:val="continue"/>
            <w:vAlign w:val="center"/>
          </w:tcPr>
          <w:p w14:paraId="0F7A6390">
            <w:pPr>
              <w:pStyle w:val="63"/>
              <w:spacing w:beforeLines="0" w:afterLines="0" w:line="240" w:lineRule="auto"/>
              <w:ind w:firstLine="0"/>
              <w:rPr>
                <w:rFonts w:ascii="Times New Roman"/>
                <w:snapToGrid w:val="0"/>
                <w:kern w:val="21"/>
                <w:sz w:val="21"/>
                <w:szCs w:val="21"/>
              </w:rPr>
            </w:pPr>
          </w:p>
        </w:tc>
        <w:tc>
          <w:tcPr>
            <w:tcW w:w="2850" w:type="dxa"/>
            <w:vAlign w:val="center"/>
          </w:tcPr>
          <w:p w14:paraId="363F2A77">
            <w:pPr>
              <w:jc w:val="center"/>
              <w:rPr>
                <w:bCs/>
                <w:szCs w:val="21"/>
              </w:rPr>
            </w:pPr>
            <w:r>
              <w:rPr>
                <w:rFonts w:hint="eastAsia"/>
                <w:bCs/>
                <w:szCs w:val="21"/>
              </w:rPr>
              <w:t>沉淀池玻璃沉渣</w:t>
            </w:r>
            <w:r>
              <w:rPr>
                <w:bCs/>
                <w:szCs w:val="21"/>
              </w:rPr>
              <w:t>（t</w:t>
            </w:r>
            <w:r>
              <w:rPr>
                <w:rFonts w:hint="eastAsia"/>
                <w:bCs/>
                <w:szCs w:val="21"/>
              </w:rPr>
              <w:t>/a</w:t>
            </w:r>
            <w:r>
              <w:rPr>
                <w:bCs/>
                <w:szCs w:val="21"/>
              </w:rPr>
              <w:t>）</w:t>
            </w:r>
          </w:p>
        </w:tc>
        <w:tc>
          <w:tcPr>
            <w:tcW w:w="1462" w:type="dxa"/>
            <w:vAlign w:val="center"/>
          </w:tcPr>
          <w:p w14:paraId="6E719866">
            <w:pPr>
              <w:adjustRightInd w:val="0"/>
              <w:snapToGrid w:val="0"/>
              <w:jc w:val="center"/>
              <w:rPr>
                <w:rFonts w:hint="default" w:eastAsia="宋体"/>
                <w:szCs w:val="21"/>
                <w:lang w:val="en-US" w:eastAsia="zh-CN"/>
              </w:rPr>
            </w:pPr>
            <w:r>
              <w:rPr>
                <w:rFonts w:hint="eastAsia"/>
                <w:szCs w:val="21"/>
                <w:lang w:val="en-US" w:eastAsia="zh-CN"/>
              </w:rPr>
              <w:t>0.6</w:t>
            </w:r>
          </w:p>
        </w:tc>
        <w:tc>
          <w:tcPr>
            <w:tcW w:w="1250" w:type="dxa"/>
            <w:vAlign w:val="center"/>
          </w:tcPr>
          <w:p w14:paraId="1ADFC415">
            <w:pPr>
              <w:pStyle w:val="63"/>
              <w:spacing w:before="31" w:after="31" w:line="240" w:lineRule="auto"/>
              <w:ind w:firstLine="0"/>
              <w:rPr>
                <w:rFonts w:ascii="Times New Roman"/>
                <w:snapToGrid w:val="0"/>
                <w:kern w:val="21"/>
                <w:sz w:val="21"/>
                <w:szCs w:val="21"/>
              </w:rPr>
            </w:pPr>
            <w:r>
              <w:rPr>
                <w:rFonts w:hint="eastAsia" w:ascii="Times New Roman"/>
                <w:snapToGrid w:val="0"/>
                <w:kern w:val="21"/>
                <w:sz w:val="21"/>
                <w:szCs w:val="21"/>
              </w:rPr>
              <w:t>/</w:t>
            </w:r>
          </w:p>
        </w:tc>
        <w:tc>
          <w:tcPr>
            <w:tcW w:w="1488" w:type="dxa"/>
            <w:vAlign w:val="center"/>
          </w:tcPr>
          <w:p w14:paraId="660FE82C">
            <w:pPr>
              <w:pStyle w:val="63"/>
              <w:spacing w:before="31" w:after="31" w:line="240" w:lineRule="auto"/>
              <w:ind w:firstLine="0"/>
              <w:rPr>
                <w:rFonts w:ascii="Times New Roman"/>
                <w:snapToGrid w:val="0"/>
                <w:kern w:val="21"/>
                <w:sz w:val="21"/>
                <w:szCs w:val="21"/>
              </w:rPr>
            </w:pPr>
            <w:r>
              <w:rPr>
                <w:rFonts w:hint="eastAsia" w:ascii="Times New Roman"/>
                <w:snapToGrid w:val="0"/>
                <w:kern w:val="21"/>
                <w:sz w:val="21"/>
                <w:szCs w:val="21"/>
              </w:rPr>
              <w:t>/</w:t>
            </w:r>
          </w:p>
        </w:tc>
        <w:tc>
          <w:tcPr>
            <w:tcW w:w="1487" w:type="dxa"/>
            <w:vAlign w:val="center"/>
          </w:tcPr>
          <w:p w14:paraId="655A7AAB">
            <w:pPr>
              <w:adjustRightInd w:val="0"/>
              <w:snapToGrid w:val="0"/>
              <w:jc w:val="center"/>
              <w:rPr>
                <w:kern w:val="0"/>
                <w:szCs w:val="21"/>
              </w:rPr>
            </w:pPr>
            <w:r>
              <w:rPr>
                <w:rFonts w:hint="eastAsia"/>
                <w:kern w:val="0"/>
                <w:szCs w:val="21"/>
              </w:rPr>
              <w:t>0.6</w:t>
            </w:r>
          </w:p>
        </w:tc>
        <w:tc>
          <w:tcPr>
            <w:tcW w:w="1485" w:type="dxa"/>
            <w:vAlign w:val="center"/>
          </w:tcPr>
          <w:p w14:paraId="4C5BF784">
            <w:pPr>
              <w:adjustRightInd w:val="0"/>
              <w:snapToGrid w:val="0"/>
              <w:jc w:val="center"/>
              <w:rPr>
                <w:rFonts w:hint="default" w:eastAsia="宋体"/>
                <w:kern w:val="0"/>
                <w:szCs w:val="21"/>
                <w:lang w:val="en-US" w:eastAsia="zh-CN"/>
              </w:rPr>
            </w:pPr>
            <w:r>
              <w:rPr>
                <w:rFonts w:hint="eastAsia"/>
                <w:kern w:val="0"/>
                <w:szCs w:val="21"/>
                <w:lang w:val="en-US" w:eastAsia="zh-CN"/>
              </w:rPr>
              <w:t>0.6</w:t>
            </w:r>
          </w:p>
        </w:tc>
        <w:tc>
          <w:tcPr>
            <w:tcW w:w="1783" w:type="dxa"/>
            <w:vAlign w:val="center"/>
          </w:tcPr>
          <w:p w14:paraId="278E1458">
            <w:pPr>
              <w:adjustRightInd w:val="0"/>
              <w:snapToGrid w:val="0"/>
              <w:jc w:val="center"/>
              <w:rPr>
                <w:szCs w:val="21"/>
              </w:rPr>
            </w:pPr>
            <w:r>
              <w:rPr>
                <w:rFonts w:hint="eastAsia"/>
                <w:szCs w:val="21"/>
              </w:rPr>
              <w:t>0.6</w:t>
            </w:r>
          </w:p>
        </w:tc>
        <w:tc>
          <w:tcPr>
            <w:tcW w:w="1219" w:type="dxa"/>
            <w:vAlign w:val="center"/>
          </w:tcPr>
          <w:p w14:paraId="45920692">
            <w:pPr>
              <w:jc w:val="center"/>
              <w:rPr>
                <w:rFonts w:hint="eastAsia" w:eastAsia="宋体"/>
                <w:szCs w:val="21"/>
                <w:lang w:val="en-US" w:eastAsia="zh-CN"/>
              </w:rPr>
            </w:pPr>
            <w:r>
              <w:rPr>
                <w:rFonts w:hint="eastAsia"/>
                <w:szCs w:val="21"/>
                <w:lang w:val="en-US" w:eastAsia="zh-CN"/>
              </w:rPr>
              <w:t>0</w:t>
            </w:r>
          </w:p>
        </w:tc>
      </w:tr>
      <w:tr w14:paraId="0E4F1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175" w:type="dxa"/>
            <w:vMerge w:val="continue"/>
            <w:vAlign w:val="center"/>
          </w:tcPr>
          <w:p w14:paraId="715731AB">
            <w:pPr>
              <w:pStyle w:val="63"/>
              <w:spacing w:beforeLines="0" w:afterLines="0" w:line="240" w:lineRule="auto"/>
              <w:ind w:firstLine="0"/>
              <w:rPr>
                <w:rFonts w:ascii="Times New Roman"/>
                <w:snapToGrid w:val="0"/>
                <w:kern w:val="21"/>
                <w:sz w:val="21"/>
                <w:szCs w:val="21"/>
              </w:rPr>
            </w:pPr>
          </w:p>
        </w:tc>
        <w:tc>
          <w:tcPr>
            <w:tcW w:w="2850" w:type="dxa"/>
            <w:vAlign w:val="center"/>
          </w:tcPr>
          <w:p w14:paraId="7C0305AC">
            <w:pPr>
              <w:jc w:val="center"/>
              <w:rPr>
                <w:rFonts w:hint="eastAsia"/>
                <w:bCs/>
                <w:szCs w:val="21"/>
              </w:rPr>
            </w:pPr>
            <w:r>
              <w:rPr>
                <w:rFonts w:hint="eastAsia"/>
                <w:szCs w:val="21"/>
                <w:u w:val="none"/>
              </w:rPr>
              <w:t>废滤材</w:t>
            </w:r>
            <w:r>
              <w:rPr>
                <w:bCs/>
                <w:szCs w:val="21"/>
              </w:rPr>
              <w:t>（t</w:t>
            </w:r>
            <w:r>
              <w:rPr>
                <w:rFonts w:hint="eastAsia"/>
                <w:bCs/>
                <w:szCs w:val="21"/>
              </w:rPr>
              <w:t>/a</w:t>
            </w:r>
            <w:r>
              <w:rPr>
                <w:bCs/>
                <w:szCs w:val="21"/>
              </w:rPr>
              <w:t>）</w:t>
            </w:r>
          </w:p>
        </w:tc>
        <w:tc>
          <w:tcPr>
            <w:tcW w:w="1462" w:type="dxa"/>
            <w:vAlign w:val="center"/>
          </w:tcPr>
          <w:p w14:paraId="75A878F2">
            <w:pPr>
              <w:adjustRightInd w:val="0"/>
              <w:snapToGrid w:val="0"/>
              <w:jc w:val="center"/>
              <w:rPr>
                <w:rFonts w:hint="eastAsia" w:eastAsia="宋体"/>
                <w:szCs w:val="21"/>
                <w:lang w:val="en-US" w:eastAsia="zh-CN"/>
              </w:rPr>
            </w:pPr>
            <w:r>
              <w:rPr>
                <w:rFonts w:hint="eastAsia"/>
                <w:szCs w:val="21"/>
                <w:lang w:val="en-US" w:eastAsia="zh-CN"/>
              </w:rPr>
              <w:t>/</w:t>
            </w:r>
          </w:p>
        </w:tc>
        <w:tc>
          <w:tcPr>
            <w:tcW w:w="1250" w:type="dxa"/>
            <w:vAlign w:val="center"/>
          </w:tcPr>
          <w:p w14:paraId="617EE6AB">
            <w:pPr>
              <w:pStyle w:val="63"/>
              <w:spacing w:before="31" w:after="31" w:line="240" w:lineRule="auto"/>
              <w:ind w:firstLine="0"/>
              <w:rPr>
                <w:rFonts w:hint="eastAsia" w:ascii="Times New Roman" w:eastAsia="宋体"/>
                <w:snapToGrid w:val="0"/>
                <w:kern w:val="21"/>
                <w:sz w:val="21"/>
                <w:szCs w:val="21"/>
                <w:lang w:val="en-US" w:eastAsia="zh-CN"/>
              </w:rPr>
            </w:pPr>
            <w:r>
              <w:rPr>
                <w:rFonts w:hint="eastAsia" w:ascii="Times New Roman"/>
                <w:snapToGrid w:val="0"/>
                <w:kern w:val="21"/>
                <w:sz w:val="21"/>
                <w:szCs w:val="21"/>
                <w:lang w:val="en-US" w:eastAsia="zh-CN"/>
              </w:rPr>
              <w:t>/</w:t>
            </w:r>
          </w:p>
        </w:tc>
        <w:tc>
          <w:tcPr>
            <w:tcW w:w="1488" w:type="dxa"/>
            <w:vAlign w:val="center"/>
          </w:tcPr>
          <w:p w14:paraId="7B1951C3">
            <w:pPr>
              <w:pStyle w:val="63"/>
              <w:spacing w:before="31" w:after="31" w:line="240" w:lineRule="auto"/>
              <w:ind w:firstLine="0"/>
              <w:rPr>
                <w:rFonts w:hint="eastAsia" w:ascii="Times New Roman" w:eastAsia="宋体"/>
                <w:snapToGrid w:val="0"/>
                <w:kern w:val="21"/>
                <w:sz w:val="21"/>
                <w:szCs w:val="21"/>
                <w:lang w:val="en-US" w:eastAsia="zh-CN"/>
              </w:rPr>
            </w:pPr>
            <w:r>
              <w:rPr>
                <w:rFonts w:hint="eastAsia" w:ascii="Times New Roman"/>
                <w:snapToGrid w:val="0"/>
                <w:kern w:val="21"/>
                <w:sz w:val="21"/>
                <w:szCs w:val="21"/>
                <w:lang w:val="en-US" w:eastAsia="zh-CN"/>
              </w:rPr>
              <w:t>/</w:t>
            </w:r>
          </w:p>
        </w:tc>
        <w:tc>
          <w:tcPr>
            <w:tcW w:w="1487" w:type="dxa"/>
            <w:vAlign w:val="center"/>
          </w:tcPr>
          <w:p w14:paraId="584FEED2">
            <w:pPr>
              <w:adjustRightInd w:val="0"/>
              <w:snapToGrid w:val="0"/>
              <w:jc w:val="center"/>
              <w:rPr>
                <w:rFonts w:hint="default" w:eastAsia="宋体"/>
                <w:kern w:val="0"/>
                <w:szCs w:val="21"/>
                <w:lang w:val="en-US" w:eastAsia="zh-CN"/>
              </w:rPr>
            </w:pPr>
            <w:r>
              <w:rPr>
                <w:rFonts w:hint="eastAsia"/>
                <w:kern w:val="0"/>
                <w:szCs w:val="21"/>
                <w:lang w:val="en-US" w:eastAsia="zh-CN"/>
              </w:rPr>
              <w:t>0.2</w:t>
            </w:r>
          </w:p>
        </w:tc>
        <w:tc>
          <w:tcPr>
            <w:tcW w:w="1485" w:type="dxa"/>
            <w:vAlign w:val="center"/>
          </w:tcPr>
          <w:p w14:paraId="37AE6361">
            <w:pPr>
              <w:adjustRightInd w:val="0"/>
              <w:snapToGrid w:val="0"/>
              <w:jc w:val="center"/>
              <w:rPr>
                <w:rFonts w:hint="eastAsia" w:eastAsia="宋体"/>
                <w:kern w:val="0"/>
                <w:szCs w:val="21"/>
                <w:lang w:val="en-US" w:eastAsia="zh-CN"/>
              </w:rPr>
            </w:pPr>
            <w:r>
              <w:rPr>
                <w:rFonts w:hint="eastAsia"/>
                <w:kern w:val="0"/>
                <w:szCs w:val="21"/>
                <w:lang w:val="en-US" w:eastAsia="zh-CN"/>
              </w:rPr>
              <w:t>0</w:t>
            </w:r>
          </w:p>
        </w:tc>
        <w:tc>
          <w:tcPr>
            <w:tcW w:w="1783" w:type="dxa"/>
            <w:vAlign w:val="center"/>
          </w:tcPr>
          <w:p w14:paraId="2D5D96EB">
            <w:pPr>
              <w:adjustRightInd w:val="0"/>
              <w:snapToGrid w:val="0"/>
              <w:jc w:val="center"/>
              <w:rPr>
                <w:rFonts w:hint="default" w:eastAsia="宋体"/>
                <w:szCs w:val="21"/>
                <w:lang w:val="en-US" w:eastAsia="zh-CN"/>
              </w:rPr>
            </w:pPr>
            <w:r>
              <w:rPr>
                <w:rFonts w:hint="eastAsia"/>
                <w:szCs w:val="21"/>
                <w:lang w:val="en-US" w:eastAsia="zh-CN"/>
              </w:rPr>
              <w:t>0.2</w:t>
            </w:r>
          </w:p>
        </w:tc>
        <w:tc>
          <w:tcPr>
            <w:tcW w:w="1219" w:type="dxa"/>
            <w:vAlign w:val="center"/>
          </w:tcPr>
          <w:p w14:paraId="2E5AC7CA">
            <w:pPr>
              <w:jc w:val="center"/>
              <w:rPr>
                <w:rFonts w:hint="default" w:eastAsia="宋体"/>
                <w:szCs w:val="21"/>
                <w:lang w:val="en-US" w:eastAsia="zh-CN"/>
              </w:rPr>
            </w:pPr>
            <w:r>
              <w:rPr>
                <w:rFonts w:hint="eastAsia"/>
                <w:szCs w:val="21"/>
                <w:lang w:val="en-US" w:eastAsia="zh-CN"/>
              </w:rPr>
              <w:t>+0.2</w:t>
            </w:r>
          </w:p>
        </w:tc>
      </w:tr>
      <w:tr w14:paraId="773B2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175" w:type="dxa"/>
            <w:vMerge w:val="continue"/>
            <w:vAlign w:val="center"/>
          </w:tcPr>
          <w:p w14:paraId="479249B8">
            <w:pPr>
              <w:pStyle w:val="63"/>
              <w:spacing w:beforeLines="0" w:afterLines="0" w:line="240" w:lineRule="auto"/>
              <w:ind w:firstLine="0"/>
              <w:rPr>
                <w:rFonts w:ascii="Times New Roman"/>
                <w:snapToGrid w:val="0"/>
                <w:kern w:val="21"/>
                <w:sz w:val="21"/>
                <w:szCs w:val="21"/>
              </w:rPr>
            </w:pPr>
          </w:p>
        </w:tc>
        <w:tc>
          <w:tcPr>
            <w:tcW w:w="2850" w:type="dxa"/>
            <w:vAlign w:val="center"/>
          </w:tcPr>
          <w:p w14:paraId="606515CE">
            <w:pPr>
              <w:jc w:val="center"/>
              <w:rPr>
                <w:rFonts w:hint="eastAsia" w:eastAsia="宋体"/>
                <w:szCs w:val="21"/>
                <w:u w:val="none"/>
                <w:lang w:eastAsia="zh-CN"/>
              </w:rPr>
            </w:pPr>
            <w:r>
              <w:rPr>
                <w:rFonts w:hint="eastAsia"/>
                <w:szCs w:val="21"/>
                <w:u w:val="none"/>
              </w:rPr>
              <w:t>未沾染胶的废胶桶</w:t>
            </w:r>
            <w:r>
              <w:rPr>
                <w:rFonts w:hint="eastAsia"/>
                <w:szCs w:val="21"/>
                <w:u w:val="none"/>
                <w:lang w:eastAsia="zh-CN"/>
              </w:rPr>
              <w:t>（</w:t>
            </w:r>
            <w:r>
              <w:rPr>
                <w:rFonts w:hint="eastAsia"/>
                <w:szCs w:val="21"/>
                <w:u w:val="none"/>
                <w:lang w:val="en-US" w:eastAsia="zh-CN"/>
              </w:rPr>
              <w:t>t/a</w:t>
            </w:r>
            <w:r>
              <w:rPr>
                <w:rFonts w:hint="eastAsia"/>
                <w:szCs w:val="21"/>
                <w:u w:val="none"/>
                <w:lang w:eastAsia="zh-CN"/>
              </w:rPr>
              <w:t>）</w:t>
            </w:r>
          </w:p>
        </w:tc>
        <w:tc>
          <w:tcPr>
            <w:tcW w:w="1462" w:type="dxa"/>
            <w:vAlign w:val="center"/>
          </w:tcPr>
          <w:p w14:paraId="7D27DA8E">
            <w:pPr>
              <w:adjustRightInd w:val="0"/>
              <w:snapToGrid w:val="0"/>
              <w:jc w:val="center"/>
              <w:rPr>
                <w:rFonts w:hint="default"/>
                <w:szCs w:val="21"/>
                <w:lang w:val="en-US" w:eastAsia="zh-CN"/>
              </w:rPr>
            </w:pPr>
            <w:r>
              <w:rPr>
                <w:rFonts w:hint="eastAsia"/>
                <w:szCs w:val="21"/>
                <w:lang w:val="en-US" w:eastAsia="zh-CN"/>
              </w:rPr>
              <w:t>1</w:t>
            </w:r>
          </w:p>
        </w:tc>
        <w:tc>
          <w:tcPr>
            <w:tcW w:w="1250" w:type="dxa"/>
            <w:vAlign w:val="center"/>
          </w:tcPr>
          <w:p w14:paraId="7CE394E2">
            <w:pPr>
              <w:pStyle w:val="63"/>
              <w:spacing w:before="31" w:after="31" w:line="240" w:lineRule="auto"/>
              <w:ind w:firstLine="0"/>
              <w:rPr>
                <w:rFonts w:hint="default" w:ascii="Times New Roman"/>
                <w:snapToGrid w:val="0"/>
                <w:kern w:val="21"/>
                <w:sz w:val="21"/>
                <w:szCs w:val="21"/>
                <w:lang w:val="en-US" w:eastAsia="zh-CN"/>
              </w:rPr>
            </w:pPr>
            <w:r>
              <w:rPr>
                <w:rFonts w:hint="eastAsia" w:ascii="Times New Roman"/>
                <w:snapToGrid w:val="0"/>
                <w:kern w:val="21"/>
                <w:sz w:val="21"/>
                <w:szCs w:val="21"/>
                <w:lang w:val="en-US" w:eastAsia="zh-CN"/>
              </w:rPr>
              <w:t>/</w:t>
            </w:r>
          </w:p>
        </w:tc>
        <w:tc>
          <w:tcPr>
            <w:tcW w:w="1488" w:type="dxa"/>
            <w:vAlign w:val="center"/>
          </w:tcPr>
          <w:p w14:paraId="73C5449D">
            <w:pPr>
              <w:pStyle w:val="63"/>
              <w:spacing w:before="31" w:after="31" w:line="240" w:lineRule="auto"/>
              <w:ind w:firstLine="0"/>
              <w:rPr>
                <w:rFonts w:hint="default" w:ascii="Times New Roman"/>
                <w:snapToGrid w:val="0"/>
                <w:kern w:val="21"/>
                <w:sz w:val="21"/>
                <w:szCs w:val="21"/>
                <w:lang w:val="en-US" w:eastAsia="zh-CN"/>
              </w:rPr>
            </w:pPr>
            <w:r>
              <w:rPr>
                <w:rFonts w:hint="eastAsia" w:ascii="Times New Roman"/>
                <w:snapToGrid w:val="0"/>
                <w:kern w:val="21"/>
                <w:sz w:val="21"/>
                <w:szCs w:val="21"/>
                <w:lang w:val="en-US" w:eastAsia="zh-CN"/>
              </w:rPr>
              <w:t>/</w:t>
            </w:r>
          </w:p>
        </w:tc>
        <w:tc>
          <w:tcPr>
            <w:tcW w:w="1487" w:type="dxa"/>
            <w:vAlign w:val="center"/>
          </w:tcPr>
          <w:p w14:paraId="62852A30">
            <w:pPr>
              <w:adjustRightInd w:val="0"/>
              <w:snapToGrid w:val="0"/>
              <w:jc w:val="center"/>
              <w:rPr>
                <w:rFonts w:hint="default"/>
                <w:kern w:val="0"/>
                <w:szCs w:val="21"/>
                <w:lang w:val="en-US" w:eastAsia="zh-CN"/>
              </w:rPr>
            </w:pPr>
            <w:r>
              <w:rPr>
                <w:rFonts w:hint="eastAsia"/>
                <w:kern w:val="0"/>
                <w:szCs w:val="21"/>
                <w:lang w:val="en-US" w:eastAsia="zh-CN"/>
              </w:rPr>
              <w:t>1</w:t>
            </w:r>
          </w:p>
        </w:tc>
        <w:tc>
          <w:tcPr>
            <w:tcW w:w="1485" w:type="dxa"/>
            <w:vAlign w:val="center"/>
          </w:tcPr>
          <w:p w14:paraId="4DDDFAE9">
            <w:pPr>
              <w:adjustRightInd w:val="0"/>
              <w:snapToGrid w:val="0"/>
              <w:jc w:val="center"/>
              <w:rPr>
                <w:rFonts w:hint="default"/>
                <w:kern w:val="0"/>
                <w:szCs w:val="21"/>
                <w:lang w:val="en-US" w:eastAsia="zh-CN"/>
              </w:rPr>
            </w:pPr>
            <w:r>
              <w:rPr>
                <w:rFonts w:hint="eastAsia"/>
                <w:kern w:val="0"/>
                <w:szCs w:val="21"/>
                <w:lang w:val="en-US" w:eastAsia="zh-CN"/>
              </w:rPr>
              <w:t>1</w:t>
            </w:r>
          </w:p>
        </w:tc>
        <w:tc>
          <w:tcPr>
            <w:tcW w:w="1783" w:type="dxa"/>
            <w:vAlign w:val="center"/>
          </w:tcPr>
          <w:p w14:paraId="0BE42691">
            <w:pPr>
              <w:adjustRightInd w:val="0"/>
              <w:snapToGrid w:val="0"/>
              <w:jc w:val="center"/>
              <w:rPr>
                <w:rFonts w:hint="default"/>
                <w:szCs w:val="21"/>
                <w:lang w:val="en-US" w:eastAsia="zh-CN"/>
              </w:rPr>
            </w:pPr>
            <w:r>
              <w:rPr>
                <w:rFonts w:hint="eastAsia"/>
                <w:szCs w:val="21"/>
                <w:lang w:val="en-US" w:eastAsia="zh-CN"/>
              </w:rPr>
              <w:t>1</w:t>
            </w:r>
          </w:p>
        </w:tc>
        <w:tc>
          <w:tcPr>
            <w:tcW w:w="1219" w:type="dxa"/>
            <w:vAlign w:val="center"/>
          </w:tcPr>
          <w:p w14:paraId="74A7D522">
            <w:pPr>
              <w:jc w:val="center"/>
              <w:rPr>
                <w:rFonts w:hint="default"/>
                <w:szCs w:val="21"/>
                <w:lang w:val="en-US" w:eastAsia="zh-CN"/>
              </w:rPr>
            </w:pPr>
            <w:r>
              <w:rPr>
                <w:rFonts w:hint="eastAsia"/>
                <w:szCs w:val="21"/>
                <w:lang w:val="en-US" w:eastAsia="zh-CN"/>
              </w:rPr>
              <w:t>0</w:t>
            </w:r>
          </w:p>
        </w:tc>
      </w:tr>
      <w:tr w14:paraId="76D42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dxa"/>
            <w:vAlign w:val="center"/>
          </w:tcPr>
          <w:p w14:paraId="03BA56CC">
            <w:pPr>
              <w:pStyle w:val="63"/>
              <w:spacing w:beforeLines="0" w:afterLines="0" w:line="240" w:lineRule="auto"/>
              <w:ind w:firstLine="0"/>
              <w:rPr>
                <w:rFonts w:ascii="Times New Roman"/>
                <w:snapToGrid w:val="0"/>
                <w:kern w:val="21"/>
                <w:sz w:val="21"/>
                <w:szCs w:val="21"/>
              </w:rPr>
            </w:pPr>
            <w:r>
              <w:rPr>
                <w:rFonts w:ascii="Times New Roman"/>
                <w:snapToGrid w:val="0"/>
                <w:kern w:val="21"/>
                <w:sz w:val="21"/>
                <w:szCs w:val="21"/>
              </w:rPr>
              <w:t>生活垃圾</w:t>
            </w:r>
          </w:p>
        </w:tc>
        <w:tc>
          <w:tcPr>
            <w:tcW w:w="2850" w:type="dxa"/>
            <w:vAlign w:val="center"/>
          </w:tcPr>
          <w:p w14:paraId="3132B127">
            <w:pPr>
              <w:jc w:val="center"/>
              <w:rPr>
                <w:bCs/>
                <w:szCs w:val="21"/>
              </w:rPr>
            </w:pPr>
            <w:r>
              <w:rPr>
                <w:bCs/>
                <w:szCs w:val="21"/>
              </w:rPr>
              <w:t>生活垃圾（t</w:t>
            </w:r>
            <w:r>
              <w:rPr>
                <w:rFonts w:hint="eastAsia"/>
                <w:bCs/>
                <w:szCs w:val="21"/>
              </w:rPr>
              <w:t>/a</w:t>
            </w:r>
            <w:r>
              <w:rPr>
                <w:bCs/>
                <w:szCs w:val="21"/>
              </w:rPr>
              <w:t>）</w:t>
            </w:r>
          </w:p>
        </w:tc>
        <w:tc>
          <w:tcPr>
            <w:tcW w:w="1462" w:type="dxa"/>
            <w:vAlign w:val="center"/>
          </w:tcPr>
          <w:p w14:paraId="11D19F45">
            <w:pPr>
              <w:adjustRightInd w:val="0"/>
              <w:snapToGrid w:val="0"/>
              <w:jc w:val="center"/>
              <w:rPr>
                <w:rFonts w:hint="eastAsia" w:eastAsia="宋体"/>
                <w:kern w:val="0"/>
                <w:szCs w:val="21"/>
                <w:lang w:val="en-US" w:eastAsia="zh-CN"/>
              </w:rPr>
            </w:pPr>
            <w:r>
              <w:rPr>
                <w:rFonts w:hint="eastAsia"/>
                <w:kern w:val="0"/>
                <w:szCs w:val="21"/>
                <w:lang w:val="en-US" w:eastAsia="zh-CN"/>
              </w:rPr>
              <w:t>6</w:t>
            </w:r>
          </w:p>
        </w:tc>
        <w:tc>
          <w:tcPr>
            <w:tcW w:w="1250" w:type="dxa"/>
            <w:vAlign w:val="center"/>
          </w:tcPr>
          <w:p w14:paraId="59C9381D">
            <w:pPr>
              <w:pStyle w:val="63"/>
              <w:spacing w:beforeLines="0" w:afterLines="0" w:line="240" w:lineRule="auto"/>
              <w:ind w:firstLine="0"/>
              <w:rPr>
                <w:rFonts w:ascii="Times New Roman"/>
                <w:snapToGrid w:val="0"/>
                <w:kern w:val="21"/>
                <w:sz w:val="21"/>
                <w:szCs w:val="21"/>
              </w:rPr>
            </w:pPr>
            <w:r>
              <w:rPr>
                <w:rFonts w:hint="eastAsia" w:ascii="Times New Roman"/>
                <w:snapToGrid w:val="0"/>
                <w:kern w:val="21"/>
                <w:sz w:val="21"/>
                <w:szCs w:val="21"/>
              </w:rPr>
              <w:t>/</w:t>
            </w:r>
          </w:p>
        </w:tc>
        <w:tc>
          <w:tcPr>
            <w:tcW w:w="1488" w:type="dxa"/>
            <w:vAlign w:val="center"/>
          </w:tcPr>
          <w:p w14:paraId="50394B0F">
            <w:pPr>
              <w:pStyle w:val="63"/>
              <w:spacing w:beforeLines="0" w:afterLines="0" w:line="240" w:lineRule="auto"/>
              <w:ind w:firstLine="0"/>
              <w:rPr>
                <w:rFonts w:ascii="Times New Roman"/>
                <w:snapToGrid w:val="0"/>
                <w:kern w:val="21"/>
                <w:sz w:val="21"/>
                <w:szCs w:val="21"/>
              </w:rPr>
            </w:pPr>
            <w:r>
              <w:rPr>
                <w:rFonts w:hint="eastAsia" w:ascii="Times New Roman"/>
                <w:snapToGrid w:val="0"/>
                <w:kern w:val="21"/>
                <w:sz w:val="21"/>
                <w:szCs w:val="21"/>
              </w:rPr>
              <w:t>/</w:t>
            </w:r>
          </w:p>
        </w:tc>
        <w:tc>
          <w:tcPr>
            <w:tcW w:w="1487" w:type="dxa"/>
            <w:vAlign w:val="center"/>
          </w:tcPr>
          <w:p w14:paraId="2FC5654E">
            <w:pPr>
              <w:adjustRightInd w:val="0"/>
              <w:snapToGrid w:val="0"/>
              <w:jc w:val="center"/>
              <w:rPr>
                <w:kern w:val="0"/>
                <w:szCs w:val="21"/>
              </w:rPr>
            </w:pPr>
            <w:r>
              <w:rPr>
                <w:rFonts w:hint="eastAsia"/>
                <w:kern w:val="0"/>
                <w:szCs w:val="21"/>
              </w:rPr>
              <w:t>4.5</w:t>
            </w:r>
          </w:p>
        </w:tc>
        <w:tc>
          <w:tcPr>
            <w:tcW w:w="1485" w:type="dxa"/>
            <w:vAlign w:val="center"/>
          </w:tcPr>
          <w:p w14:paraId="6518CEB4">
            <w:pPr>
              <w:adjustRightInd w:val="0"/>
              <w:snapToGrid w:val="0"/>
              <w:jc w:val="center"/>
              <w:rPr>
                <w:rFonts w:hint="eastAsia" w:eastAsia="宋体"/>
                <w:kern w:val="0"/>
                <w:szCs w:val="21"/>
                <w:lang w:eastAsia="zh-CN"/>
              </w:rPr>
            </w:pPr>
            <w:r>
              <w:rPr>
                <w:rFonts w:hint="eastAsia"/>
                <w:kern w:val="0"/>
                <w:szCs w:val="21"/>
                <w:lang w:val="en-US" w:eastAsia="zh-CN"/>
              </w:rPr>
              <w:t>6</w:t>
            </w:r>
          </w:p>
        </w:tc>
        <w:tc>
          <w:tcPr>
            <w:tcW w:w="1783" w:type="dxa"/>
            <w:vAlign w:val="center"/>
          </w:tcPr>
          <w:p w14:paraId="03648477">
            <w:pPr>
              <w:adjustRightInd w:val="0"/>
              <w:snapToGrid w:val="0"/>
              <w:jc w:val="center"/>
              <w:rPr>
                <w:kern w:val="0"/>
                <w:szCs w:val="21"/>
              </w:rPr>
            </w:pPr>
            <w:r>
              <w:rPr>
                <w:rFonts w:hint="eastAsia"/>
                <w:kern w:val="0"/>
                <w:szCs w:val="21"/>
              </w:rPr>
              <w:t>4.5</w:t>
            </w:r>
          </w:p>
        </w:tc>
        <w:tc>
          <w:tcPr>
            <w:tcW w:w="1219" w:type="dxa"/>
            <w:vAlign w:val="center"/>
          </w:tcPr>
          <w:p w14:paraId="0BF9D1D8">
            <w:pPr>
              <w:jc w:val="center"/>
              <w:rPr>
                <w:rFonts w:hint="default" w:eastAsia="宋体"/>
                <w:kern w:val="0"/>
                <w:szCs w:val="21"/>
                <w:lang w:val="en-US" w:eastAsia="zh-CN"/>
              </w:rPr>
            </w:pPr>
            <w:r>
              <w:rPr>
                <w:rFonts w:hint="eastAsia"/>
                <w:kern w:val="0"/>
                <w:szCs w:val="21"/>
                <w:lang w:val="en-US" w:eastAsia="zh-CN"/>
              </w:rPr>
              <w:t>-1.5</w:t>
            </w:r>
          </w:p>
        </w:tc>
      </w:tr>
      <w:tr w14:paraId="70E9A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75" w:type="dxa"/>
            <w:vMerge w:val="restart"/>
            <w:vAlign w:val="center"/>
          </w:tcPr>
          <w:p w14:paraId="6B05E224">
            <w:pPr>
              <w:pStyle w:val="63"/>
              <w:spacing w:beforeLines="0" w:afterLines="0" w:line="240" w:lineRule="auto"/>
              <w:ind w:firstLine="0"/>
              <w:rPr>
                <w:rFonts w:ascii="Times New Roman"/>
                <w:snapToGrid w:val="0"/>
                <w:kern w:val="21"/>
                <w:sz w:val="21"/>
                <w:szCs w:val="21"/>
              </w:rPr>
            </w:pPr>
            <w:r>
              <w:rPr>
                <w:rFonts w:ascii="Times New Roman"/>
                <w:snapToGrid w:val="0"/>
                <w:kern w:val="21"/>
                <w:sz w:val="21"/>
                <w:szCs w:val="21"/>
              </w:rPr>
              <w:t>危险废物</w:t>
            </w:r>
          </w:p>
        </w:tc>
        <w:tc>
          <w:tcPr>
            <w:tcW w:w="2850" w:type="dxa"/>
            <w:vAlign w:val="center"/>
          </w:tcPr>
          <w:p w14:paraId="65C2CD1B">
            <w:pPr>
              <w:jc w:val="center"/>
              <w:rPr>
                <w:rFonts w:hint="default" w:eastAsia="宋体"/>
                <w:bCs/>
                <w:szCs w:val="21"/>
                <w:lang w:val="en-US" w:eastAsia="zh-CN"/>
              </w:rPr>
            </w:pPr>
            <w:r>
              <w:rPr>
                <w:rFonts w:hint="eastAsia"/>
                <w:bCs/>
                <w:szCs w:val="21"/>
                <w:lang w:val="en-US" w:eastAsia="zh-CN"/>
              </w:rPr>
              <w:t>废润滑油及其包装桶（t/a）</w:t>
            </w:r>
          </w:p>
        </w:tc>
        <w:tc>
          <w:tcPr>
            <w:tcW w:w="1462" w:type="dxa"/>
            <w:vAlign w:val="center"/>
          </w:tcPr>
          <w:p w14:paraId="61D6E4D9">
            <w:pPr>
              <w:jc w:val="center"/>
              <w:rPr>
                <w:rFonts w:hint="default" w:eastAsia="宋体"/>
                <w:bCs/>
                <w:szCs w:val="21"/>
                <w:lang w:val="en-US" w:eastAsia="zh-CN"/>
              </w:rPr>
            </w:pPr>
            <w:r>
              <w:rPr>
                <w:rFonts w:hint="eastAsia"/>
                <w:bCs/>
                <w:szCs w:val="21"/>
                <w:lang w:val="en-US" w:eastAsia="zh-CN"/>
              </w:rPr>
              <w:t>/</w:t>
            </w:r>
          </w:p>
        </w:tc>
        <w:tc>
          <w:tcPr>
            <w:tcW w:w="1250" w:type="dxa"/>
            <w:vAlign w:val="center"/>
          </w:tcPr>
          <w:p w14:paraId="62DDF478">
            <w:pPr>
              <w:jc w:val="center"/>
              <w:rPr>
                <w:rFonts w:hint="eastAsia" w:eastAsia="宋体"/>
                <w:bCs/>
                <w:szCs w:val="21"/>
                <w:lang w:val="en-US" w:eastAsia="zh-CN"/>
              </w:rPr>
            </w:pPr>
            <w:r>
              <w:rPr>
                <w:rFonts w:hint="eastAsia"/>
                <w:bCs/>
                <w:szCs w:val="21"/>
                <w:lang w:val="en-US" w:eastAsia="zh-CN"/>
              </w:rPr>
              <w:t>/</w:t>
            </w:r>
          </w:p>
        </w:tc>
        <w:tc>
          <w:tcPr>
            <w:tcW w:w="1488" w:type="dxa"/>
            <w:vAlign w:val="center"/>
          </w:tcPr>
          <w:p w14:paraId="1A01E6FC">
            <w:pPr>
              <w:pStyle w:val="63"/>
              <w:spacing w:beforeLines="0" w:afterLines="0" w:line="240" w:lineRule="auto"/>
              <w:ind w:firstLine="0"/>
              <w:rPr>
                <w:rFonts w:hint="eastAsia" w:ascii="Times New Roman" w:eastAsia="宋体"/>
                <w:snapToGrid w:val="0"/>
                <w:kern w:val="21"/>
                <w:sz w:val="21"/>
                <w:szCs w:val="21"/>
                <w:lang w:val="en-US" w:eastAsia="zh-CN"/>
              </w:rPr>
            </w:pPr>
            <w:r>
              <w:rPr>
                <w:rFonts w:hint="eastAsia" w:ascii="Times New Roman"/>
                <w:snapToGrid w:val="0"/>
                <w:kern w:val="21"/>
                <w:sz w:val="21"/>
                <w:szCs w:val="21"/>
                <w:lang w:val="en-US" w:eastAsia="zh-CN"/>
              </w:rPr>
              <w:t>/</w:t>
            </w:r>
          </w:p>
        </w:tc>
        <w:tc>
          <w:tcPr>
            <w:tcW w:w="1487" w:type="dxa"/>
            <w:vAlign w:val="center"/>
          </w:tcPr>
          <w:p w14:paraId="0993764F">
            <w:pPr>
              <w:adjustRightInd w:val="0"/>
              <w:snapToGrid w:val="0"/>
              <w:jc w:val="center"/>
              <w:rPr>
                <w:rFonts w:hint="default" w:eastAsia="宋体"/>
                <w:kern w:val="0"/>
                <w:szCs w:val="21"/>
                <w:lang w:val="en-US" w:eastAsia="zh-CN"/>
              </w:rPr>
            </w:pPr>
            <w:r>
              <w:rPr>
                <w:rFonts w:hint="eastAsia"/>
                <w:kern w:val="0"/>
                <w:szCs w:val="21"/>
                <w:lang w:val="en-US" w:eastAsia="zh-CN"/>
              </w:rPr>
              <w:t>0.055</w:t>
            </w:r>
          </w:p>
        </w:tc>
        <w:tc>
          <w:tcPr>
            <w:tcW w:w="1485" w:type="dxa"/>
            <w:vAlign w:val="center"/>
          </w:tcPr>
          <w:p w14:paraId="59F1BEED">
            <w:pPr>
              <w:adjustRightInd w:val="0"/>
              <w:snapToGrid w:val="0"/>
              <w:jc w:val="center"/>
              <w:rPr>
                <w:rFonts w:hint="eastAsia" w:eastAsia="宋体"/>
                <w:kern w:val="0"/>
                <w:szCs w:val="21"/>
                <w:lang w:val="en-US" w:eastAsia="zh-CN"/>
              </w:rPr>
            </w:pPr>
            <w:r>
              <w:rPr>
                <w:rFonts w:hint="eastAsia"/>
                <w:kern w:val="0"/>
                <w:szCs w:val="21"/>
                <w:lang w:val="en-US" w:eastAsia="zh-CN"/>
              </w:rPr>
              <w:t>0</w:t>
            </w:r>
          </w:p>
        </w:tc>
        <w:tc>
          <w:tcPr>
            <w:tcW w:w="1783" w:type="dxa"/>
            <w:vAlign w:val="center"/>
          </w:tcPr>
          <w:p w14:paraId="715ED081">
            <w:pPr>
              <w:adjustRightInd w:val="0"/>
              <w:snapToGrid w:val="0"/>
              <w:jc w:val="center"/>
              <w:rPr>
                <w:rFonts w:hint="default" w:eastAsia="宋体"/>
                <w:kern w:val="0"/>
                <w:szCs w:val="21"/>
                <w:lang w:val="en-US" w:eastAsia="zh-CN"/>
              </w:rPr>
            </w:pPr>
            <w:r>
              <w:rPr>
                <w:rFonts w:hint="eastAsia"/>
                <w:kern w:val="0"/>
                <w:szCs w:val="21"/>
                <w:lang w:val="en-US" w:eastAsia="zh-CN"/>
              </w:rPr>
              <w:t>0.055</w:t>
            </w:r>
          </w:p>
        </w:tc>
        <w:tc>
          <w:tcPr>
            <w:tcW w:w="1219" w:type="dxa"/>
            <w:vAlign w:val="center"/>
          </w:tcPr>
          <w:p w14:paraId="46881881">
            <w:pPr>
              <w:adjustRightInd w:val="0"/>
              <w:snapToGrid w:val="0"/>
              <w:jc w:val="center"/>
              <w:rPr>
                <w:rFonts w:hint="default" w:eastAsia="宋体"/>
                <w:szCs w:val="21"/>
                <w:lang w:val="en-US" w:eastAsia="zh-CN"/>
              </w:rPr>
            </w:pPr>
            <w:r>
              <w:rPr>
                <w:rFonts w:hint="eastAsia"/>
                <w:szCs w:val="21"/>
                <w:lang w:val="en-US" w:eastAsia="zh-CN"/>
              </w:rPr>
              <w:t>+0.055</w:t>
            </w:r>
          </w:p>
        </w:tc>
      </w:tr>
      <w:tr w14:paraId="02AF2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75" w:type="dxa"/>
            <w:vMerge w:val="continue"/>
            <w:vAlign w:val="center"/>
          </w:tcPr>
          <w:p w14:paraId="7A67F115">
            <w:pPr>
              <w:pStyle w:val="63"/>
              <w:spacing w:beforeLines="0" w:afterLines="0" w:line="240" w:lineRule="auto"/>
              <w:ind w:firstLine="0"/>
              <w:rPr>
                <w:rFonts w:ascii="Times New Roman"/>
                <w:snapToGrid w:val="0"/>
                <w:kern w:val="21"/>
                <w:sz w:val="21"/>
                <w:szCs w:val="21"/>
              </w:rPr>
            </w:pPr>
          </w:p>
        </w:tc>
        <w:tc>
          <w:tcPr>
            <w:tcW w:w="2850" w:type="dxa"/>
            <w:vAlign w:val="center"/>
          </w:tcPr>
          <w:p w14:paraId="78DE05DC">
            <w:pPr>
              <w:jc w:val="center"/>
              <w:rPr>
                <w:bCs/>
                <w:szCs w:val="21"/>
              </w:rPr>
            </w:pPr>
            <w:r>
              <w:rPr>
                <w:rFonts w:hint="eastAsia"/>
                <w:bCs/>
                <w:szCs w:val="21"/>
              </w:rPr>
              <w:t>沾染胶的废塑料膜和废胶桶</w:t>
            </w:r>
            <w:r>
              <w:rPr>
                <w:bCs/>
                <w:szCs w:val="21"/>
              </w:rPr>
              <w:t>（t</w:t>
            </w:r>
            <w:r>
              <w:rPr>
                <w:rFonts w:hint="eastAsia"/>
                <w:bCs/>
                <w:szCs w:val="21"/>
              </w:rPr>
              <w:t>/a</w:t>
            </w:r>
            <w:r>
              <w:rPr>
                <w:bCs/>
                <w:szCs w:val="21"/>
              </w:rPr>
              <w:t>）</w:t>
            </w:r>
          </w:p>
        </w:tc>
        <w:tc>
          <w:tcPr>
            <w:tcW w:w="1462" w:type="dxa"/>
            <w:vAlign w:val="center"/>
          </w:tcPr>
          <w:p w14:paraId="75430E53">
            <w:pPr>
              <w:jc w:val="center"/>
              <w:rPr>
                <w:rFonts w:hint="default" w:eastAsia="宋体"/>
                <w:bCs/>
                <w:szCs w:val="21"/>
                <w:lang w:val="en-US" w:eastAsia="zh-CN"/>
              </w:rPr>
            </w:pPr>
            <w:r>
              <w:rPr>
                <w:rFonts w:hint="eastAsia"/>
                <w:bCs/>
                <w:szCs w:val="21"/>
                <w:lang w:val="en-US" w:eastAsia="zh-CN"/>
              </w:rPr>
              <w:t>0.25</w:t>
            </w:r>
          </w:p>
        </w:tc>
        <w:tc>
          <w:tcPr>
            <w:tcW w:w="1250" w:type="dxa"/>
            <w:vAlign w:val="center"/>
          </w:tcPr>
          <w:p w14:paraId="02E80C84">
            <w:pPr>
              <w:jc w:val="center"/>
              <w:rPr>
                <w:bCs/>
                <w:szCs w:val="21"/>
              </w:rPr>
            </w:pPr>
            <w:r>
              <w:rPr>
                <w:rFonts w:hint="eastAsia"/>
                <w:bCs/>
                <w:szCs w:val="21"/>
              </w:rPr>
              <w:t>/</w:t>
            </w:r>
          </w:p>
        </w:tc>
        <w:tc>
          <w:tcPr>
            <w:tcW w:w="1488" w:type="dxa"/>
            <w:vAlign w:val="center"/>
          </w:tcPr>
          <w:p w14:paraId="580A9C5B">
            <w:pPr>
              <w:pStyle w:val="63"/>
              <w:spacing w:beforeLines="0" w:afterLines="0" w:line="240" w:lineRule="auto"/>
              <w:ind w:firstLine="0"/>
              <w:rPr>
                <w:rFonts w:ascii="Times New Roman"/>
                <w:snapToGrid w:val="0"/>
                <w:kern w:val="21"/>
                <w:sz w:val="21"/>
                <w:szCs w:val="21"/>
              </w:rPr>
            </w:pPr>
            <w:r>
              <w:rPr>
                <w:rFonts w:hint="eastAsia" w:ascii="Times New Roman"/>
                <w:snapToGrid w:val="0"/>
                <w:kern w:val="21"/>
                <w:sz w:val="21"/>
                <w:szCs w:val="21"/>
              </w:rPr>
              <w:t>/</w:t>
            </w:r>
          </w:p>
        </w:tc>
        <w:tc>
          <w:tcPr>
            <w:tcW w:w="1487" w:type="dxa"/>
            <w:vAlign w:val="center"/>
          </w:tcPr>
          <w:p w14:paraId="1721BDA8">
            <w:pPr>
              <w:adjustRightInd w:val="0"/>
              <w:snapToGrid w:val="0"/>
              <w:jc w:val="center"/>
              <w:rPr>
                <w:rFonts w:hint="default" w:eastAsia="宋体"/>
                <w:kern w:val="0"/>
                <w:szCs w:val="21"/>
                <w:lang w:val="en-US" w:eastAsia="zh-CN"/>
              </w:rPr>
            </w:pPr>
            <w:r>
              <w:rPr>
                <w:rFonts w:hint="eastAsia"/>
                <w:kern w:val="0"/>
                <w:szCs w:val="21"/>
                <w:lang w:val="en-US" w:eastAsia="zh-CN"/>
              </w:rPr>
              <w:t>0.75</w:t>
            </w:r>
          </w:p>
        </w:tc>
        <w:tc>
          <w:tcPr>
            <w:tcW w:w="1485" w:type="dxa"/>
            <w:vAlign w:val="center"/>
          </w:tcPr>
          <w:p w14:paraId="76AF89B0">
            <w:pPr>
              <w:adjustRightInd w:val="0"/>
              <w:snapToGrid w:val="0"/>
              <w:jc w:val="center"/>
              <w:rPr>
                <w:rFonts w:hint="default" w:eastAsia="宋体"/>
                <w:kern w:val="0"/>
                <w:szCs w:val="21"/>
                <w:lang w:val="en-US" w:eastAsia="zh-CN"/>
              </w:rPr>
            </w:pPr>
            <w:r>
              <w:rPr>
                <w:rFonts w:hint="eastAsia"/>
                <w:kern w:val="0"/>
                <w:szCs w:val="21"/>
                <w:lang w:val="en-US" w:eastAsia="zh-CN"/>
              </w:rPr>
              <w:t>0.25</w:t>
            </w:r>
          </w:p>
        </w:tc>
        <w:tc>
          <w:tcPr>
            <w:tcW w:w="1783" w:type="dxa"/>
            <w:vAlign w:val="center"/>
          </w:tcPr>
          <w:p w14:paraId="215708E5">
            <w:pPr>
              <w:adjustRightInd w:val="0"/>
              <w:snapToGrid w:val="0"/>
              <w:jc w:val="center"/>
              <w:rPr>
                <w:rFonts w:hint="default" w:eastAsia="宋体"/>
                <w:kern w:val="0"/>
                <w:szCs w:val="21"/>
                <w:lang w:val="en-US" w:eastAsia="zh-CN"/>
              </w:rPr>
            </w:pPr>
            <w:r>
              <w:rPr>
                <w:rFonts w:hint="eastAsia"/>
                <w:kern w:val="0"/>
                <w:szCs w:val="21"/>
                <w:lang w:val="en-US" w:eastAsia="zh-CN"/>
              </w:rPr>
              <w:t>0.75</w:t>
            </w:r>
          </w:p>
        </w:tc>
        <w:tc>
          <w:tcPr>
            <w:tcW w:w="1219" w:type="dxa"/>
            <w:vAlign w:val="center"/>
          </w:tcPr>
          <w:p w14:paraId="0A291D6D">
            <w:pPr>
              <w:adjustRightInd w:val="0"/>
              <w:snapToGrid w:val="0"/>
              <w:jc w:val="center"/>
              <w:rPr>
                <w:rFonts w:hint="default" w:eastAsia="宋体"/>
                <w:szCs w:val="21"/>
                <w:lang w:val="en-US" w:eastAsia="zh-CN"/>
              </w:rPr>
            </w:pPr>
            <w:r>
              <w:rPr>
                <w:rFonts w:hint="eastAsia"/>
                <w:szCs w:val="21"/>
                <w:lang w:val="en-US" w:eastAsia="zh-CN"/>
              </w:rPr>
              <w:t>+0.5</w:t>
            </w:r>
          </w:p>
        </w:tc>
      </w:tr>
      <w:tr w14:paraId="718C6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75" w:type="dxa"/>
            <w:vMerge w:val="continue"/>
            <w:vAlign w:val="center"/>
          </w:tcPr>
          <w:p w14:paraId="61267B64">
            <w:pPr>
              <w:pStyle w:val="63"/>
              <w:spacing w:beforeLines="0" w:afterLines="0" w:line="240" w:lineRule="auto"/>
              <w:ind w:firstLine="0"/>
              <w:rPr>
                <w:rFonts w:ascii="Times New Roman"/>
                <w:snapToGrid w:val="0"/>
                <w:kern w:val="21"/>
                <w:sz w:val="21"/>
                <w:szCs w:val="21"/>
              </w:rPr>
            </w:pPr>
          </w:p>
        </w:tc>
        <w:tc>
          <w:tcPr>
            <w:tcW w:w="2850" w:type="dxa"/>
            <w:vAlign w:val="center"/>
          </w:tcPr>
          <w:p w14:paraId="52074E09">
            <w:pPr>
              <w:jc w:val="center"/>
              <w:rPr>
                <w:bCs/>
                <w:szCs w:val="21"/>
              </w:rPr>
            </w:pPr>
            <w:r>
              <w:rPr>
                <w:rFonts w:hint="eastAsia"/>
                <w:bCs/>
                <w:szCs w:val="21"/>
              </w:rPr>
              <w:t>废活性炭</w:t>
            </w:r>
            <w:r>
              <w:rPr>
                <w:szCs w:val="21"/>
              </w:rPr>
              <w:t>（t/a）</w:t>
            </w:r>
          </w:p>
        </w:tc>
        <w:tc>
          <w:tcPr>
            <w:tcW w:w="1462" w:type="dxa"/>
            <w:vAlign w:val="center"/>
          </w:tcPr>
          <w:p w14:paraId="61DBFD3B">
            <w:pPr>
              <w:jc w:val="center"/>
              <w:rPr>
                <w:rFonts w:hint="default" w:eastAsia="宋体"/>
                <w:bCs/>
                <w:szCs w:val="21"/>
                <w:lang w:val="en-US" w:eastAsia="zh-CN"/>
              </w:rPr>
            </w:pPr>
            <w:r>
              <w:rPr>
                <w:rFonts w:hint="eastAsia"/>
                <w:bCs/>
                <w:szCs w:val="21"/>
                <w:lang w:val="en-US" w:eastAsia="zh-CN"/>
              </w:rPr>
              <w:t>0.195</w:t>
            </w:r>
          </w:p>
        </w:tc>
        <w:tc>
          <w:tcPr>
            <w:tcW w:w="1250" w:type="dxa"/>
            <w:vAlign w:val="center"/>
          </w:tcPr>
          <w:p w14:paraId="00383A1A">
            <w:pPr>
              <w:jc w:val="center"/>
              <w:rPr>
                <w:bCs/>
                <w:szCs w:val="21"/>
              </w:rPr>
            </w:pPr>
            <w:r>
              <w:rPr>
                <w:rFonts w:hint="eastAsia"/>
                <w:bCs/>
                <w:szCs w:val="21"/>
              </w:rPr>
              <w:t>/</w:t>
            </w:r>
          </w:p>
        </w:tc>
        <w:tc>
          <w:tcPr>
            <w:tcW w:w="1488" w:type="dxa"/>
            <w:vAlign w:val="center"/>
          </w:tcPr>
          <w:p w14:paraId="20ADF781">
            <w:pPr>
              <w:pStyle w:val="63"/>
              <w:spacing w:beforeLines="0" w:afterLines="0" w:line="240" w:lineRule="auto"/>
              <w:ind w:firstLine="0"/>
              <w:rPr>
                <w:rFonts w:ascii="Times New Roman"/>
                <w:snapToGrid w:val="0"/>
                <w:kern w:val="21"/>
                <w:sz w:val="21"/>
                <w:szCs w:val="21"/>
              </w:rPr>
            </w:pPr>
            <w:r>
              <w:rPr>
                <w:rFonts w:hint="eastAsia" w:ascii="Times New Roman"/>
                <w:snapToGrid w:val="0"/>
                <w:kern w:val="21"/>
                <w:sz w:val="21"/>
                <w:szCs w:val="21"/>
              </w:rPr>
              <w:t>/</w:t>
            </w:r>
          </w:p>
        </w:tc>
        <w:tc>
          <w:tcPr>
            <w:tcW w:w="1487" w:type="dxa"/>
            <w:vAlign w:val="center"/>
          </w:tcPr>
          <w:p w14:paraId="0104C517">
            <w:pPr>
              <w:adjustRightInd w:val="0"/>
              <w:snapToGrid w:val="0"/>
              <w:jc w:val="center"/>
              <w:rPr>
                <w:rFonts w:hint="default" w:eastAsia="宋体"/>
                <w:kern w:val="0"/>
                <w:szCs w:val="21"/>
                <w:lang w:val="en-US" w:eastAsia="zh-CN"/>
              </w:rPr>
            </w:pPr>
            <w:r>
              <w:rPr>
                <w:rFonts w:hint="eastAsia"/>
                <w:kern w:val="0"/>
                <w:szCs w:val="21"/>
                <w:lang w:val="en-US" w:eastAsia="zh-CN"/>
              </w:rPr>
              <w:t>0.5</w:t>
            </w:r>
          </w:p>
        </w:tc>
        <w:tc>
          <w:tcPr>
            <w:tcW w:w="1485" w:type="dxa"/>
            <w:vAlign w:val="center"/>
          </w:tcPr>
          <w:p w14:paraId="19F443FA">
            <w:pPr>
              <w:adjustRightInd w:val="0"/>
              <w:snapToGrid w:val="0"/>
              <w:jc w:val="center"/>
              <w:rPr>
                <w:rFonts w:hint="default" w:eastAsia="宋体"/>
                <w:kern w:val="0"/>
                <w:szCs w:val="21"/>
                <w:lang w:val="en-US" w:eastAsia="zh-CN"/>
              </w:rPr>
            </w:pPr>
            <w:r>
              <w:rPr>
                <w:rFonts w:hint="eastAsia"/>
                <w:kern w:val="0"/>
                <w:szCs w:val="21"/>
              </w:rPr>
              <w:t>0</w:t>
            </w:r>
            <w:r>
              <w:rPr>
                <w:rFonts w:hint="eastAsia"/>
                <w:kern w:val="0"/>
                <w:szCs w:val="21"/>
                <w:lang w:val="en-US" w:eastAsia="zh-CN"/>
              </w:rPr>
              <w:t>.195</w:t>
            </w:r>
          </w:p>
        </w:tc>
        <w:tc>
          <w:tcPr>
            <w:tcW w:w="1783" w:type="dxa"/>
            <w:vAlign w:val="center"/>
          </w:tcPr>
          <w:p w14:paraId="2F628AC2">
            <w:pPr>
              <w:adjustRightInd w:val="0"/>
              <w:snapToGrid w:val="0"/>
              <w:jc w:val="center"/>
              <w:rPr>
                <w:rFonts w:hint="default" w:eastAsia="宋体"/>
                <w:kern w:val="0"/>
                <w:szCs w:val="21"/>
                <w:lang w:val="en-US" w:eastAsia="zh-CN"/>
              </w:rPr>
            </w:pPr>
            <w:r>
              <w:rPr>
                <w:rFonts w:hint="eastAsia"/>
                <w:kern w:val="0"/>
                <w:szCs w:val="21"/>
                <w:lang w:val="en-US" w:eastAsia="zh-CN"/>
              </w:rPr>
              <w:t>0.5</w:t>
            </w:r>
          </w:p>
        </w:tc>
        <w:tc>
          <w:tcPr>
            <w:tcW w:w="1219" w:type="dxa"/>
            <w:vAlign w:val="center"/>
          </w:tcPr>
          <w:p w14:paraId="3F285FC1">
            <w:pPr>
              <w:adjustRightInd w:val="0"/>
              <w:snapToGrid w:val="0"/>
              <w:jc w:val="center"/>
              <w:rPr>
                <w:rFonts w:hint="default" w:eastAsia="宋体"/>
                <w:szCs w:val="21"/>
                <w:lang w:val="en-US" w:eastAsia="zh-CN"/>
              </w:rPr>
            </w:pPr>
            <w:r>
              <w:rPr>
                <w:rFonts w:hint="eastAsia"/>
                <w:szCs w:val="21"/>
                <w:lang w:val="en-US" w:eastAsia="zh-CN"/>
              </w:rPr>
              <w:t>+0.305</w:t>
            </w:r>
          </w:p>
        </w:tc>
      </w:tr>
      <w:tr w14:paraId="363AE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75" w:type="dxa"/>
            <w:vMerge w:val="continue"/>
            <w:vAlign w:val="center"/>
          </w:tcPr>
          <w:p w14:paraId="290A37BD">
            <w:pPr>
              <w:pStyle w:val="63"/>
              <w:spacing w:beforeLines="0" w:afterLines="0" w:line="240" w:lineRule="auto"/>
              <w:ind w:firstLine="0"/>
              <w:rPr>
                <w:rFonts w:ascii="Times New Roman"/>
                <w:snapToGrid w:val="0"/>
                <w:kern w:val="21"/>
                <w:sz w:val="21"/>
                <w:szCs w:val="21"/>
              </w:rPr>
            </w:pPr>
          </w:p>
        </w:tc>
        <w:tc>
          <w:tcPr>
            <w:tcW w:w="2850" w:type="dxa"/>
            <w:vAlign w:val="center"/>
          </w:tcPr>
          <w:p w14:paraId="356869B6">
            <w:pPr>
              <w:jc w:val="center"/>
              <w:rPr>
                <w:bCs/>
                <w:szCs w:val="21"/>
              </w:rPr>
            </w:pPr>
            <w:r>
              <w:rPr>
                <w:rFonts w:hint="eastAsia"/>
                <w:bCs/>
                <w:szCs w:val="21"/>
              </w:rPr>
              <w:t>废催化剂</w:t>
            </w:r>
            <w:r>
              <w:rPr>
                <w:szCs w:val="21"/>
              </w:rPr>
              <w:t>（t/a）</w:t>
            </w:r>
          </w:p>
        </w:tc>
        <w:tc>
          <w:tcPr>
            <w:tcW w:w="1462" w:type="dxa"/>
            <w:vAlign w:val="center"/>
          </w:tcPr>
          <w:p w14:paraId="274E25A5">
            <w:pPr>
              <w:jc w:val="center"/>
              <w:rPr>
                <w:rFonts w:hint="default" w:eastAsia="宋体"/>
                <w:bCs/>
                <w:szCs w:val="21"/>
                <w:lang w:val="en-US" w:eastAsia="zh-CN"/>
              </w:rPr>
            </w:pPr>
            <w:r>
              <w:rPr>
                <w:rFonts w:hint="eastAsia"/>
                <w:bCs/>
                <w:szCs w:val="21"/>
              </w:rPr>
              <w:t>0</w:t>
            </w:r>
            <w:r>
              <w:rPr>
                <w:rFonts w:hint="eastAsia"/>
                <w:bCs/>
                <w:szCs w:val="21"/>
                <w:lang w:val="en-US" w:eastAsia="zh-CN"/>
              </w:rPr>
              <w:t>.01</w:t>
            </w:r>
          </w:p>
        </w:tc>
        <w:tc>
          <w:tcPr>
            <w:tcW w:w="1250" w:type="dxa"/>
            <w:vAlign w:val="center"/>
          </w:tcPr>
          <w:p w14:paraId="676F9802">
            <w:pPr>
              <w:jc w:val="center"/>
              <w:rPr>
                <w:bCs/>
                <w:szCs w:val="21"/>
              </w:rPr>
            </w:pPr>
            <w:r>
              <w:rPr>
                <w:rFonts w:hint="eastAsia"/>
                <w:bCs/>
                <w:szCs w:val="21"/>
              </w:rPr>
              <w:t>/</w:t>
            </w:r>
          </w:p>
        </w:tc>
        <w:tc>
          <w:tcPr>
            <w:tcW w:w="1488" w:type="dxa"/>
            <w:vAlign w:val="center"/>
          </w:tcPr>
          <w:p w14:paraId="496CCB27">
            <w:pPr>
              <w:pStyle w:val="63"/>
              <w:spacing w:beforeLines="0" w:afterLines="0" w:line="240" w:lineRule="auto"/>
              <w:ind w:firstLine="0"/>
              <w:rPr>
                <w:rFonts w:hint="eastAsia" w:ascii="Times New Roman" w:eastAsia="宋体"/>
                <w:snapToGrid w:val="0"/>
                <w:kern w:val="21"/>
                <w:sz w:val="21"/>
                <w:szCs w:val="21"/>
                <w:lang w:val="en-US" w:eastAsia="zh-CN"/>
              </w:rPr>
            </w:pPr>
            <w:r>
              <w:rPr>
                <w:rFonts w:hint="eastAsia" w:ascii="Times New Roman"/>
                <w:snapToGrid w:val="0"/>
                <w:kern w:val="21"/>
                <w:sz w:val="21"/>
                <w:szCs w:val="21"/>
                <w:lang w:val="en-US" w:eastAsia="zh-CN"/>
              </w:rPr>
              <w:t>/</w:t>
            </w:r>
          </w:p>
        </w:tc>
        <w:tc>
          <w:tcPr>
            <w:tcW w:w="1487" w:type="dxa"/>
            <w:vAlign w:val="center"/>
          </w:tcPr>
          <w:p w14:paraId="385B1ADB">
            <w:pPr>
              <w:adjustRightInd w:val="0"/>
              <w:snapToGrid w:val="0"/>
              <w:jc w:val="center"/>
              <w:rPr>
                <w:rFonts w:hint="default" w:eastAsia="宋体"/>
                <w:kern w:val="0"/>
                <w:szCs w:val="21"/>
                <w:lang w:val="en-US" w:eastAsia="zh-CN"/>
              </w:rPr>
            </w:pPr>
            <w:r>
              <w:rPr>
                <w:rFonts w:hint="eastAsia"/>
                <w:bCs/>
                <w:szCs w:val="21"/>
              </w:rPr>
              <w:t>0.0</w:t>
            </w:r>
            <w:r>
              <w:rPr>
                <w:rFonts w:hint="eastAsia"/>
                <w:bCs/>
                <w:szCs w:val="21"/>
                <w:lang w:val="en-US" w:eastAsia="zh-CN"/>
              </w:rPr>
              <w:t>133</w:t>
            </w:r>
          </w:p>
        </w:tc>
        <w:tc>
          <w:tcPr>
            <w:tcW w:w="1485" w:type="dxa"/>
            <w:vAlign w:val="center"/>
          </w:tcPr>
          <w:p w14:paraId="0C32B291">
            <w:pPr>
              <w:adjustRightInd w:val="0"/>
              <w:snapToGrid w:val="0"/>
              <w:jc w:val="center"/>
              <w:rPr>
                <w:kern w:val="0"/>
                <w:szCs w:val="21"/>
              </w:rPr>
            </w:pPr>
            <w:r>
              <w:rPr>
                <w:rFonts w:hint="eastAsia"/>
                <w:kern w:val="0"/>
                <w:szCs w:val="21"/>
              </w:rPr>
              <w:t>0</w:t>
            </w:r>
          </w:p>
        </w:tc>
        <w:tc>
          <w:tcPr>
            <w:tcW w:w="1783" w:type="dxa"/>
            <w:vAlign w:val="center"/>
          </w:tcPr>
          <w:p w14:paraId="59057DA8">
            <w:pPr>
              <w:adjustRightInd w:val="0"/>
              <w:snapToGrid w:val="0"/>
              <w:jc w:val="center"/>
              <w:rPr>
                <w:rFonts w:hint="default" w:eastAsia="宋体"/>
                <w:kern w:val="0"/>
                <w:szCs w:val="21"/>
                <w:lang w:val="en-US" w:eastAsia="zh-CN"/>
              </w:rPr>
            </w:pPr>
            <w:r>
              <w:rPr>
                <w:rFonts w:hint="eastAsia"/>
                <w:bCs/>
                <w:szCs w:val="21"/>
              </w:rPr>
              <w:t>0.0</w:t>
            </w:r>
            <w:r>
              <w:rPr>
                <w:rFonts w:hint="eastAsia"/>
                <w:bCs/>
                <w:szCs w:val="21"/>
                <w:lang w:val="en-US" w:eastAsia="zh-CN"/>
              </w:rPr>
              <w:t>133</w:t>
            </w:r>
          </w:p>
        </w:tc>
        <w:tc>
          <w:tcPr>
            <w:tcW w:w="1219" w:type="dxa"/>
            <w:vAlign w:val="center"/>
          </w:tcPr>
          <w:p w14:paraId="558B2331">
            <w:pPr>
              <w:adjustRightInd w:val="0"/>
              <w:snapToGrid w:val="0"/>
              <w:jc w:val="center"/>
              <w:rPr>
                <w:rFonts w:hint="default" w:eastAsia="宋体"/>
                <w:szCs w:val="21"/>
                <w:lang w:val="en-US" w:eastAsia="zh-CN"/>
              </w:rPr>
            </w:pPr>
            <w:r>
              <w:rPr>
                <w:rFonts w:hint="eastAsia"/>
                <w:bCs/>
                <w:szCs w:val="21"/>
              </w:rPr>
              <w:t>+0.0</w:t>
            </w:r>
            <w:r>
              <w:rPr>
                <w:rFonts w:hint="eastAsia"/>
                <w:bCs/>
                <w:szCs w:val="21"/>
                <w:lang w:val="en-US" w:eastAsia="zh-CN"/>
              </w:rPr>
              <w:t>033</w:t>
            </w:r>
          </w:p>
        </w:tc>
      </w:tr>
    </w:tbl>
    <w:p w14:paraId="611F6AFA">
      <w:pPr>
        <w:pStyle w:val="63"/>
        <w:spacing w:before="156" w:beforeLines="50" w:after="156" w:afterLines="50"/>
        <w:jc w:val="left"/>
        <w:rPr>
          <w:rFonts w:ascii="Times New Roman"/>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sectPr>
      <w:footerReference r:id="rId4" w:type="default"/>
      <w:pgSz w:w="16783" w:h="11850" w:orient="landscape"/>
      <w:pgMar w:top="1797" w:right="1440" w:bottom="1797" w:left="1440" w:header="0" w:footer="1134"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Impact">
    <w:panose1 w:val="020B0806030902050204"/>
    <w:charset w:val="00"/>
    <w:family w:val="swiss"/>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0000000000000000000"/>
    <w:charset w:val="86"/>
    <w:family w:val="script"/>
    <w:pitch w:val="default"/>
    <w:sig w:usb0="00000000" w:usb1="00000000" w:usb2="00082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TimesNewRomanPSMT">
    <w:altName w:val="MS Gothic"/>
    <w:panose1 w:val="00000000000000000000"/>
    <w:charset w:val="80"/>
    <w:family w:val="auto"/>
    <w:pitch w:val="default"/>
    <w:sig w:usb0="00000000" w:usb1="00000000" w:usb2="00000010" w:usb3="00000000" w:csb0="0006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0370865"/>
    </w:sdtPr>
    <w:sdtContent>
      <w:p w14:paraId="607F3A53">
        <w:pPr>
          <w:pStyle w:val="27"/>
          <w:jc w:val="center"/>
        </w:pPr>
        <w:r>
          <w:fldChar w:fldCharType="begin"/>
        </w:r>
        <w:r>
          <w:instrText xml:space="preserve">PAGE   \* MERGEFORMAT</w:instrText>
        </w:r>
        <w:r>
          <w:fldChar w:fldCharType="separate"/>
        </w:r>
        <w:r>
          <w:rPr>
            <w:lang w:val="zh-CN"/>
          </w:rPr>
          <w:t>61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F5F91">
    <w:pPr>
      <w:jc w:val="right"/>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B6E39">
                          <w:pPr>
                            <w:pStyle w:val="27"/>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330B6E39">
                    <w:pPr>
                      <w:pStyle w:val="27"/>
                    </w:pPr>
                    <w:r>
                      <w:fldChar w:fldCharType="begin"/>
                    </w:r>
                    <w:r>
                      <w:instrText xml:space="preserve"> PAGE  \* MERGEFORMAT </w:instrText>
                    </w:r>
                    <w:r>
                      <w:fldChar w:fldCharType="separate"/>
                    </w:r>
                    <w:r>
                      <w:t>98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5CB773"/>
    <w:multiLevelType w:val="singleLevel"/>
    <w:tmpl w:val="995CB773"/>
    <w:lvl w:ilvl="0" w:tentative="0">
      <w:start w:val="1"/>
      <w:numFmt w:val="bullet"/>
      <w:pStyle w:val="10"/>
      <w:lvlText w:val=""/>
      <w:lvlJc w:val="left"/>
      <w:pPr>
        <w:tabs>
          <w:tab w:val="left" w:pos="780"/>
        </w:tabs>
        <w:ind w:left="780" w:hanging="360"/>
      </w:pPr>
      <w:rPr>
        <w:rFonts w:hint="default" w:ascii="Wingdings" w:hAnsi="Wingdings"/>
      </w:rPr>
    </w:lvl>
  </w:abstractNum>
  <w:abstractNum w:abstractNumId="1">
    <w:nsid w:val="13056B8B"/>
    <w:multiLevelType w:val="multilevel"/>
    <w:tmpl w:val="13056B8B"/>
    <w:lvl w:ilvl="0" w:tentative="0">
      <w:start w:val="1"/>
      <w:numFmt w:val="decimal"/>
      <w:lvlText w:val="图2-%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62A6C4B"/>
    <w:multiLevelType w:val="multilevel"/>
    <w:tmpl w:val="162A6C4B"/>
    <w:lvl w:ilvl="0" w:tentative="0">
      <w:start w:val="1"/>
      <w:numFmt w:val="decimal"/>
      <w:lvlText w:val="表3-%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0F52E0"/>
    <w:multiLevelType w:val="multilevel"/>
    <w:tmpl w:val="220F52E0"/>
    <w:lvl w:ilvl="0" w:tentative="0">
      <w:start w:val="1"/>
      <w:numFmt w:val="decimal"/>
      <w:lvlText w:val="表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9670974"/>
    <w:multiLevelType w:val="multilevel"/>
    <w:tmpl w:val="29670974"/>
    <w:lvl w:ilvl="0" w:tentative="0">
      <w:start w:val="1"/>
      <w:numFmt w:val="decimal"/>
      <w:lvlText w:val="表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F0BD974"/>
    <w:multiLevelType w:val="multilevel"/>
    <w:tmpl w:val="2F0BD974"/>
    <w:lvl w:ilvl="0" w:tentative="0">
      <w:start w:val="1"/>
      <w:numFmt w:val="decimal"/>
      <w:pStyle w:val="15"/>
      <w:suff w:val="space"/>
      <w:lvlText w:val="表%1"/>
      <w:lvlJc w:val="left"/>
      <w:pPr>
        <w:tabs>
          <w:tab w:val="left" w:pos="0"/>
        </w:tabs>
        <w:ind w:left="7080" w:hanging="420"/>
      </w:pPr>
      <w:rPr>
        <w:rFonts w:hint="default" w:ascii="Times New Roman" w:hAnsi="Times New Roman" w:eastAsia="黑体" w:cs="Times New Roman"/>
        <w:b w:val="0"/>
        <w:i w:val="0"/>
        <w:color w:val="0000FF"/>
        <w:sz w:val="24"/>
        <w:szCs w:val="24"/>
      </w:rPr>
    </w:lvl>
    <w:lvl w:ilvl="1" w:tentative="0">
      <w:start w:val="1"/>
      <w:numFmt w:val="lowerLetter"/>
      <w:lvlText w:val="%2)"/>
      <w:lvlJc w:val="left"/>
      <w:pPr>
        <w:ind w:left="5880" w:hanging="420"/>
      </w:pPr>
    </w:lvl>
    <w:lvl w:ilvl="2" w:tentative="0">
      <w:start w:val="1"/>
      <w:numFmt w:val="lowerRoman"/>
      <w:lvlText w:val="%3."/>
      <w:lvlJc w:val="right"/>
      <w:pPr>
        <w:ind w:left="6300" w:hanging="420"/>
      </w:pPr>
    </w:lvl>
    <w:lvl w:ilvl="3" w:tentative="0">
      <w:start w:val="1"/>
      <w:numFmt w:val="decimal"/>
      <w:lvlText w:val="%4."/>
      <w:lvlJc w:val="left"/>
      <w:pPr>
        <w:ind w:left="6720" w:hanging="420"/>
      </w:pPr>
    </w:lvl>
    <w:lvl w:ilvl="4" w:tentative="0">
      <w:start w:val="1"/>
      <w:numFmt w:val="lowerLetter"/>
      <w:lvlText w:val="%5)"/>
      <w:lvlJc w:val="left"/>
      <w:pPr>
        <w:ind w:left="7140" w:hanging="420"/>
      </w:pPr>
    </w:lvl>
    <w:lvl w:ilvl="5" w:tentative="0">
      <w:start w:val="1"/>
      <w:numFmt w:val="lowerRoman"/>
      <w:lvlText w:val="%6."/>
      <w:lvlJc w:val="right"/>
      <w:pPr>
        <w:ind w:left="7560" w:hanging="420"/>
      </w:pPr>
    </w:lvl>
    <w:lvl w:ilvl="6" w:tentative="0">
      <w:start w:val="1"/>
      <w:numFmt w:val="decimal"/>
      <w:lvlText w:val="%7."/>
      <w:lvlJc w:val="left"/>
      <w:pPr>
        <w:ind w:left="7980" w:hanging="420"/>
      </w:pPr>
    </w:lvl>
    <w:lvl w:ilvl="7" w:tentative="0">
      <w:start w:val="1"/>
      <w:numFmt w:val="lowerLetter"/>
      <w:lvlText w:val="%8)"/>
      <w:lvlJc w:val="left"/>
      <w:pPr>
        <w:ind w:left="8400" w:hanging="420"/>
      </w:pPr>
    </w:lvl>
    <w:lvl w:ilvl="8" w:tentative="0">
      <w:start w:val="1"/>
      <w:numFmt w:val="lowerRoman"/>
      <w:lvlText w:val="%9."/>
      <w:lvlJc w:val="right"/>
      <w:pPr>
        <w:ind w:left="8820" w:hanging="420"/>
      </w:pPr>
    </w:lvl>
  </w:abstractNum>
  <w:abstractNum w:abstractNumId="6">
    <w:nsid w:val="4FD67974"/>
    <w:multiLevelType w:val="multilevel"/>
    <w:tmpl w:val="4FD67974"/>
    <w:lvl w:ilvl="0" w:tentative="0">
      <w:start w:val="1"/>
      <w:numFmt w:val="decimal"/>
      <w:lvlText w:val="表4-%1"/>
      <w:lvlJc w:val="left"/>
      <w:pPr>
        <w:ind w:left="420" w:hanging="420"/>
      </w:pPr>
      <w:rPr>
        <w:rFonts w:hint="eastAsia"/>
        <w:b/>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5"/>
  </w:num>
  <w:num w:numId="3">
    <w:abstractNumId w:val="4"/>
  </w:num>
  <w:num w:numId="4">
    <w:abstractNumId w:val="3"/>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removePersonalInformation/>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yOGM1YTQ1NWNiYWMzZDU2YmMzYjI4M2UzZmYxOGYifQ=="/>
    <w:docVar w:name="KSO_WPS_MARK_KEY" w:val="fc9fdcde-3a47-42ba-a910-b51f09abf440"/>
  </w:docVars>
  <w:rsids>
    <w:rsidRoot w:val="00172A27"/>
    <w:rsid w:val="00001B90"/>
    <w:rsid w:val="00004756"/>
    <w:rsid w:val="000060B3"/>
    <w:rsid w:val="000069AC"/>
    <w:rsid w:val="000070F2"/>
    <w:rsid w:val="0001002F"/>
    <w:rsid w:val="00011116"/>
    <w:rsid w:val="00011AF6"/>
    <w:rsid w:val="000149DC"/>
    <w:rsid w:val="00014AD6"/>
    <w:rsid w:val="00016B7C"/>
    <w:rsid w:val="00016E29"/>
    <w:rsid w:val="00017968"/>
    <w:rsid w:val="00017A04"/>
    <w:rsid w:val="000255F7"/>
    <w:rsid w:val="000266E0"/>
    <w:rsid w:val="00030CD6"/>
    <w:rsid w:val="0003154A"/>
    <w:rsid w:val="0003167E"/>
    <w:rsid w:val="000322DB"/>
    <w:rsid w:val="00035708"/>
    <w:rsid w:val="00040741"/>
    <w:rsid w:val="0004364B"/>
    <w:rsid w:val="0004476C"/>
    <w:rsid w:val="00044ED5"/>
    <w:rsid w:val="00046E38"/>
    <w:rsid w:val="000478EC"/>
    <w:rsid w:val="00050249"/>
    <w:rsid w:val="00050AFB"/>
    <w:rsid w:val="00052332"/>
    <w:rsid w:val="0005592A"/>
    <w:rsid w:val="00055EBF"/>
    <w:rsid w:val="0005674B"/>
    <w:rsid w:val="000604E8"/>
    <w:rsid w:val="00061B1F"/>
    <w:rsid w:val="0006326D"/>
    <w:rsid w:val="0006479C"/>
    <w:rsid w:val="00065B20"/>
    <w:rsid w:val="00065F49"/>
    <w:rsid w:val="000666C6"/>
    <w:rsid w:val="00066971"/>
    <w:rsid w:val="00066ACB"/>
    <w:rsid w:val="00067581"/>
    <w:rsid w:val="00070D1F"/>
    <w:rsid w:val="00071683"/>
    <w:rsid w:val="00073341"/>
    <w:rsid w:val="000733C4"/>
    <w:rsid w:val="00074783"/>
    <w:rsid w:val="00074EBF"/>
    <w:rsid w:val="00074FE7"/>
    <w:rsid w:val="00076F99"/>
    <w:rsid w:val="0007796E"/>
    <w:rsid w:val="0008070B"/>
    <w:rsid w:val="00080F66"/>
    <w:rsid w:val="000810AC"/>
    <w:rsid w:val="000813AF"/>
    <w:rsid w:val="00081A02"/>
    <w:rsid w:val="00082231"/>
    <w:rsid w:val="00082799"/>
    <w:rsid w:val="000851DB"/>
    <w:rsid w:val="0008595A"/>
    <w:rsid w:val="000864DC"/>
    <w:rsid w:val="00086E5E"/>
    <w:rsid w:val="000903A1"/>
    <w:rsid w:val="00090E85"/>
    <w:rsid w:val="000914A7"/>
    <w:rsid w:val="000924A9"/>
    <w:rsid w:val="00092D38"/>
    <w:rsid w:val="0009377B"/>
    <w:rsid w:val="00095552"/>
    <w:rsid w:val="00096445"/>
    <w:rsid w:val="000968BB"/>
    <w:rsid w:val="00096A83"/>
    <w:rsid w:val="00096F27"/>
    <w:rsid w:val="00097AEF"/>
    <w:rsid w:val="000A0A6A"/>
    <w:rsid w:val="000A10CA"/>
    <w:rsid w:val="000A20C9"/>
    <w:rsid w:val="000A284E"/>
    <w:rsid w:val="000A3603"/>
    <w:rsid w:val="000A4195"/>
    <w:rsid w:val="000A4D90"/>
    <w:rsid w:val="000A54D9"/>
    <w:rsid w:val="000A5FB3"/>
    <w:rsid w:val="000A72C0"/>
    <w:rsid w:val="000A7D40"/>
    <w:rsid w:val="000B058F"/>
    <w:rsid w:val="000B0B0A"/>
    <w:rsid w:val="000B2C2D"/>
    <w:rsid w:val="000B2C53"/>
    <w:rsid w:val="000B4188"/>
    <w:rsid w:val="000B4467"/>
    <w:rsid w:val="000B4DB9"/>
    <w:rsid w:val="000B6043"/>
    <w:rsid w:val="000B7176"/>
    <w:rsid w:val="000B7C99"/>
    <w:rsid w:val="000C09AC"/>
    <w:rsid w:val="000C15CF"/>
    <w:rsid w:val="000C1759"/>
    <w:rsid w:val="000C3645"/>
    <w:rsid w:val="000C4F1C"/>
    <w:rsid w:val="000C563C"/>
    <w:rsid w:val="000C6543"/>
    <w:rsid w:val="000C767F"/>
    <w:rsid w:val="000C7DF7"/>
    <w:rsid w:val="000D02AA"/>
    <w:rsid w:val="000D5A44"/>
    <w:rsid w:val="000D70B2"/>
    <w:rsid w:val="000E28B0"/>
    <w:rsid w:val="000E3C93"/>
    <w:rsid w:val="000E3ED2"/>
    <w:rsid w:val="000E4107"/>
    <w:rsid w:val="000E4E3F"/>
    <w:rsid w:val="000E50DC"/>
    <w:rsid w:val="000E5174"/>
    <w:rsid w:val="000E59D0"/>
    <w:rsid w:val="000F185E"/>
    <w:rsid w:val="000F36D2"/>
    <w:rsid w:val="000F40FE"/>
    <w:rsid w:val="000F4531"/>
    <w:rsid w:val="000F4B72"/>
    <w:rsid w:val="001007E3"/>
    <w:rsid w:val="00100A2B"/>
    <w:rsid w:val="001011D5"/>
    <w:rsid w:val="00105F74"/>
    <w:rsid w:val="00106963"/>
    <w:rsid w:val="00106FD0"/>
    <w:rsid w:val="00107EF7"/>
    <w:rsid w:val="00107FEE"/>
    <w:rsid w:val="00110521"/>
    <w:rsid w:val="00110E6E"/>
    <w:rsid w:val="0011275B"/>
    <w:rsid w:val="0011418B"/>
    <w:rsid w:val="00114B05"/>
    <w:rsid w:val="00116B1C"/>
    <w:rsid w:val="00117C17"/>
    <w:rsid w:val="001215D9"/>
    <w:rsid w:val="001241CD"/>
    <w:rsid w:val="00125410"/>
    <w:rsid w:val="00125DDB"/>
    <w:rsid w:val="001276D3"/>
    <w:rsid w:val="00131356"/>
    <w:rsid w:val="00131F42"/>
    <w:rsid w:val="0013238B"/>
    <w:rsid w:val="0013520B"/>
    <w:rsid w:val="001357F1"/>
    <w:rsid w:val="0013607D"/>
    <w:rsid w:val="0013666B"/>
    <w:rsid w:val="00140FA8"/>
    <w:rsid w:val="00142FEB"/>
    <w:rsid w:val="001433B7"/>
    <w:rsid w:val="00143A2D"/>
    <w:rsid w:val="0014493F"/>
    <w:rsid w:val="00145063"/>
    <w:rsid w:val="001459E5"/>
    <w:rsid w:val="00145A41"/>
    <w:rsid w:val="00145A79"/>
    <w:rsid w:val="0014616E"/>
    <w:rsid w:val="00146993"/>
    <w:rsid w:val="001512AE"/>
    <w:rsid w:val="00151675"/>
    <w:rsid w:val="001517D9"/>
    <w:rsid w:val="00156423"/>
    <w:rsid w:val="00157435"/>
    <w:rsid w:val="00157DE5"/>
    <w:rsid w:val="001613BE"/>
    <w:rsid w:val="00162961"/>
    <w:rsid w:val="001634C3"/>
    <w:rsid w:val="00164461"/>
    <w:rsid w:val="001646B8"/>
    <w:rsid w:val="00164839"/>
    <w:rsid w:val="001657F4"/>
    <w:rsid w:val="00171CBC"/>
    <w:rsid w:val="00172A27"/>
    <w:rsid w:val="00172A3A"/>
    <w:rsid w:val="00173CD0"/>
    <w:rsid w:val="00174780"/>
    <w:rsid w:val="00174CE7"/>
    <w:rsid w:val="0017504D"/>
    <w:rsid w:val="00175225"/>
    <w:rsid w:val="00175C03"/>
    <w:rsid w:val="00175D63"/>
    <w:rsid w:val="0017671A"/>
    <w:rsid w:val="001769F6"/>
    <w:rsid w:val="00177422"/>
    <w:rsid w:val="001779C6"/>
    <w:rsid w:val="00177DC1"/>
    <w:rsid w:val="00180600"/>
    <w:rsid w:val="001822A5"/>
    <w:rsid w:val="00183000"/>
    <w:rsid w:val="001830C4"/>
    <w:rsid w:val="0018429A"/>
    <w:rsid w:val="00184590"/>
    <w:rsid w:val="00184A9A"/>
    <w:rsid w:val="00184FED"/>
    <w:rsid w:val="00186578"/>
    <w:rsid w:val="00186E15"/>
    <w:rsid w:val="001870D1"/>
    <w:rsid w:val="0018781E"/>
    <w:rsid w:val="0019088E"/>
    <w:rsid w:val="0019248A"/>
    <w:rsid w:val="0019262D"/>
    <w:rsid w:val="00192B3C"/>
    <w:rsid w:val="001939C4"/>
    <w:rsid w:val="00194480"/>
    <w:rsid w:val="001950A3"/>
    <w:rsid w:val="00195D2F"/>
    <w:rsid w:val="00195FCB"/>
    <w:rsid w:val="001A055E"/>
    <w:rsid w:val="001A0E41"/>
    <w:rsid w:val="001A1B35"/>
    <w:rsid w:val="001A1E0E"/>
    <w:rsid w:val="001A1F76"/>
    <w:rsid w:val="001A282E"/>
    <w:rsid w:val="001A3C9F"/>
    <w:rsid w:val="001A48A2"/>
    <w:rsid w:val="001A6F61"/>
    <w:rsid w:val="001B2080"/>
    <w:rsid w:val="001B3604"/>
    <w:rsid w:val="001B4BD8"/>
    <w:rsid w:val="001B505C"/>
    <w:rsid w:val="001B72B8"/>
    <w:rsid w:val="001C0724"/>
    <w:rsid w:val="001C0E5E"/>
    <w:rsid w:val="001C2C82"/>
    <w:rsid w:val="001C2F22"/>
    <w:rsid w:val="001C332D"/>
    <w:rsid w:val="001C45E2"/>
    <w:rsid w:val="001C4C44"/>
    <w:rsid w:val="001C4C73"/>
    <w:rsid w:val="001C5F34"/>
    <w:rsid w:val="001C69B3"/>
    <w:rsid w:val="001C6F76"/>
    <w:rsid w:val="001D0AA1"/>
    <w:rsid w:val="001D2274"/>
    <w:rsid w:val="001D273F"/>
    <w:rsid w:val="001D5595"/>
    <w:rsid w:val="001D6109"/>
    <w:rsid w:val="001D6765"/>
    <w:rsid w:val="001D6EB8"/>
    <w:rsid w:val="001D7874"/>
    <w:rsid w:val="001D7A4B"/>
    <w:rsid w:val="001D7F22"/>
    <w:rsid w:val="001E0583"/>
    <w:rsid w:val="001E1830"/>
    <w:rsid w:val="001E3D6E"/>
    <w:rsid w:val="001E5D3A"/>
    <w:rsid w:val="001E6CFB"/>
    <w:rsid w:val="001E7E3F"/>
    <w:rsid w:val="001F0985"/>
    <w:rsid w:val="001F0C80"/>
    <w:rsid w:val="001F0F17"/>
    <w:rsid w:val="001F2D11"/>
    <w:rsid w:val="001F2FCB"/>
    <w:rsid w:val="001F3347"/>
    <w:rsid w:val="001F38B3"/>
    <w:rsid w:val="001F4189"/>
    <w:rsid w:val="001F443B"/>
    <w:rsid w:val="001F4586"/>
    <w:rsid w:val="001F49E4"/>
    <w:rsid w:val="001F5D7E"/>
    <w:rsid w:val="001F65E1"/>
    <w:rsid w:val="001F69E4"/>
    <w:rsid w:val="00202308"/>
    <w:rsid w:val="00203281"/>
    <w:rsid w:val="0020367F"/>
    <w:rsid w:val="002073A6"/>
    <w:rsid w:val="0021076F"/>
    <w:rsid w:val="002117DB"/>
    <w:rsid w:val="002125B4"/>
    <w:rsid w:val="00212A16"/>
    <w:rsid w:val="002143D1"/>
    <w:rsid w:val="002146AD"/>
    <w:rsid w:val="002155B8"/>
    <w:rsid w:val="00215A35"/>
    <w:rsid w:val="00215B21"/>
    <w:rsid w:val="00216238"/>
    <w:rsid w:val="002168DC"/>
    <w:rsid w:val="00216A19"/>
    <w:rsid w:val="00217A76"/>
    <w:rsid w:val="002212C4"/>
    <w:rsid w:val="0022161B"/>
    <w:rsid w:val="00223AE4"/>
    <w:rsid w:val="00224839"/>
    <w:rsid w:val="002249B2"/>
    <w:rsid w:val="00226574"/>
    <w:rsid w:val="002278EC"/>
    <w:rsid w:val="0023280E"/>
    <w:rsid w:val="002328E2"/>
    <w:rsid w:val="0023329B"/>
    <w:rsid w:val="00233441"/>
    <w:rsid w:val="002337C5"/>
    <w:rsid w:val="002343B2"/>
    <w:rsid w:val="002377D1"/>
    <w:rsid w:val="002414B3"/>
    <w:rsid w:val="002466E8"/>
    <w:rsid w:val="002506BC"/>
    <w:rsid w:val="00251BB8"/>
    <w:rsid w:val="00253277"/>
    <w:rsid w:val="00254345"/>
    <w:rsid w:val="002568E2"/>
    <w:rsid w:val="0026010E"/>
    <w:rsid w:val="00261EB4"/>
    <w:rsid w:val="00262B9F"/>
    <w:rsid w:val="00263213"/>
    <w:rsid w:val="00263977"/>
    <w:rsid w:val="00264039"/>
    <w:rsid w:val="00264557"/>
    <w:rsid w:val="0026707C"/>
    <w:rsid w:val="00267ACF"/>
    <w:rsid w:val="00271E04"/>
    <w:rsid w:val="00273267"/>
    <w:rsid w:val="0027590F"/>
    <w:rsid w:val="00276B15"/>
    <w:rsid w:val="00276E7B"/>
    <w:rsid w:val="0027799B"/>
    <w:rsid w:val="002805AB"/>
    <w:rsid w:val="00280A15"/>
    <w:rsid w:val="00282CA4"/>
    <w:rsid w:val="00282FE6"/>
    <w:rsid w:val="002841B1"/>
    <w:rsid w:val="00284204"/>
    <w:rsid w:val="00285423"/>
    <w:rsid w:val="00285CC4"/>
    <w:rsid w:val="002878B5"/>
    <w:rsid w:val="00290EA9"/>
    <w:rsid w:val="00291773"/>
    <w:rsid w:val="002939BD"/>
    <w:rsid w:val="00293FCD"/>
    <w:rsid w:val="002943E5"/>
    <w:rsid w:val="00296300"/>
    <w:rsid w:val="002969BE"/>
    <w:rsid w:val="00296E78"/>
    <w:rsid w:val="00297976"/>
    <w:rsid w:val="002A04D2"/>
    <w:rsid w:val="002A168C"/>
    <w:rsid w:val="002A1DC6"/>
    <w:rsid w:val="002A3DC7"/>
    <w:rsid w:val="002A44EA"/>
    <w:rsid w:val="002A5D3D"/>
    <w:rsid w:val="002A60C8"/>
    <w:rsid w:val="002A6D24"/>
    <w:rsid w:val="002B0A7D"/>
    <w:rsid w:val="002B0C14"/>
    <w:rsid w:val="002B1B1B"/>
    <w:rsid w:val="002B219E"/>
    <w:rsid w:val="002B2CD3"/>
    <w:rsid w:val="002B49E2"/>
    <w:rsid w:val="002B6726"/>
    <w:rsid w:val="002B7A03"/>
    <w:rsid w:val="002B7B00"/>
    <w:rsid w:val="002B7C44"/>
    <w:rsid w:val="002C119B"/>
    <w:rsid w:val="002C1CBC"/>
    <w:rsid w:val="002C1E1F"/>
    <w:rsid w:val="002C2677"/>
    <w:rsid w:val="002C27B5"/>
    <w:rsid w:val="002C299A"/>
    <w:rsid w:val="002C2B17"/>
    <w:rsid w:val="002C456F"/>
    <w:rsid w:val="002C4D8E"/>
    <w:rsid w:val="002C6379"/>
    <w:rsid w:val="002C73EE"/>
    <w:rsid w:val="002C7F72"/>
    <w:rsid w:val="002D0C8A"/>
    <w:rsid w:val="002D0E29"/>
    <w:rsid w:val="002D3DD0"/>
    <w:rsid w:val="002D4F41"/>
    <w:rsid w:val="002D514A"/>
    <w:rsid w:val="002D586E"/>
    <w:rsid w:val="002D5C6C"/>
    <w:rsid w:val="002D7128"/>
    <w:rsid w:val="002E0545"/>
    <w:rsid w:val="002E100B"/>
    <w:rsid w:val="002E1F3A"/>
    <w:rsid w:val="002E298A"/>
    <w:rsid w:val="002E37DE"/>
    <w:rsid w:val="002E539C"/>
    <w:rsid w:val="002F03A6"/>
    <w:rsid w:val="002F0CE8"/>
    <w:rsid w:val="002F65CC"/>
    <w:rsid w:val="002F66D0"/>
    <w:rsid w:val="003008FA"/>
    <w:rsid w:val="00301978"/>
    <w:rsid w:val="003030AA"/>
    <w:rsid w:val="00303288"/>
    <w:rsid w:val="0030332C"/>
    <w:rsid w:val="003051C2"/>
    <w:rsid w:val="00306EC6"/>
    <w:rsid w:val="003102CC"/>
    <w:rsid w:val="00312296"/>
    <w:rsid w:val="00312FE6"/>
    <w:rsid w:val="003130E4"/>
    <w:rsid w:val="00313158"/>
    <w:rsid w:val="003138F0"/>
    <w:rsid w:val="00313AD9"/>
    <w:rsid w:val="00313E79"/>
    <w:rsid w:val="00314EA4"/>
    <w:rsid w:val="00314F0E"/>
    <w:rsid w:val="00315797"/>
    <w:rsid w:val="00317048"/>
    <w:rsid w:val="00321D8E"/>
    <w:rsid w:val="00324081"/>
    <w:rsid w:val="00324FC2"/>
    <w:rsid w:val="00325928"/>
    <w:rsid w:val="003259FC"/>
    <w:rsid w:val="00327040"/>
    <w:rsid w:val="003319BE"/>
    <w:rsid w:val="00332863"/>
    <w:rsid w:val="00332A21"/>
    <w:rsid w:val="003338E2"/>
    <w:rsid w:val="00333F51"/>
    <w:rsid w:val="003344D9"/>
    <w:rsid w:val="0033684D"/>
    <w:rsid w:val="00337B42"/>
    <w:rsid w:val="00337CD7"/>
    <w:rsid w:val="00337D55"/>
    <w:rsid w:val="00337FCE"/>
    <w:rsid w:val="00340225"/>
    <w:rsid w:val="00340D30"/>
    <w:rsid w:val="00341B42"/>
    <w:rsid w:val="0034348F"/>
    <w:rsid w:val="00344FDD"/>
    <w:rsid w:val="00345E0E"/>
    <w:rsid w:val="0034621A"/>
    <w:rsid w:val="00350C2B"/>
    <w:rsid w:val="00351D63"/>
    <w:rsid w:val="00352C21"/>
    <w:rsid w:val="00352FDC"/>
    <w:rsid w:val="003538AB"/>
    <w:rsid w:val="003542C3"/>
    <w:rsid w:val="00355E18"/>
    <w:rsid w:val="00356653"/>
    <w:rsid w:val="0035743F"/>
    <w:rsid w:val="0035792E"/>
    <w:rsid w:val="00357BE2"/>
    <w:rsid w:val="0036170C"/>
    <w:rsid w:val="00362685"/>
    <w:rsid w:val="00362BD9"/>
    <w:rsid w:val="00363E5D"/>
    <w:rsid w:val="0036648D"/>
    <w:rsid w:val="00366E0F"/>
    <w:rsid w:val="003675DE"/>
    <w:rsid w:val="003675F9"/>
    <w:rsid w:val="00370595"/>
    <w:rsid w:val="00371242"/>
    <w:rsid w:val="00371A50"/>
    <w:rsid w:val="00372675"/>
    <w:rsid w:val="00373F56"/>
    <w:rsid w:val="003801BC"/>
    <w:rsid w:val="00380B5E"/>
    <w:rsid w:val="00381A72"/>
    <w:rsid w:val="00383436"/>
    <w:rsid w:val="00384676"/>
    <w:rsid w:val="00386FD4"/>
    <w:rsid w:val="003904D0"/>
    <w:rsid w:val="00390857"/>
    <w:rsid w:val="00390F42"/>
    <w:rsid w:val="00391392"/>
    <w:rsid w:val="00391577"/>
    <w:rsid w:val="0039205C"/>
    <w:rsid w:val="00392BF1"/>
    <w:rsid w:val="00396B5F"/>
    <w:rsid w:val="0039741E"/>
    <w:rsid w:val="003A036C"/>
    <w:rsid w:val="003A1CDD"/>
    <w:rsid w:val="003A22D4"/>
    <w:rsid w:val="003A30D0"/>
    <w:rsid w:val="003A3390"/>
    <w:rsid w:val="003A36E6"/>
    <w:rsid w:val="003A3CBF"/>
    <w:rsid w:val="003A3D32"/>
    <w:rsid w:val="003A4A0C"/>
    <w:rsid w:val="003A4BF3"/>
    <w:rsid w:val="003B041A"/>
    <w:rsid w:val="003B0AC5"/>
    <w:rsid w:val="003B0C99"/>
    <w:rsid w:val="003B1C49"/>
    <w:rsid w:val="003B2C05"/>
    <w:rsid w:val="003B420D"/>
    <w:rsid w:val="003B5C63"/>
    <w:rsid w:val="003C0467"/>
    <w:rsid w:val="003C0A3F"/>
    <w:rsid w:val="003C0D81"/>
    <w:rsid w:val="003C1627"/>
    <w:rsid w:val="003C583D"/>
    <w:rsid w:val="003C637C"/>
    <w:rsid w:val="003C641B"/>
    <w:rsid w:val="003C6C16"/>
    <w:rsid w:val="003C6D23"/>
    <w:rsid w:val="003C7122"/>
    <w:rsid w:val="003D0A66"/>
    <w:rsid w:val="003D10AD"/>
    <w:rsid w:val="003D2DD0"/>
    <w:rsid w:val="003D2EAC"/>
    <w:rsid w:val="003D41C4"/>
    <w:rsid w:val="003D5468"/>
    <w:rsid w:val="003D5ED6"/>
    <w:rsid w:val="003D6354"/>
    <w:rsid w:val="003D794D"/>
    <w:rsid w:val="003D7E63"/>
    <w:rsid w:val="003E2859"/>
    <w:rsid w:val="003E3058"/>
    <w:rsid w:val="003E384C"/>
    <w:rsid w:val="003E4832"/>
    <w:rsid w:val="003E4C40"/>
    <w:rsid w:val="003E5291"/>
    <w:rsid w:val="003E6174"/>
    <w:rsid w:val="003E76A9"/>
    <w:rsid w:val="003E7C23"/>
    <w:rsid w:val="003F0771"/>
    <w:rsid w:val="003F0809"/>
    <w:rsid w:val="003F3363"/>
    <w:rsid w:val="003F500A"/>
    <w:rsid w:val="003F573B"/>
    <w:rsid w:val="003F6A8C"/>
    <w:rsid w:val="003F755C"/>
    <w:rsid w:val="003F7802"/>
    <w:rsid w:val="003F7F19"/>
    <w:rsid w:val="00400599"/>
    <w:rsid w:val="00401D1E"/>
    <w:rsid w:val="00401E72"/>
    <w:rsid w:val="004031AE"/>
    <w:rsid w:val="00403FA0"/>
    <w:rsid w:val="004053BD"/>
    <w:rsid w:val="00406879"/>
    <w:rsid w:val="00406F01"/>
    <w:rsid w:val="0040749C"/>
    <w:rsid w:val="0040774F"/>
    <w:rsid w:val="00410A5B"/>
    <w:rsid w:val="004110AB"/>
    <w:rsid w:val="00412181"/>
    <w:rsid w:val="0041241C"/>
    <w:rsid w:val="004128BC"/>
    <w:rsid w:val="004167E5"/>
    <w:rsid w:val="00416C03"/>
    <w:rsid w:val="00416D50"/>
    <w:rsid w:val="00416FD5"/>
    <w:rsid w:val="00417772"/>
    <w:rsid w:val="00420289"/>
    <w:rsid w:val="00420A5A"/>
    <w:rsid w:val="00420E6A"/>
    <w:rsid w:val="00421212"/>
    <w:rsid w:val="00421BE4"/>
    <w:rsid w:val="004254CD"/>
    <w:rsid w:val="00425A9E"/>
    <w:rsid w:val="00426C68"/>
    <w:rsid w:val="00426D6B"/>
    <w:rsid w:val="00427866"/>
    <w:rsid w:val="00427FD7"/>
    <w:rsid w:val="00430CB8"/>
    <w:rsid w:val="00430EFD"/>
    <w:rsid w:val="00431279"/>
    <w:rsid w:val="00431E6C"/>
    <w:rsid w:val="00432570"/>
    <w:rsid w:val="00432B84"/>
    <w:rsid w:val="004339B8"/>
    <w:rsid w:val="00433CE7"/>
    <w:rsid w:val="004348A8"/>
    <w:rsid w:val="00435FFB"/>
    <w:rsid w:val="00437451"/>
    <w:rsid w:val="004400C7"/>
    <w:rsid w:val="00440C08"/>
    <w:rsid w:val="00440DB8"/>
    <w:rsid w:val="00444148"/>
    <w:rsid w:val="00444284"/>
    <w:rsid w:val="004443B2"/>
    <w:rsid w:val="004469D9"/>
    <w:rsid w:val="00447D57"/>
    <w:rsid w:val="004508E5"/>
    <w:rsid w:val="00452738"/>
    <w:rsid w:val="00452D5B"/>
    <w:rsid w:val="00453A5E"/>
    <w:rsid w:val="00454413"/>
    <w:rsid w:val="0045566F"/>
    <w:rsid w:val="00456091"/>
    <w:rsid w:val="00460590"/>
    <w:rsid w:val="0046318C"/>
    <w:rsid w:val="00463460"/>
    <w:rsid w:val="00463B2B"/>
    <w:rsid w:val="00463B66"/>
    <w:rsid w:val="0046494B"/>
    <w:rsid w:val="00464B12"/>
    <w:rsid w:val="00466321"/>
    <w:rsid w:val="00466B4A"/>
    <w:rsid w:val="004704C7"/>
    <w:rsid w:val="00470ACF"/>
    <w:rsid w:val="00471859"/>
    <w:rsid w:val="004733AF"/>
    <w:rsid w:val="0047379A"/>
    <w:rsid w:val="00474C50"/>
    <w:rsid w:val="00474EFC"/>
    <w:rsid w:val="00476BD0"/>
    <w:rsid w:val="00480890"/>
    <w:rsid w:val="00484B9B"/>
    <w:rsid w:val="004852E3"/>
    <w:rsid w:val="004855F6"/>
    <w:rsid w:val="0048661E"/>
    <w:rsid w:val="004925CA"/>
    <w:rsid w:val="004929CC"/>
    <w:rsid w:val="00494670"/>
    <w:rsid w:val="00495C09"/>
    <w:rsid w:val="00495E01"/>
    <w:rsid w:val="00495F39"/>
    <w:rsid w:val="00496036"/>
    <w:rsid w:val="0049657B"/>
    <w:rsid w:val="0049660E"/>
    <w:rsid w:val="00497942"/>
    <w:rsid w:val="004A0021"/>
    <w:rsid w:val="004A0993"/>
    <w:rsid w:val="004A0B15"/>
    <w:rsid w:val="004A0E17"/>
    <w:rsid w:val="004A1823"/>
    <w:rsid w:val="004A2EEA"/>
    <w:rsid w:val="004A3823"/>
    <w:rsid w:val="004A3C29"/>
    <w:rsid w:val="004B1832"/>
    <w:rsid w:val="004B4569"/>
    <w:rsid w:val="004B4693"/>
    <w:rsid w:val="004B5C01"/>
    <w:rsid w:val="004B7349"/>
    <w:rsid w:val="004B7A62"/>
    <w:rsid w:val="004B7D90"/>
    <w:rsid w:val="004C0970"/>
    <w:rsid w:val="004C0A66"/>
    <w:rsid w:val="004C2539"/>
    <w:rsid w:val="004C2EAB"/>
    <w:rsid w:val="004C44C0"/>
    <w:rsid w:val="004C7F7F"/>
    <w:rsid w:val="004D0644"/>
    <w:rsid w:val="004D1706"/>
    <w:rsid w:val="004D1D49"/>
    <w:rsid w:val="004D2FEF"/>
    <w:rsid w:val="004D7047"/>
    <w:rsid w:val="004E0FA0"/>
    <w:rsid w:val="004E10C7"/>
    <w:rsid w:val="004E34E1"/>
    <w:rsid w:val="004E6946"/>
    <w:rsid w:val="004F0338"/>
    <w:rsid w:val="004F0A92"/>
    <w:rsid w:val="004F10FA"/>
    <w:rsid w:val="004F1AD8"/>
    <w:rsid w:val="004F2BFD"/>
    <w:rsid w:val="004F4127"/>
    <w:rsid w:val="004F4BB9"/>
    <w:rsid w:val="004F5784"/>
    <w:rsid w:val="004F63C1"/>
    <w:rsid w:val="004F7248"/>
    <w:rsid w:val="0050031B"/>
    <w:rsid w:val="0050131B"/>
    <w:rsid w:val="00501840"/>
    <w:rsid w:val="0050185A"/>
    <w:rsid w:val="00502DF1"/>
    <w:rsid w:val="005039CB"/>
    <w:rsid w:val="00503AD7"/>
    <w:rsid w:val="00503E97"/>
    <w:rsid w:val="005048AD"/>
    <w:rsid w:val="00504988"/>
    <w:rsid w:val="005054B2"/>
    <w:rsid w:val="0050558F"/>
    <w:rsid w:val="00506286"/>
    <w:rsid w:val="005064D5"/>
    <w:rsid w:val="005072FB"/>
    <w:rsid w:val="00510634"/>
    <w:rsid w:val="00510813"/>
    <w:rsid w:val="00511990"/>
    <w:rsid w:val="00511DE0"/>
    <w:rsid w:val="005121C6"/>
    <w:rsid w:val="0051382A"/>
    <w:rsid w:val="00514870"/>
    <w:rsid w:val="005149D3"/>
    <w:rsid w:val="00514B9B"/>
    <w:rsid w:val="00514DDB"/>
    <w:rsid w:val="00514E16"/>
    <w:rsid w:val="005159B7"/>
    <w:rsid w:val="00517F02"/>
    <w:rsid w:val="00520D62"/>
    <w:rsid w:val="005218E8"/>
    <w:rsid w:val="00521DE0"/>
    <w:rsid w:val="00524303"/>
    <w:rsid w:val="005244EB"/>
    <w:rsid w:val="005258A2"/>
    <w:rsid w:val="00526473"/>
    <w:rsid w:val="00526C9F"/>
    <w:rsid w:val="00527895"/>
    <w:rsid w:val="00532605"/>
    <w:rsid w:val="00533207"/>
    <w:rsid w:val="00533375"/>
    <w:rsid w:val="0053421C"/>
    <w:rsid w:val="005347BA"/>
    <w:rsid w:val="00534EAD"/>
    <w:rsid w:val="00534FB5"/>
    <w:rsid w:val="00535D1A"/>
    <w:rsid w:val="00537EF8"/>
    <w:rsid w:val="005400F8"/>
    <w:rsid w:val="005401AE"/>
    <w:rsid w:val="00541530"/>
    <w:rsid w:val="00541DBD"/>
    <w:rsid w:val="00542E07"/>
    <w:rsid w:val="00544BF9"/>
    <w:rsid w:val="00545424"/>
    <w:rsid w:val="00547C3B"/>
    <w:rsid w:val="00550234"/>
    <w:rsid w:val="00550388"/>
    <w:rsid w:val="005508CC"/>
    <w:rsid w:val="00550D02"/>
    <w:rsid w:val="0055326D"/>
    <w:rsid w:val="00554A7B"/>
    <w:rsid w:val="0055572C"/>
    <w:rsid w:val="00555806"/>
    <w:rsid w:val="00555C95"/>
    <w:rsid w:val="00556080"/>
    <w:rsid w:val="00560464"/>
    <w:rsid w:val="0056106A"/>
    <w:rsid w:val="00561A7A"/>
    <w:rsid w:val="00562CEB"/>
    <w:rsid w:val="005639C3"/>
    <w:rsid w:val="00566262"/>
    <w:rsid w:val="00570583"/>
    <w:rsid w:val="005720AE"/>
    <w:rsid w:val="00572B2C"/>
    <w:rsid w:val="00582AA0"/>
    <w:rsid w:val="00583C10"/>
    <w:rsid w:val="00584A83"/>
    <w:rsid w:val="00586436"/>
    <w:rsid w:val="00586F83"/>
    <w:rsid w:val="0058791F"/>
    <w:rsid w:val="00587BDE"/>
    <w:rsid w:val="00592F56"/>
    <w:rsid w:val="00593D32"/>
    <w:rsid w:val="005942F7"/>
    <w:rsid w:val="00594D77"/>
    <w:rsid w:val="00594F81"/>
    <w:rsid w:val="00595414"/>
    <w:rsid w:val="005956AE"/>
    <w:rsid w:val="005961F9"/>
    <w:rsid w:val="005969E4"/>
    <w:rsid w:val="005A03B3"/>
    <w:rsid w:val="005A06B7"/>
    <w:rsid w:val="005A1759"/>
    <w:rsid w:val="005A2B6E"/>
    <w:rsid w:val="005A404F"/>
    <w:rsid w:val="005A4789"/>
    <w:rsid w:val="005A59B6"/>
    <w:rsid w:val="005A68A7"/>
    <w:rsid w:val="005A7FE5"/>
    <w:rsid w:val="005B0D14"/>
    <w:rsid w:val="005B41B8"/>
    <w:rsid w:val="005B4F8A"/>
    <w:rsid w:val="005B50D9"/>
    <w:rsid w:val="005B5883"/>
    <w:rsid w:val="005C3C7D"/>
    <w:rsid w:val="005C40F8"/>
    <w:rsid w:val="005C5F40"/>
    <w:rsid w:val="005C6089"/>
    <w:rsid w:val="005C6D03"/>
    <w:rsid w:val="005C7897"/>
    <w:rsid w:val="005D08E5"/>
    <w:rsid w:val="005D2C02"/>
    <w:rsid w:val="005D359D"/>
    <w:rsid w:val="005D36AB"/>
    <w:rsid w:val="005D370A"/>
    <w:rsid w:val="005D513F"/>
    <w:rsid w:val="005D532E"/>
    <w:rsid w:val="005D6206"/>
    <w:rsid w:val="005D6B5C"/>
    <w:rsid w:val="005D7EC8"/>
    <w:rsid w:val="005E27A0"/>
    <w:rsid w:val="005E3BB8"/>
    <w:rsid w:val="005E4952"/>
    <w:rsid w:val="005F0B16"/>
    <w:rsid w:val="005F1A66"/>
    <w:rsid w:val="005F1ACE"/>
    <w:rsid w:val="005F5E36"/>
    <w:rsid w:val="005F5F8E"/>
    <w:rsid w:val="005F7220"/>
    <w:rsid w:val="00600BC2"/>
    <w:rsid w:val="006011C9"/>
    <w:rsid w:val="00601466"/>
    <w:rsid w:val="006020F3"/>
    <w:rsid w:val="00602865"/>
    <w:rsid w:val="00603848"/>
    <w:rsid w:val="006044C1"/>
    <w:rsid w:val="006054F6"/>
    <w:rsid w:val="00606440"/>
    <w:rsid w:val="00606B6A"/>
    <w:rsid w:val="00607560"/>
    <w:rsid w:val="00612CC8"/>
    <w:rsid w:val="00613449"/>
    <w:rsid w:val="0061381B"/>
    <w:rsid w:val="00616421"/>
    <w:rsid w:val="00617CC3"/>
    <w:rsid w:val="006223A4"/>
    <w:rsid w:val="00626734"/>
    <w:rsid w:val="006318A8"/>
    <w:rsid w:val="006328C5"/>
    <w:rsid w:val="006377A6"/>
    <w:rsid w:val="006378A8"/>
    <w:rsid w:val="00637A3D"/>
    <w:rsid w:val="00637C9D"/>
    <w:rsid w:val="006411EF"/>
    <w:rsid w:val="00642FEC"/>
    <w:rsid w:val="006457E5"/>
    <w:rsid w:val="00647D0B"/>
    <w:rsid w:val="006503BA"/>
    <w:rsid w:val="00651AE6"/>
    <w:rsid w:val="00654F67"/>
    <w:rsid w:val="00655119"/>
    <w:rsid w:val="006555E5"/>
    <w:rsid w:val="00655BE6"/>
    <w:rsid w:val="0065672C"/>
    <w:rsid w:val="00656BD5"/>
    <w:rsid w:val="006570D2"/>
    <w:rsid w:val="00657734"/>
    <w:rsid w:val="00657EFB"/>
    <w:rsid w:val="0066326D"/>
    <w:rsid w:val="00663A34"/>
    <w:rsid w:val="00663A68"/>
    <w:rsid w:val="00664718"/>
    <w:rsid w:val="006656CC"/>
    <w:rsid w:val="00666B7F"/>
    <w:rsid w:val="006674D1"/>
    <w:rsid w:val="0067058F"/>
    <w:rsid w:val="00671D65"/>
    <w:rsid w:val="00674323"/>
    <w:rsid w:val="006748B8"/>
    <w:rsid w:val="00675C76"/>
    <w:rsid w:val="006774F1"/>
    <w:rsid w:val="00677589"/>
    <w:rsid w:val="006775C3"/>
    <w:rsid w:val="00677D7E"/>
    <w:rsid w:val="00677D95"/>
    <w:rsid w:val="00680501"/>
    <w:rsid w:val="00682318"/>
    <w:rsid w:val="00684C33"/>
    <w:rsid w:val="0068502C"/>
    <w:rsid w:val="006860D5"/>
    <w:rsid w:val="006878B3"/>
    <w:rsid w:val="00690891"/>
    <w:rsid w:val="00691ADB"/>
    <w:rsid w:val="00691E70"/>
    <w:rsid w:val="0069290A"/>
    <w:rsid w:val="00693D8E"/>
    <w:rsid w:val="00693E21"/>
    <w:rsid w:val="0069401E"/>
    <w:rsid w:val="0069775A"/>
    <w:rsid w:val="00697813"/>
    <w:rsid w:val="006A2B9F"/>
    <w:rsid w:val="006A3403"/>
    <w:rsid w:val="006A35B4"/>
    <w:rsid w:val="006A3EE8"/>
    <w:rsid w:val="006A50BD"/>
    <w:rsid w:val="006A51D6"/>
    <w:rsid w:val="006A5D1B"/>
    <w:rsid w:val="006A72BF"/>
    <w:rsid w:val="006B03F2"/>
    <w:rsid w:val="006B33DB"/>
    <w:rsid w:val="006B35A2"/>
    <w:rsid w:val="006B37DC"/>
    <w:rsid w:val="006B3B2C"/>
    <w:rsid w:val="006B3E99"/>
    <w:rsid w:val="006B416D"/>
    <w:rsid w:val="006B4620"/>
    <w:rsid w:val="006B46C3"/>
    <w:rsid w:val="006B480F"/>
    <w:rsid w:val="006B4F68"/>
    <w:rsid w:val="006B55E1"/>
    <w:rsid w:val="006B5F85"/>
    <w:rsid w:val="006B6D5F"/>
    <w:rsid w:val="006B744E"/>
    <w:rsid w:val="006C0592"/>
    <w:rsid w:val="006C272E"/>
    <w:rsid w:val="006C4C2C"/>
    <w:rsid w:val="006C4DBE"/>
    <w:rsid w:val="006C5479"/>
    <w:rsid w:val="006C717E"/>
    <w:rsid w:val="006D07DC"/>
    <w:rsid w:val="006D0B03"/>
    <w:rsid w:val="006D13B5"/>
    <w:rsid w:val="006D1663"/>
    <w:rsid w:val="006D2AE5"/>
    <w:rsid w:val="006D45B1"/>
    <w:rsid w:val="006D46AD"/>
    <w:rsid w:val="006D69D2"/>
    <w:rsid w:val="006E12FF"/>
    <w:rsid w:val="006E14A6"/>
    <w:rsid w:val="006E20C6"/>
    <w:rsid w:val="006E2A98"/>
    <w:rsid w:val="006E5090"/>
    <w:rsid w:val="006E607E"/>
    <w:rsid w:val="006E75FC"/>
    <w:rsid w:val="006F1375"/>
    <w:rsid w:val="006F24FD"/>
    <w:rsid w:val="006F2A09"/>
    <w:rsid w:val="006F379D"/>
    <w:rsid w:val="006F465C"/>
    <w:rsid w:val="006F522F"/>
    <w:rsid w:val="006F5B0A"/>
    <w:rsid w:val="006F5D53"/>
    <w:rsid w:val="006F6015"/>
    <w:rsid w:val="006F6A5F"/>
    <w:rsid w:val="007018EC"/>
    <w:rsid w:val="007023DD"/>
    <w:rsid w:val="0070250D"/>
    <w:rsid w:val="007028C7"/>
    <w:rsid w:val="00702EA7"/>
    <w:rsid w:val="0070378F"/>
    <w:rsid w:val="00706C5D"/>
    <w:rsid w:val="00707AA9"/>
    <w:rsid w:val="00716F02"/>
    <w:rsid w:val="0071719D"/>
    <w:rsid w:val="00724140"/>
    <w:rsid w:val="007258B2"/>
    <w:rsid w:val="007264AB"/>
    <w:rsid w:val="00726DD0"/>
    <w:rsid w:val="00727A88"/>
    <w:rsid w:val="00727D81"/>
    <w:rsid w:val="00731374"/>
    <w:rsid w:val="00731ABB"/>
    <w:rsid w:val="00732922"/>
    <w:rsid w:val="007332A2"/>
    <w:rsid w:val="00733E1D"/>
    <w:rsid w:val="00735949"/>
    <w:rsid w:val="00735AF4"/>
    <w:rsid w:val="00735B6D"/>
    <w:rsid w:val="0073783E"/>
    <w:rsid w:val="00741ACD"/>
    <w:rsid w:val="00741F9D"/>
    <w:rsid w:val="00743F95"/>
    <w:rsid w:val="00750C3D"/>
    <w:rsid w:val="0075162E"/>
    <w:rsid w:val="0075187A"/>
    <w:rsid w:val="00752AB1"/>
    <w:rsid w:val="007539B8"/>
    <w:rsid w:val="00753F51"/>
    <w:rsid w:val="00754034"/>
    <w:rsid w:val="00756556"/>
    <w:rsid w:val="00756803"/>
    <w:rsid w:val="00756F56"/>
    <w:rsid w:val="007578AD"/>
    <w:rsid w:val="00760B64"/>
    <w:rsid w:val="00761598"/>
    <w:rsid w:val="007618C4"/>
    <w:rsid w:val="007620ED"/>
    <w:rsid w:val="0076397F"/>
    <w:rsid w:val="00763B08"/>
    <w:rsid w:val="007642F9"/>
    <w:rsid w:val="007656F4"/>
    <w:rsid w:val="00767980"/>
    <w:rsid w:val="00767BA6"/>
    <w:rsid w:val="00770B19"/>
    <w:rsid w:val="007714BB"/>
    <w:rsid w:val="00771D47"/>
    <w:rsid w:val="0077463F"/>
    <w:rsid w:val="00775CE8"/>
    <w:rsid w:val="00776766"/>
    <w:rsid w:val="00776ACC"/>
    <w:rsid w:val="00776E8D"/>
    <w:rsid w:val="00780C99"/>
    <w:rsid w:val="00782439"/>
    <w:rsid w:val="00782849"/>
    <w:rsid w:val="007829B3"/>
    <w:rsid w:val="00782E84"/>
    <w:rsid w:val="00783125"/>
    <w:rsid w:val="0078355B"/>
    <w:rsid w:val="007836EA"/>
    <w:rsid w:val="00784CDA"/>
    <w:rsid w:val="00785A5A"/>
    <w:rsid w:val="00785A8D"/>
    <w:rsid w:val="00787879"/>
    <w:rsid w:val="007879D6"/>
    <w:rsid w:val="0079068C"/>
    <w:rsid w:val="007906C4"/>
    <w:rsid w:val="00792188"/>
    <w:rsid w:val="00793CB7"/>
    <w:rsid w:val="007940EA"/>
    <w:rsid w:val="007948BD"/>
    <w:rsid w:val="00794C5E"/>
    <w:rsid w:val="007967E8"/>
    <w:rsid w:val="00796F16"/>
    <w:rsid w:val="00797982"/>
    <w:rsid w:val="007A1FB0"/>
    <w:rsid w:val="007A2170"/>
    <w:rsid w:val="007A22BF"/>
    <w:rsid w:val="007A3323"/>
    <w:rsid w:val="007A6BAE"/>
    <w:rsid w:val="007A6FB9"/>
    <w:rsid w:val="007B0B9D"/>
    <w:rsid w:val="007B267A"/>
    <w:rsid w:val="007B3D46"/>
    <w:rsid w:val="007B6B67"/>
    <w:rsid w:val="007B72B8"/>
    <w:rsid w:val="007B7A58"/>
    <w:rsid w:val="007C0984"/>
    <w:rsid w:val="007C161F"/>
    <w:rsid w:val="007C1DB9"/>
    <w:rsid w:val="007C21B5"/>
    <w:rsid w:val="007C274F"/>
    <w:rsid w:val="007C29C1"/>
    <w:rsid w:val="007C6BC2"/>
    <w:rsid w:val="007C74B3"/>
    <w:rsid w:val="007C757D"/>
    <w:rsid w:val="007C7B54"/>
    <w:rsid w:val="007C7EE9"/>
    <w:rsid w:val="007D07DF"/>
    <w:rsid w:val="007D1E2E"/>
    <w:rsid w:val="007D277D"/>
    <w:rsid w:val="007D312B"/>
    <w:rsid w:val="007D3B1A"/>
    <w:rsid w:val="007D3DEA"/>
    <w:rsid w:val="007D4529"/>
    <w:rsid w:val="007D738D"/>
    <w:rsid w:val="007E08E9"/>
    <w:rsid w:val="007E1BFF"/>
    <w:rsid w:val="007E228D"/>
    <w:rsid w:val="007E2857"/>
    <w:rsid w:val="007E32DE"/>
    <w:rsid w:val="007E450E"/>
    <w:rsid w:val="007E4B4E"/>
    <w:rsid w:val="007E4BD2"/>
    <w:rsid w:val="007E608F"/>
    <w:rsid w:val="007E6CB3"/>
    <w:rsid w:val="007E6D97"/>
    <w:rsid w:val="007E7F24"/>
    <w:rsid w:val="007F21D3"/>
    <w:rsid w:val="007F6E58"/>
    <w:rsid w:val="007F7EAE"/>
    <w:rsid w:val="00801393"/>
    <w:rsid w:val="00802CA3"/>
    <w:rsid w:val="00802F88"/>
    <w:rsid w:val="008037B5"/>
    <w:rsid w:val="008060BE"/>
    <w:rsid w:val="0080699F"/>
    <w:rsid w:val="00811E2A"/>
    <w:rsid w:val="0081293E"/>
    <w:rsid w:val="00812AAA"/>
    <w:rsid w:val="00815465"/>
    <w:rsid w:val="0081559C"/>
    <w:rsid w:val="00816F05"/>
    <w:rsid w:val="008172A7"/>
    <w:rsid w:val="00817966"/>
    <w:rsid w:val="00817C96"/>
    <w:rsid w:val="00817E9A"/>
    <w:rsid w:val="00821C87"/>
    <w:rsid w:val="00821D56"/>
    <w:rsid w:val="00821F9C"/>
    <w:rsid w:val="00825119"/>
    <w:rsid w:val="008255A7"/>
    <w:rsid w:val="0082645D"/>
    <w:rsid w:val="00827EDF"/>
    <w:rsid w:val="00827EE7"/>
    <w:rsid w:val="008306BD"/>
    <w:rsid w:val="00831A80"/>
    <w:rsid w:val="00831D60"/>
    <w:rsid w:val="00832581"/>
    <w:rsid w:val="00832755"/>
    <w:rsid w:val="00832764"/>
    <w:rsid w:val="0083322E"/>
    <w:rsid w:val="00833743"/>
    <w:rsid w:val="008340A4"/>
    <w:rsid w:val="00834FDC"/>
    <w:rsid w:val="00846EED"/>
    <w:rsid w:val="00850630"/>
    <w:rsid w:val="00851637"/>
    <w:rsid w:val="00851A87"/>
    <w:rsid w:val="008531E0"/>
    <w:rsid w:val="008534F5"/>
    <w:rsid w:val="008542FC"/>
    <w:rsid w:val="00854F4E"/>
    <w:rsid w:val="00855041"/>
    <w:rsid w:val="00855E35"/>
    <w:rsid w:val="00856B5D"/>
    <w:rsid w:val="00857980"/>
    <w:rsid w:val="0086128A"/>
    <w:rsid w:val="00862736"/>
    <w:rsid w:val="00862E31"/>
    <w:rsid w:val="0086536F"/>
    <w:rsid w:val="00866097"/>
    <w:rsid w:val="0087135F"/>
    <w:rsid w:val="00871C97"/>
    <w:rsid w:val="00872906"/>
    <w:rsid w:val="008729A0"/>
    <w:rsid w:val="00872D94"/>
    <w:rsid w:val="008733B7"/>
    <w:rsid w:val="008737A0"/>
    <w:rsid w:val="00875B38"/>
    <w:rsid w:val="00880364"/>
    <w:rsid w:val="00881ED1"/>
    <w:rsid w:val="00884BCF"/>
    <w:rsid w:val="00886E99"/>
    <w:rsid w:val="00887A73"/>
    <w:rsid w:val="008903DA"/>
    <w:rsid w:val="00890952"/>
    <w:rsid w:val="00891592"/>
    <w:rsid w:val="00891E9E"/>
    <w:rsid w:val="00893220"/>
    <w:rsid w:val="00893529"/>
    <w:rsid w:val="0089364A"/>
    <w:rsid w:val="00893A27"/>
    <w:rsid w:val="00893E6F"/>
    <w:rsid w:val="00895E39"/>
    <w:rsid w:val="008A0252"/>
    <w:rsid w:val="008A1940"/>
    <w:rsid w:val="008A2F68"/>
    <w:rsid w:val="008A3B3F"/>
    <w:rsid w:val="008A5922"/>
    <w:rsid w:val="008A6603"/>
    <w:rsid w:val="008A6D7E"/>
    <w:rsid w:val="008A73F2"/>
    <w:rsid w:val="008B159D"/>
    <w:rsid w:val="008B3781"/>
    <w:rsid w:val="008B3A0B"/>
    <w:rsid w:val="008B3DAC"/>
    <w:rsid w:val="008B4218"/>
    <w:rsid w:val="008B4B75"/>
    <w:rsid w:val="008B4FA6"/>
    <w:rsid w:val="008B5282"/>
    <w:rsid w:val="008B7C17"/>
    <w:rsid w:val="008C0459"/>
    <w:rsid w:val="008C05BD"/>
    <w:rsid w:val="008C2D01"/>
    <w:rsid w:val="008C334F"/>
    <w:rsid w:val="008C40E6"/>
    <w:rsid w:val="008C4EF3"/>
    <w:rsid w:val="008C577D"/>
    <w:rsid w:val="008C6C89"/>
    <w:rsid w:val="008C7B43"/>
    <w:rsid w:val="008D0F7A"/>
    <w:rsid w:val="008D3AF1"/>
    <w:rsid w:val="008D40CB"/>
    <w:rsid w:val="008D5EB4"/>
    <w:rsid w:val="008D61CB"/>
    <w:rsid w:val="008D68E4"/>
    <w:rsid w:val="008D6E29"/>
    <w:rsid w:val="008D7916"/>
    <w:rsid w:val="008E0506"/>
    <w:rsid w:val="008E0CFF"/>
    <w:rsid w:val="008E1A54"/>
    <w:rsid w:val="008E4315"/>
    <w:rsid w:val="008E47ED"/>
    <w:rsid w:val="008E4A1A"/>
    <w:rsid w:val="008E5AD8"/>
    <w:rsid w:val="008E5D6B"/>
    <w:rsid w:val="008E76F0"/>
    <w:rsid w:val="008F044F"/>
    <w:rsid w:val="008F064D"/>
    <w:rsid w:val="008F15FE"/>
    <w:rsid w:val="008F1812"/>
    <w:rsid w:val="008F2AF3"/>
    <w:rsid w:val="008F2D29"/>
    <w:rsid w:val="008F5187"/>
    <w:rsid w:val="008F60D8"/>
    <w:rsid w:val="008F6357"/>
    <w:rsid w:val="008F7526"/>
    <w:rsid w:val="008F7DEA"/>
    <w:rsid w:val="00901A36"/>
    <w:rsid w:val="00901D96"/>
    <w:rsid w:val="009024EF"/>
    <w:rsid w:val="00902727"/>
    <w:rsid w:val="0090312B"/>
    <w:rsid w:val="00905927"/>
    <w:rsid w:val="009059AE"/>
    <w:rsid w:val="009062E9"/>
    <w:rsid w:val="00906836"/>
    <w:rsid w:val="00907DA8"/>
    <w:rsid w:val="00914450"/>
    <w:rsid w:val="009150F5"/>
    <w:rsid w:val="00916F30"/>
    <w:rsid w:val="0091736D"/>
    <w:rsid w:val="00917F00"/>
    <w:rsid w:val="00921412"/>
    <w:rsid w:val="00921660"/>
    <w:rsid w:val="00921AF7"/>
    <w:rsid w:val="00922404"/>
    <w:rsid w:val="0092302F"/>
    <w:rsid w:val="009279C0"/>
    <w:rsid w:val="0093037A"/>
    <w:rsid w:val="0093402D"/>
    <w:rsid w:val="00934392"/>
    <w:rsid w:val="009350D9"/>
    <w:rsid w:val="0094154D"/>
    <w:rsid w:val="009418AD"/>
    <w:rsid w:val="00944EAF"/>
    <w:rsid w:val="009450A0"/>
    <w:rsid w:val="00945DA2"/>
    <w:rsid w:val="00946568"/>
    <w:rsid w:val="00946641"/>
    <w:rsid w:val="00947DEB"/>
    <w:rsid w:val="0095155F"/>
    <w:rsid w:val="00951B52"/>
    <w:rsid w:val="00954429"/>
    <w:rsid w:val="00954FD6"/>
    <w:rsid w:val="009563CE"/>
    <w:rsid w:val="00956415"/>
    <w:rsid w:val="00960218"/>
    <w:rsid w:val="00962A24"/>
    <w:rsid w:val="00962ADC"/>
    <w:rsid w:val="00974275"/>
    <w:rsid w:val="00974D70"/>
    <w:rsid w:val="00975A15"/>
    <w:rsid w:val="00975D05"/>
    <w:rsid w:val="00975D63"/>
    <w:rsid w:val="00976328"/>
    <w:rsid w:val="0097680D"/>
    <w:rsid w:val="0098035C"/>
    <w:rsid w:val="0098112E"/>
    <w:rsid w:val="00982438"/>
    <w:rsid w:val="00983564"/>
    <w:rsid w:val="00983681"/>
    <w:rsid w:val="0098404C"/>
    <w:rsid w:val="00984838"/>
    <w:rsid w:val="00985283"/>
    <w:rsid w:val="00985C3A"/>
    <w:rsid w:val="00987D09"/>
    <w:rsid w:val="00991FF9"/>
    <w:rsid w:val="009925AE"/>
    <w:rsid w:val="00993247"/>
    <w:rsid w:val="00993C20"/>
    <w:rsid w:val="00995992"/>
    <w:rsid w:val="00996E19"/>
    <w:rsid w:val="00997573"/>
    <w:rsid w:val="009A03E5"/>
    <w:rsid w:val="009A0403"/>
    <w:rsid w:val="009A0F3B"/>
    <w:rsid w:val="009A1BB4"/>
    <w:rsid w:val="009A1C5F"/>
    <w:rsid w:val="009A230E"/>
    <w:rsid w:val="009A2628"/>
    <w:rsid w:val="009A3200"/>
    <w:rsid w:val="009A3879"/>
    <w:rsid w:val="009A4D7B"/>
    <w:rsid w:val="009A58D5"/>
    <w:rsid w:val="009B023C"/>
    <w:rsid w:val="009B0511"/>
    <w:rsid w:val="009B0897"/>
    <w:rsid w:val="009B2655"/>
    <w:rsid w:val="009B31B1"/>
    <w:rsid w:val="009B45CE"/>
    <w:rsid w:val="009B4F16"/>
    <w:rsid w:val="009B5492"/>
    <w:rsid w:val="009B6F63"/>
    <w:rsid w:val="009B7BD9"/>
    <w:rsid w:val="009C0CB3"/>
    <w:rsid w:val="009C14DC"/>
    <w:rsid w:val="009C2053"/>
    <w:rsid w:val="009C2FFF"/>
    <w:rsid w:val="009C4739"/>
    <w:rsid w:val="009C7DD5"/>
    <w:rsid w:val="009D1224"/>
    <w:rsid w:val="009D170B"/>
    <w:rsid w:val="009D23C3"/>
    <w:rsid w:val="009D291C"/>
    <w:rsid w:val="009D398F"/>
    <w:rsid w:val="009E0AA8"/>
    <w:rsid w:val="009E0BF0"/>
    <w:rsid w:val="009E14EC"/>
    <w:rsid w:val="009E1678"/>
    <w:rsid w:val="009E227D"/>
    <w:rsid w:val="009E2A35"/>
    <w:rsid w:val="009E3AD1"/>
    <w:rsid w:val="009E3B97"/>
    <w:rsid w:val="009E3BF3"/>
    <w:rsid w:val="009E5019"/>
    <w:rsid w:val="009F0C95"/>
    <w:rsid w:val="009F24B4"/>
    <w:rsid w:val="009F2E29"/>
    <w:rsid w:val="009F480D"/>
    <w:rsid w:val="009F4979"/>
    <w:rsid w:val="009F57AA"/>
    <w:rsid w:val="009F7D4E"/>
    <w:rsid w:val="00A01753"/>
    <w:rsid w:val="00A02D9D"/>
    <w:rsid w:val="00A0385B"/>
    <w:rsid w:val="00A03961"/>
    <w:rsid w:val="00A04F1B"/>
    <w:rsid w:val="00A0501B"/>
    <w:rsid w:val="00A055EE"/>
    <w:rsid w:val="00A120F0"/>
    <w:rsid w:val="00A12249"/>
    <w:rsid w:val="00A12E20"/>
    <w:rsid w:val="00A13018"/>
    <w:rsid w:val="00A14295"/>
    <w:rsid w:val="00A14947"/>
    <w:rsid w:val="00A17110"/>
    <w:rsid w:val="00A17395"/>
    <w:rsid w:val="00A20516"/>
    <w:rsid w:val="00A216AC"/>
    <w:rsid w:val="00A21CDB"/>
    <w:rsid w:val="00A23D46"/>
    <w:rsid w:val="00A23FF4"/>
    <w:rsid w:val="00A24832"/>
    <w:rsid w:val="00A312BA"/>
    <w:rsid w:val="00A3190A"/>
    <w:rsid w:val="00A32A83"/>
    <w:rsid w:val="00A32F9A"/>
    <w:rsid w:val="00A3374D"/>
    <w:rsid w:val="00A3636F"/>
    <w:rsid w:val="00A368DB"/>
    <w:rsid w:val="00A40CC8"/>
    <w:rsid w:val="00A41754"/>
    <w:rsid w:val="00A41877"/>
    <w:rsid w:val="00A423AA"/>
    <w:rsid w:val="00A42F5B"/>
    <w:rsid w:val="00A44F76"/>
    <w:rsid w:val="00A46228"/>
    <w:rsid w:val="00A4680D"/>
    <w:rsid w:val="00A5255E"/>
    <w:rsid w:val="00A52F8D"/>
    <w:rsid w:val="00A537BD"/>
    <w:rsid w:val="00A53B29"/>
    <w:rsid w:val="00A53EC6"/>
    <w:rsid w:val="00A53F0E"/>
    <w:rsid w:val="00A555AB"/>
    <w:rsid w:val="00A55C0F"/>
    <w:rsid w:val="00A55EE8"/>
    <w:rsid w:val="00A56261"/>
    <w:rsid w:val="00A61854"/>
    <w:rsid w:val="00A62727"/>
    <w:rsid w:val="00A62969"/>
    <w:rsid w:val="00A635B9"/>
    <w:rsid w:val="00A650D0"/>
    <w:rsid w:val="00A66507"/>
    <w:rsid w:val="00A719DD"/>
    <w:rsid w:val="00A720FE"/>
    <w:rsid w:val="00A72ABE"/>
    <w:rsid w:val="00A7308F"/>
    <w:rsid w:val="00A76E45"/>
    <w:rsid w:val="00A83124"/>
    <w:rsid w:val="00A836C0"/>
    <w:rsid w:val="00A83C76"/>
    <w:rsid w:val="00A859B2"/>
    <w:rsid w:val="00A85BB8"/>
    <w:rsid w:val="00A8713F"/>
    <w:rsid w:val="00A87A08"/>
    <w:rsid w:val="00A90BA1"/>
    <w:rsid w:val="00A9223C"/>
    <w:rsid w:val="00A93A44"/>
    <w:rsid w:val="00A9465B"/>
    <w:rsid w:val="00A95209"/>
    <w:rsid w:val="00A955A0"/>
    <w:rsid w:val="00A9586B"/>
    <w:rsid w:val="00A97125"/>
    <w:rsid w:val="00A97A9A"/>
    <w:rsid w:val="00AA0671"/>
    <w:rsid w:val="00AA100E"/>
    <w:rsid w:val="00AA1667"/>
    <w:rsid w:val="00AA2531"/>
    <w:rsid w:val="00AA2575"/>
    <w:rsid w:val="00AA3CD0"/>
    <w:rsid w:val="00AA513E"/>
    <w:rsid w:val="00AA6199"/>
    <w:rsid w:val="00AB1D45"/>
    <w:rsid w:val="00AB1E09"/>
    <w:rsid w:val="00AB1EE0"/>
    <w:rsid w:val="00AB2232"/>
    <w:rsid w:val="00AB5330"/>
    <w:rsid w:val="00AB6A82"/>
    <w:rsid w:val="00AB7716"/>
    <w:rsid w:val="00AB7747"/>
    <w:rsid w:val="00AB7BCB"/>
    <w:rsid w:val="00AC07BB"/>
    <w:rsid w:val="00AC0A65"/>
    <w:rsid w:val="00AC0B77"/>
    <w:rsid w:val="00AC14CE"/>
    <w:rsid w:val="00AC1A12"/>
    <w:rsid w:val="00AC22BC"/>
    <w:rsid w:val="00AC2A56"/>
    <w:rsid w:val="00AC415B"/>
    <w:rsid w:val="00AC43BF"/>
    <w:rsid w:val="00AC51DB"/>
    <w:rsid w:val="00AC6359"/>
    <w:rsid w:val="00AC75ED"/>
    <w:rsid w:val="00AD055E"/>
    <w:rsid w:val="00AD0568"/>
    <w:rsid w:val="00AD09C1"/>
    <w:rsid w:val="00AD0D11"/>
    <w:rsid w:val="00AD47A7"/>
    <w:rsid w:val="00AD6959"/>
    <w:rsid w:val="00AD6A4F"/>
    <w:rsid w:val="00AD7F7E"/>
    <w:rsid w:val="00AE1A41"/>
    <w:rsid w:val="00AE38FF"/>
    <w:rsid w:val="00AE4C06"/>
    <w:rsid w:val="00AE58B4"/>
    <w:rsid w:val="00AE7613"/>
    <w:rsid w:val="00AF0CBF"/>
    <w:rsid w:val="00AF0F0E"/>
    <w:rsid w:val="00AF2027"/>
    <w:rsid w:val="00AF257F"/>
    <w:rsid w:val="00AF30FB"/>
    <w:rsid w:val="00AF33CF"/>
    <w:rsid w:val="00AF4502"/>
    <w:rsid w:val="00AF4D50"/>
    <w:rsid w:val="00AF5BC7"/>
    <w:rsid w:val="00AF5DBC"/>
    <w:rsid w:val="00AF6179"/>
    <w:rsid w:val="00AF728B"/>
    <w:rsid w:val="00AF78F4"/>
    <w:rsid w:val="00B00CBD"/>
    <w:rsid w:val="00B019C6"/>
    <w:rsid w:val="00B01DB5"/>
    <w:rsid w:val="00B03780"/>
    <w:rsid w:val="00B059D1"/>
    <w:rsid w:val="00B077CB"/>
    <w:rsid w:val="00B101FC"/>
    <w:rsid w:val="00B1123E"/>
    <w:rsid w:val="00B1295A"/>
    <w:rsid w:val="00B12C7D"/>
    <w:rsid w:val="00B13E9E"/>
    <w:rsid w:val="00B14735"/>
    <w:rsid w:val="00B17768"/>
    <w:rsid w:val="00B20443"/>
    <w:rsid w:val="00B20A45"/>
    <w:rsid w:val="00B20AC2"/>
    <w:rsid w:val="00B21F65"/>
    <w:rsid w:val="00B2255F"/>
    <w:rsid w:val="00B2273F"/>
    <w:rsid w:val="00B22C5C"/>
    <w:rsid w:val="00B22F55"/>
    <w:rsid w:val="00B23047"/>
    <w:rsid w:val="00B24C6D"/>
    <w:rsid w:val="00B24F30"/>
    <w:rsid w:val="00B2516D"/>
    <w:rsid w:val="00B26E82"/>
    <w:rsid w:val="00B27542"/>
    <w:rsid w:val="00B277F0"/>
    <w:rsid w:val="00B27F79"/>
    <w:rsid w:val="00B31ABF"/>
    <w:rsid w:val="00B33BE3"/>
    <w:rsid w:val="00B34463"/>
    <w:rsid w:val="00B348D3"/>
    <w:rsid w:val="00B362E9"/>
    <w:rsid w:val="00B36C63"/>
    <w:rsid w:val="00B403EF"/>
    <w:rsid w:val="00B41FFE"/>
    <w:rsid w:val="00B426B3"/>
    <w:rsid w:val="00B44D3D"/>
    <w:rsid w:val="00B454E8"/>
    <w:rsid w:val="00B50E4A"/>
    <w:rsid w:val="00B51AA3"/>
    <w:rsid w:val="00B52372"/>
    <w:rsid w:val="00B52413"/>
    <w:rsid w:val="00B52E52"/>
    <w:rsid w:val="00B5391C"/>
    <w:rsid w:val="00B53B5D"/>
    <w:rsid w:val="00B542B0"/>
    <w:rsid w:val="00B54A28"/>
    <w:rsid w:val="00B55FDB"/>
    <w:rsid w:val="00B6055E"/>
    <w:rsid w:val="00B60D8D"/>
    <w:rsid w:val="00B6317D"/>
    <w:rsid w:val="00B64256"/>
    <w:rsid w:val="00B64EB2"/>
    <w:rsid w:val="00B653EC"/>
    <w:rsid w:val="00B659E4"/>
    <w:rsid w:val="00B65B68"/>
    <w:rsid w:val="00B66206"/>
    <w:rsid w:val="00B674F7"/>
    <w:rsid w:val="00B67F11"/>
    <w:rsid w:val="00B75B0A"/>
    <w:rsid w:val="00B7723F"/>
    <w:rsid w:val="00B77472"/>
    <w:rsid w:val="00B800C6"/>
    <w:rsid w:val="00B80534"/>
    <w:rsid w:val="00B81C14"/>
    <w:rsid w:val="00B8316D"/>
    <w:rsid w:val="00B8433C"/>
    <w:rsid w:val="00B84CF2"/>
    <w:rsid w:val="00B87491"/>
    <w:rsid w:val="00B87EAC"/>
    <w:rsid w:val="00B9061B"/>
    <w:rsid w:val="00B9172E"/>
    <w:rsid w:val="00B928A5"/>
    <w:rsid w:val="00B933AE"/>
    <w:rsid w:val="00B95D64"/>
    <w:rsid w:val="00B95F8D"/>
    <w:rsid w:val="00BA21ED"/>
    <w:rsid w:val="00BA2638"/>
    <w:rsid w:val="00BA29E9"/>
    <w:rsid w:val="00BA309D"/>
    <w:rsid w:val="00BA4FBB"/>
    <w:rsid w:val="00BA65CB"/>
    <w:rsid w:val="00BA7142"/>
    <w:rsid w:val="00BA7B00"/>
    <w:rsid w:val="00BB237C"/>
    <w:rsid w:val="00BB41A3"/>
    <w:rsid w:val="00BB44E0"/>
    <w:rsid w:val="00BB4C1D"/>
    <w:rsid w:val="00BB4DFF"/>
    <w:rsid w:val="00BB6288"/>
    <w:rsid w:val="00BB6D0A"/>
    <w:rsid w:val="00BB744B"/>
    <w:rsid w:val="00BC0CBF"/>
    <w:rsid w:val="00BC1904"/>
    <w:rsid w:val="00BC3046"/>
    <w:rsid w:val="00BC32DC"/>
    <w:rsid w:val="00BC35B6"/>
    <w:rsid w:val="00BC4C18"/>
    <w:rsid w:val="00BC5FF8"/>
    <w:rsid w:val="00BC6F37"/>
    <w:rsid w:val="00BC70E0"/>
    <w:rsid w:val="00BC7F6B"/>
    <w:rsid w:val="00BD0603"/>
    <w:rsid w:val="00BD09C3"/>
    <w:rsid w:val="00BD1B51"/>
    <w:rsid w:val="00BD269B"/>
    <w:rsid w:val="00BD3209"/>
    <w:rsid w:val="00BD34F7"/>
    <w:rsid w:val="00BD4150"/>
    <w:rsid w:val="00BD4596"/>
    <w:rsid w:val="00BD5AD9"/>
    <w:rsid w:val="00BD7DAC"/>
    <w:rsid w:val="00BD7EA1"/>
    <w:rsid w:val="00BE040D"/>
    <w:rsid w:val="00BE1405"/>
    <w:rsid w:val="00BE312D"/>
    <w:rsid w:val="00BE525E"/>
    <w:rsid w:val="00BE5E19"/>
    <w:rsid w:val="00BE69B8"/>
    <w:rsid w:val="00BE709B"/>
    <w:rsid w:val="00BF07A7"/>
    <w:rsid w:val="00BF0BDD"/>
    <w:rsid w:val="00BF1092"/>
    <w:rsid w:val="00BF1185"/>
    <w:rsid w:val="00BF18B8"/>
    <w:rsid w:val="00BF1C20"/>
    <w:rsid w:val="00BF31B1"/>
    <w:rsid w:val="00BF34A0"/>
    <w:rsid w:val="00BF5324"/>
    <w:rsid w:val="00C0077A"/>
    <w:rsid w:val="00C0125F"/>
    <w:rsid w:val="00C01C9F"/>
    <w:rsid w:val="00C023CA"/>
    <w:rsid w:val="00C0253F"/>
    <w:rsid w:val="00C03296"/>
    <w:rsid w:val="00C065B1"/>
    <w:rsid w:val="00C07264"/>
    <w:rsid w:val="00C10578"/>
    <w:rsid w:val="00C109D1"/>
    <w:rsid w:val="00C113E4"/>
    <w:rsid w:val="00C11E50"/>
    <w:rsid w:val="00C135BC"/>
    <w:rsid w:val="00C13C95"/>
    <w:rsid w:val="00C145E5"/>
    <w:rsid w:val="00C14EF7"/>
    <w:rsid w:val="00C154C4"/>
    <w:rsid w:val="00C15C95"/>
    <w:rsid w:val="00C16019"/>
    <w:rsid w:val="00C175EC"/>
    <w:rsid w:val="00C17725"/>
    <w:rsid w:val="00C17B6A"/>
    <w:rsid w:val="00C20224"/>
    <w:rsid w:val="00C20AA9"/>
    <w:rsid w:val="00C22240"/>
    <w:rsid w:val="00C22CDB"/>
    <w:rsid w:val="00C240B6"/>
    <w:rsid w:val="00C256A1"/>
    <w:rsid w:val="00C2596A"/>
    <w:rsid w:val="00C26621"/>
    <w:rsid w:val="00C27537"/>
    <w:rsid w:val="00C3038D"/>
    <w:rsid w:val="00C328FE"/>
    <w:rsid w:val="00C32CC4"/>
    <w:rsid w:val="00C33507"/>
    <w:rsid w:val="00C34AC0"/>
    <w:rsid w:val="00C3680A"/>
    <w:rsid w:val="00C378EE"/>
    <w:rsid w:val="00C40349"/>
    <w:rsid w:val="00C40FAB"/>
    <w:rsid w:val="00C417EF"/>
    <w:rsid w:val="00C41BF1"/>
    <w:rsid w:val="00C4308A"/>
    <w:rsid w:val="00C43A90"/>
    <w:rsid w:val="00C4409D"/>
    <w:rsid w:val="00C4434C"/>
    <w:rsid w:val="00C44E72"/>
    <w:rsid w:val="00C45471"/>
    <w:rsid w:val="00C4580A"/>
    <w:rsid w:val="00C45A06"/>
    <w:rsid w:val="00C4765E"/>
    <w:rsid w:val="00C47A1A"/>
    <w:rsid w:val="00C47E5B"/>
    <w:rsid w:val="00C505E8"/>
    <w:rsid w:val="00C5143B"/>
    <w:rsid w:val="00C525F5"/>
    <w:rsid w:val="00C52CC8"/>
    <w:rsid w:val="00C52DAC"/>
    <w:rsid w:val="00C53127"/>
    <w:rsid w:val="00C53ADA"/>
    <w:rsid w:val="00C5676D"/>
    <w:rsid w:val="00C61E4B"/>
    <w:rsid w:val="00C627E1"/>
    <w:rsid w:val="00C62B16"/>
    <w:rsid w:val="00C64BFF"/>
    <w:rsid w:val="00C704E9"/>
    <w:rsid w:val="00C70F8C"/>
    <w:rsid w:val="00C7259C"/>
    <w:rsid w:val="00C72AAC"/>
    <w:rsid w:val="00C7307D"/>
    <w:rsid w:val="00C75A03"/>
    <w:rsid w:val="00C763C9"/>
    <w:rsid w:val="00C765F4"/>
    <w:rsid w:val="00C774BF"/>
    <w:rsid w:val="00C80057"/>
    <w:rsid w:val="00C80E5C"/>
    <w:rsid w:val="00C8115E"/>
    <w:rsid w:val="00C81563"/>
    <w:rsid w:val="00C819F2"/>
    <w:rsid w:val="00C82232"/>
    <w:rsid w:val="00C82913"/>
    <w:rsid w:val="00C82FB3"/>
    <w:rsid w:val="00C84F0B"/>
    <w:rsid w:val="00C87A10"/>
    <w:rsid w:val="00C9028E"/>
    <w:rsid w:val="00C91F5F"/>
    <w:rsid w:val="00C92E50"/>
    <w:rsid w:val="00C931E2"/>
    <w:rsid w:val="00C933AB"/>
    <w:rsid w:val="00C942D3"/>
    <w:rsid w:val="00C94677"/>
    <w:rsid w:val="00C95942"/>
    <w:rsid w:val="00C966BA"/>
    <w:rsid w:val="00C9675A"/>
    <w:rsid w:val="00C96AD2"/>
    <w:rsid w:val="00C972B1"/>
    <w:rsid w:val="00C97655"/>
    <w:rsid w:val="00CA14E6"/>
    <w:rsid w:val="00CA259F"/>
    <w:rsid w:val="00CA2966"/>
    <w:rsid w:val="00CA2CCE"/>
    <w:rsid w:val="00CA33F4"/>
    <w:rsid w:val="00CA43FD"/>
    <w:rsid w:val="00CA441D"/>
    <w:rsid w:val="00CA51F4"/>
    <w:rsid w:val="00CA58B7"/>
    <w:rsid w:val="00CA5A1A"/>
    <w:rsid w:val="00CA5B4C"/>
    <w:rsid w:val="00CA6010"/>
    <w:rsid w:val="00CA7B56"/>
    <w:rsid w:val="00CA7EF8"/>
    <w:rsid w:val="00CB1FE8"/>
    <w:rsid w:val="00CB23A0"/>
    <w:rsid w:val="00CB3542"/>
    <w:rsid w:val="00CB4F65"/>
    <w:rsid w:val="00CB5078"/>
    <w:rsid w:val="00CB5A84"/>
    <w:rsid w:val="00CB7B6E"/>
    <w:rsid w:val="00CB7C8A"/>
    <w:rsid w:val="00CC2CA1"/>
    <w:rsid w:val="00CC303C"/>
    <w:rsid w:val="00CC36D2"/>
    <w:rsid w:val="00CC3B38"/>
    <w:rsid w:val="00CC489B"/>
    <w:rsid w:val="00CC6255"/>
    <w:rsid w:val="00CD026B"/>
    <w:rsid w:val="00CD087F"/>
    <w:rsid w:val="00CD0B97"/>
    <w:rsid w:val="00CD1CAF"/>
    <w:rsid w:val="00CD2BCD"/>
    <w:rsid w:val="00CD333F"/>
    <w:rsid w:val="00CD3774"/>
    <w:rsid w:val="00CD39BB"/>
    <w:rsid w:val="00CD3A4C"/>
    <w:rsid w:val="00CD57F7"/>
    <w:rsid w:val="00CD6302"/>
    <w:rsid w:val="00CE10E9"/>
    <w:rsid w:val="00CE2910"/>
    <w:rsid w:val="00CE4D01"/>
    <w:rsid w:val="00CE5393"/>
    <w:rsid w:val="00CE5EED"/>
    <w:rsid w:val="00CE6FF8"/>
    <w:rsid w:val="00CE740E"/>
    <w:rsid w:val="00CE7474"/>
    <w:rsid w:val="00CE74B2"/>
    <w:rsid w:val="00CF2FC2"/>
    <w:rsid w:val="00CF36BE"/>
    <w:rsid w:val="00CF4D23"/>
    <w:rsid w:val="00CF6000"/>
    <w:rsid w:val="00D003F3"/>
    <w:rsid w:val="00D00B94"/>
    <w:rsid w:val="00D01710"/>
    <w:rsid w:val="00D0364F"/>
    <w:rsid w:val="00D0384B"/>
    <w:rsid w:val="00D038B3"/>
    <w:rsid w:val="00D03922"/>
    <w:rsid w:val="00D06834"/>
    <w:rsid w:val="00D06B48"/>
    <w:rsid w:val="00D07B71"/>
    <w:rsid w:val="00D07DF8"/>
    <w:rsid w:val="00D10318"/>
    <w:rsid w:val="00D127D0"/>
    <w:rsid w:val="00D129A9"/>
    <w:rsid w:val="00D13F02"/>
    <w:rsid w:val="00D1461D"/>
    <w:rsid w:val="00D14CED"/>
    <w:rsid w:val="00D14E4F"/>
    <w:rsid w:val="00D16935"/>
    <w:rsid w:val="00D200FC"/>
    <w:rsid w:val="00D212FE"/>
    <w:rsid w:val="00D21E7C"/>
    <w:rsid w:val="00D221B1"/>
    <w:rsid w:val="00D230E1"/>
    <w:rsid w:val="00D23464"/>
    <w:rsid w:val="00D23788"/>
    <w:rsid w:val="00D24E4F"/>
    <w:rsid w:val="00D26B52"/>
    <w:rsid w:val="00D308ED"/>
    <w:rsid w:val="00D319C8"/>
    <w:rsid w:val="00D35589"/>
    <w:rsid w:val="00D36D86"/>
    <w:rsid w:val="00D37ABB"/>
    <w:rsid w:val="00D428AA"/>
    <w:rsid w:val="00D43CC9"/>
    <w:rsid w:val="00D43FD8"/>
    <w:rsid w:val="00D50A34"/>
    <w:rsid w:val="00D52211"/>
    <w:rsid w:val="00D522B7"/>
    <w:rsid w:val="00D52C09"/>
    <w:rsid w:val="00D52F59"/>
    <w:rsid w:val="00D53EFA"/>
    <w:rsid w:val="00D55259"/>
    <w:rsid w:val="00D557AF"/>
    <w:rsid w:val="00D62062"/>
    <w:rsid w:val="00D63509"/>
    <w:rsid w:val="00D63735"/>
    <w:rsid w:val="00D65D05"/>
    <w:rsid w:val="00D7027B"/>
    <w:rsid w:val="00D7110C"/>
    <w:rsid w:val="00D7159E"/>
    <w:rsid w:val="00D72403"/>
    <w:rsid w:val="00D73012"/>
    <w:rsid w:val="00D7414F"/>
    <w:rsid w:val="00D76826"/>
    <w:rsid w:val="00D76A5C"/>
    <w:rsid w:val="00D801E5"/>
    <w:rsid w:val="00D810C8"/>
    <w:rsid w:val="00D826E4"/>
    <w:rsid w:val="00D82706"/>
    <w:rsid w:val="00D82A8E"/>
    <w:rsid w:val="00D83E4F"/>
    <w:rsid w:val="00D83F4A"/>
    <w:rsid w:val="00D83F8D"/>
    <w:rsid w:val="00D8567F"/>
    <w:rsid w:val="00D86CE6"/>
    <w:rsid w:val="00D87A07"/>
    <w:rsid w:val="00D90307"/>
    <w:rsid w:val="00D90A35"/>
    <w:rsid w:val="00D916F3"/>
    <w:rsid w:val="00D93E3E"/>
    <w:rsid w:val="00D94A7C"/>
    <w:rsid w:val="00D95059"/>
    <w:rsid w:val="00D95896"/>
    <w:rsid w:val="00DA011D"/>
    <w:rsid w:val="00DA0AD1"/>
    <w:rsid w:val="00DA2156"/>
    <w:rsid w:val="00DA3711"/>
    <w:rsid w:val="00DA573E"/>
    <w:rsid w:val="00DA6E95"/>
    <w:rsid w:val="00DA7823"/>
    <w:rsid w:val="00DB2983"/>
    <w:rsid w:val="00DB4620"/>
    <w:rsid w:val="00DB60AF"/>
    <w:rsid w:val="00DB78C2"/>
    <w:rsid w:val="00DB7A4A"/>
    <w:rsid w:val="00DC1257"/>
    <w:rsid w:val="00DC15DB"/>
    <w:rsid w:val="00DC170A"/>
    <w:rsid w:val="00DC18C3"/>
    <w:rsid w:val="00DC1D1E"/>
    <w:rsid w:val="00DC25D5"/>
    <w:rsid w:val="00DC2CC1"/>
    <w:rsid w:val="00DC3DC0"/>
    <w:rsid w:val="00DC569C"/>
    <w:rsid w:val="00DC5B2B"/>
    <w:rsid w:val="00DC7111"/>
    <w:rsid w:val="00DD1C37"/>
    <w:rsid w:val="00DD1FCA"/>
    <w:rsid w:val="00DD2FB4"/>
    <w:rsid w:val="00DD318D"/>
    <w:rsid w:val="00DD4465"/>
    <w:rsid w:val="00DD4988"/>
    <w:rsid w:val="00DD67D9"/>
    <w:rsid w:val="00DE0B33"/>
    <w:rsid w:val="00DE1B2E"/>
    <w:rsid w:val="00DE43E3"/>
    <w:rsid w:val="00DE5411"/>
    <w:rsid w:val="00DE5AF9"/>
    <w:rsid w:val="00DE63E5"/>
    <w:rsid w:val="00DE6DC2"/>
    <w:rsid w:val="00DF2449"/>
    <w:rsid w:val="00DF2E12"/>
    <w:rsid w:val="00DF514A"/>
    <w:rsid w:val="00DF5B74"/>
    <w:rsid w:val="00DF6690"/>
    <w:rsid w:val="00DF6804"/>
    <w:rsid w:val="00DF7015"/>
    <w:rsid w:val="00DF7423"/>
    <w:rsid w:val="00E003A5"/>
    <w:rsid w:val="00E006D9"/>
    <w:rsid w:val="00E006E8"/>
    <w:rsid w:val="00E01254"/>
    <w:rsid w:val="00E0358D"/>
    <w:rsid w:val="00E04323"/>
    <w:rsid w:val="00E070A2"/>
    <w:rsid w:val="00E120F8"/>
    <w:rsid w:val="00E138F0"/>
    <w:rsid w:val="00E14849"/>
    <w:rsid w:val="00E16A0B"/>
    <w:rsid w:val="00E206A5"/>
    <w:rsid w:val="00E20D46"/>
    <w:rsid w:val="00E2146B"/>
    <w:rsid w:val="00E214CE"/>
    <w:rsid w:val="00E2379D"/>
    <w:rsid w:val="00E2656A"/>
    <w:rsid w:val="00E305F0"/>
    <w:rsid w:val="00E307E9"/>
    <w:rsid w:val="00E309CA"/>
    <w:rsid w:val="00E31531"/>
    <w:rsid w:val="00E319DC"/>
    <w:rsid w:val="00E322A9"/>
    <w:rsid w:val="00E3262B"/>
    <w:rsid w:val="00E34004"/>
    <w:rsid w:val="00E341AF"/>
    <w:rsid w:val="00E3546D"/>
    <w:rsid w:val="00E35920"/>
    <w:rsid w:val="00E37549"/>
    <w:rsid w:val="00E379E9"/>
    <w:rsid w:val="00E412D0"/>
    <w:rsid w:val="00E419DD"/>
    <w:rsid w:val="00E41D02"/>
    <w:rsid w:val="00E423E5"/>
    <w:rsid w:val="00E43E46"/>
    <w:rsid w:val="00E44302"/>
    <w:rsid w:val="00E44758"/>
    <w:rsid w:val="00E45275"/>
    <w:rsid w:val="00E45501"/>
    <w:rsid w:val="00E45B31"/>
    <w:rsid w:val="00E45D6F"/>
    <w:rsid w:val="00E46F54"/>
    <w:rsid w:val="00E47D48"/>
    <w:rsid w:val="00E50328"/>
    <w:rsid w:val="00E50C1A"/>
    <w:rsid w:val="00E52247"/>
    <w:rsid w:val="00E54844"/>
    <w:rsid w:val="00E5522D"/>
    <w:rsid w:val="00E553F4"/>
    <w:rsid w:val="00E555A5"/>
    <w:rsid w:val="00E555F2"/>
    <w:rsid w:val="00E55930"/>
    <w:rsid w:val="00E56322"/>
    <w:rsid w:val="00E56D69"/>
    <w:rsid w:val="00E6055E"/>
    <w:rsid w:val="00E60982"/>
    <w:rsid w:val="00E62C62"/>
    <w:rsid w:val="00E63AAF"/>
    <w:rsid w:val="00E6404B"/>
    <w:rsid w:val="00E654C1"/>
    <w:rsid w:val="00E65D97"/>
    <w:rsid w:val="00E7159F"/>
    <w:rsid w:val="00E727F8"/>
    <w:rsid w:val="00E72A5A"/>
    <w:rsid w:val="00E73354"/>
    <w:rsid w:val="00E76051"/>
    <w:rsid w:val="00E77209"/>
    <w:rsid w:val="00E81565"/>
    <w:rsid w:val="00E83BBE"/>
    <w:rsid w:val="00E8700A"/>
    <w:rsid w:val="00E91173"/>
    <w:rsid w:val="00E9242D"/>
    <w:rsid w:val="00E928F3"/>
    <w:rsid w:val="00E92CA1"/>
    <w:rsid w:val="00E93F48"/>
    <w:rsid w:val="00E942C7"/>
    <w:rsid w:val="00E94952"/>
    <w:rsid w:val="00E94A65"/>
    <w:rsid w:val="00E95BBF"/>
    <w:rsid w:val="00E97000"/>
    <w:rsid w:val="00E9759A"/>
    <w:rsid w:val="00E97E71"/>
    <w:rsid w:val="00EA09A5"/>
    <w:rsid w:val="00EA50AC"/>
    <w:rsid w:val="00EB0580"/>
    <w:rsid w:val="00EB1FB9"/>
    <w:rsid w:val="00EB2A00"/>
    <w:rsid w:val="00EB4E39"/>
    <w:rsid w:val="00EB5255"/>
    <w:rsid w:val="00EB5AF9"/>
    <w:rsid w:val="00EB5C47"/>
    <w:rsid w:val="00EB6B11"/>
    <w:rsid w:val="00EB6E19"/>
    <w:rsid w:val="00EC1CFE"/>
    <w:rsid w:val="00EC2A57"/>
    <w:rsid w:val="00EC2EB6"/>
    <w:rsid w:val="00EC36E9"/>
    <w:rsid w:val="00EC5676"/>
    <w:rsid w:val="00EC595C"/>
    <w:rsid w:val="00EC6BD6"/>
    <w:rsid w:val="00EC74AB"/>
    <w:rsid w:val="00EC7763"/>
    <w:rsid w:val="00EC7AC7"/>
    <w:rsid w:val="00ED0639"/>
    <w:rsid w:val="00ED06A0"/>
    <w:rsid w:val="00ED310A"/>
    <w:rsid w:val="00ED5A82"/>
    <w:rsid w:val="00ED5D17"/>
    <w:rsid w:val="00EE0909"/>
    <w:rsid w:val="00EE1E2A"/>
    <w:rsid w:val="00EE2141"/>
    <w:rsid w:val="00EE3BC8"/>
    <w:rsid w:val="00EE6E60"/>
    <w:rsid w:val="00EE70BA"/>
    <w:rsid w:val="00EF1552"/>
    <w:rsid w:val="00EF2B9D"/>
    <w:rsid w:val="00EF4295"/>
    <w:rsid w:val="00EF4370"/>
    <w:rsid w:val="00EF4755"/>
    <w:rsid w:val="00EF65CD"/>
    <w:rsid w:val="00EF6BF1"/>
    <w:rsid w:val="00EF7135"/>
    <w:rsid w:val="00EF7D72"/>
    <w:rsid w:val="00F00C6C"/>
    <w:rsid w:val="00F013BC"/>
    <w:rsid w:val="00F017EE"/>
    <w:rsid w:val="00F027DB"/>
    <w:rsid w:val="00F0301B"/>
    <w:rsid w:val="00F03B73"/>
    <w:rsid w:val="00F05534"/>
    <w:rsid w:val="00F07B35"/>
    <w:rsid w:val="00F11C49"/>
    <w:rsid w:val="00F1265C"/>
    <w:rsid w:val="00F14A7A"/>
    <w:rsid w:val="00F15931"/>
    <w:rsid w:val="00F202FC"/>
    <w:rsid w:val="00F20A1D"/>
    <w:rsid w:val="00F221CD"/>
    <w:rsid w:val="00F22985"/>
    <w:rsid w:val="00F24621"/>
    <w:rsid w:val="00F25268"/>
    <w:rsid w:val="00F25D69"/>
    <w:rsid w:val="00F26C43"/>
    <w:rsid w:val="00F27AC0"/>
    <w:rsid w:val="00F30735"/>
    <w:rsid w:val="00F328C9"/>
    <w:rsid w:val="00F331D4"/>
    <w:rsid w:val="00F3383E"/>
    <w:rsid w:val="00F3472C"/>
    <w:rsid w:val="00F37562"/>
    <w:rsid w:val="00F37E51"/>
    <w:rsid w:val="00F40D87"/>
    <w:rsid w:val="00F43432"/>
    <w:rsid w:val="00F434AD"/>
    <w:rsid w:val="00F43CD4"/>
    <w:rsid w:val="00F43FAF"/>
    <w:rsid w:val="00F455D8"/>
    <w:rsid w:val="00F45EA9"/>
    <w:rsid w:val="00F46438"/>
    <w:rsid w:val="00F465A7"/>
    <w:rsid w:val="00F47C3A"/>
    <w:rsid w:val="00F50B7C"/>
    <w:rsid w:val="00F51223"/>
    <w:rsid w:val="00F51C77"/>
    <w:rsid w:val="00F523E2"/>
    <w:rsid w:val="00F53251"/>
    <w:rsid w:val="00F54F52"/>
    <w:rsid w:val="00F550E6"/>
    <w:rsid w:val="00F557A9"/>
    <w:rsid w:val="00F55A60"/>
    <w:rsid w:val="00F615BC"/>
    <w:rsid w:val="00F62B59"/>
    <w:rsid w:val="00F63236"/>
    <w:rsid w:val="00F63ED0"/>
    <w:rsid w:val="00F653E2"/>
    <w:rsid w:val="00F668C8"/>
    <w:rsid w:val="00F67D33"/>
    <w:rsid w:val="00F67D44"/>
    <w:rsid w:val="00F67E26"/>
    <w:rsid w:val="00F67FB6"/>
    <w:rsid w:val="00F7100C"/>
    <w:rsid w:val="00F718F8"/>
    <w:rsid w:val="00F71929"/>
    <w:rsid w:val="00F72519"/>
    <w:rsid w:val="00F725B8"/>
    <w:rsid w:val="00F7336C"/>
    <w:rsid w:val="00F73455"/>
    <w:rsid w:val="00F74270"/>
    <w:rsid w:val="00F74345"/>
    <w:rsid w:val="00F7678C"/>
    <w:rsid w:val="00F77B66"/>
    <w:rsid w:val="00F80A0A"/>
    <w:rsid w:val="00F813BF"/>
    <w:rsid w:val="00F81B28"/>
    <w:rsid w:val="00F82B19"/>
    <w:rsid w:val="00F85785"/>
    <w:rsid w:val="00F86888"/>
    <w:rsid w:val="00F9212D"/>
    <w:rsid w:val="00F93AA1"/>
    <w:rsid w:val="00F965C0"/>
    <w:rsid w:val="00F965DA"/>
    <w:rsid w:val="00FA406A"/>
    <w:rsid w:val="00FA4EA7"/>
    <w:rsid w:val="00FB2CE8"/>
    <w:rsid w:val="00FB40B7"/>
    <w:rsid w:val="00FB503A"/>
    <w:rsid w:val="00FB516C"/>
    <w:rsid w:val="00FB56DE"/>
    <w:rsid w:val="00FC0996"/>
    <w:rsid w:val="00FC1D68"/>
    <w:rsid w:val="00FC32B6"/>
    <w:rsid w:val="00FC3AA8"/>
    <w:rsid w:val="00FC53EE"/>
    <w:rsid w:val="00FC5DCE"/>
    <w:rsid w:val="00FC6BFE"/>
    <w:rsid w:val="00FD0236"/>
    <w:rsid w:val="00FD031A"/>
    <w:rsid w:val="00FD0D2F"/>
    <w:rsid w:val="00FD18F4"/>
    <w:rsid w:val="00FD1AE3"/>
    <w:rsid w:val="00FD206F"/>
    <w:rsid w:val="00FD27E8"/>
    <w:rsid w:val="00FD53AA"/>
    <w:rsid w:val="00FD54DB"/>
    <w:rsid w:val="00FD5619"/>
    <w:rsid w:val="00FD58D8"/>
    <w:rsid w:val="00FD5BF8"/>
    <w:rsid w:val="00FD619F"/>
    <w:rsid w:val="00FD6965"/>
    <w:rsid w:val="00FE0F51"/>
    <w:rsid w:val="00FE30E9"/>
    <w:rsid w:val="00FE4301"/>
    <w:rsid w:val="00FE438C"/>
    <w:rsid w:val="00FE4B5B"/>
    <w:rsid w:val="00FE5D78"/>
    <w:rsid w:val="00FE5DF9"/>
    <w:rsid w:val="00FF22FC"/>
    <w:rsid w:val="00FF2613"/>
    <w:rsid w:val="00FF32AA"/>
    <w:rsid w:val="0103461D"/>
    <w:rsid w:val="01145609"/>
    <w:rsid w:val="011463C1"/>
    <w:rsid w:val="01290F7E"/>
    <w:rsid w:val="013243F9"/>
    <w:rsid w:val="014225CD"/>
    <w:rsid w:val="014E128C"/>
    <w:rsid w:val="015D1E09"/>
    <w:rsid w:val="016510B5"/>
    <w:rsid w:val="016E4845"/>
    <w:rsid w:val="016F64DB"/>
    <w:rsid w:val="01956C5E"/>
    <w:rsid w:val="019D69F1"/>
    <w:rsid w:val="01B4263C"/>
    <w:rsid w:val="01B42E0F"/>
    <w:rsid w:val="01B630C7"/>
    <w:rsid w:val="01C30A74"/>
    <w:rsid w:val="01D611CC"/>
    <w:rsid w:val="01E73268"/>
    <w:rsid w:val="01ED0C87"/>
    <w:rsid w:val="021A4A2A"/>
    <w:rsid w:val="02320DA2"/>
    <w:rsid w:val="02587777"/>
    <w:rsid w:val="026618FE"/>
    <w:rsid w:val="02664063"/>
    <w:rsid w:val="02697903"/>
    <w:rsid w:val="02A227A1"/>
    <w:rsid w:val="02A36E18"/>
    <w:rsid w:val="02B40E52"/>
    <w:rsid w:val="02B526FA"/>
    <w:rsid w:val="02DC5CB3"/>
    <w:rsid w:val="02E0514E"/>
    <w:rsid w:val="02EA548E"/>
    <w:rsid w:val="02F73CCD"/>
    <w:rsid w:val="02F87977"/>
    <w:rsid w:val="02F91F29"/>
    <w:rsid w:val="02F96569"/>
    <w:rsid w:val="031144FE"/>
    <w:rsid w:val="032D34F3"/>
    <w:rsid w:val="03881493"/>
    <w:rsid w:val="038E0D7E"/>
    <w:rsid w:val="03A24E2E"/>
    <w:rsid w:val="03AB4C46"/>
    <w:rsid w:val="03BA3713"/>
    <w:rsid w:val="03DA024D"/>
    <w:rsid w:val="03EA7B21"/>
    <w:rsid w:val="04073938"/>
    <w:rsid w:val="04392C7B"/>
    <w:rsid w:val="043A51E0"/>
    <w:rsid w:val="045711CF"/>
    <w:rsid w:val="045D364C"/>
    <w:rsid w:val="046A7191"/>
    <w:rsid w:val="048A5FE7"/>
    <w:rsid w:val="048C21B1"/>
    <w:rsid w:val="049573FB"/>
    <w:rsid w:val="04C020F8"/>
    <w:rsid w:val="04E20083"/>
    <w:rsid w:val="051A6F66"/>
    <w:rsid w:val="05313213"/>
    <w:rsid w:val="055A6AEA"/>
    <w:rsid w:val="0596018D"/>
    <w:rsid w:val="059E275E"/>
    <w:rsid w:val="05A4449A"/>
    <w:rsid w:val="05B663BD"/>
    <w:rsid w:val="05F83EAE"/>
    <w:rsid w:val="061F41D8"/>
    <w:rsid w:val="062F3A69"/>
    <w:rsid w:val="06356D7F"/>
    <w:rsid w:val="063E7D85"/>
    <w:rsid w:val="064414E6"/>
    <w:rsid w:val="065D535C"/>
    <w:rsid w:val="066A1BBF"/>
    <w:rsid w:val="0684500F"/>
    <w:rsid w:val="06A90CC3"/>
    <w:rsid w:val="06AC176A"/>
    <w:rsid w:val="06E14CBE"/>
    <w:rsid w:val="06F03CA1"/>
    <w:rsid w:val="06FF408B"/>
    <w:rsid w:val="07293586"/>
    <w:rsid w:val="07295285"/>
    <w:rsid w:val="073D0EA3"/>
    <w:rsid w:val="074565B6"/>
    <w:rsid w:val="075035DE"/>
    <w:rsid w:val="075169F8"/>
    <w:rsid w:val="07525AC7"/>
    <w:rsid w:val="075432F3"/>
    <w:rsid w:val="075D1310"/>
    <w:rsid w:val="07627BDA"/>
    <w:rsid w:val="07636392"/>
    <w:rsid w:val="07770C56"/>
    <w:rsid w:val="08090DDC"/>
    <w:rsid w:val="083841B9"/>
    <w:rsid w:val="083F69E2"/>
    <w:rsid w:val="084012D9"/>
    <w:rsid w:val="08447136"/>
    <w:rsid w:val="085B21CB"/>
    <w:rsid w:val="08660469"/>
    <w:rsid w:val="0884291F"/>
    <w:rsid w:val="08A62950"/>
    <w:rsid w:val="08F548A5"/>
    <w:rsid w:val="092217DD"/>
    <w:rsid w:val="093A7294"/>
    <w:rsid w:val="09763C58"/>
    <w:rsid w:val="09927B4D"/>
    <w:rsid w:val="09963565"/>
    <w:rsid w:val="09B113B4"/>
    <w:rsid w:val="09EF5CD6"/>
    <w:rsid w:val="09FB568B"/>
    <w:rsid w:val="0A175D2B"/>
    <w:rsid w:val="0A1E1422"/>
    <w:rsid w:val="0A263993"/>
    <w:rsid w:val="0A2D3AC2"/>
    <w:rsid w:val="0A3E7253"/>
    <w:rsid w:val="0A4D175D"/>
    <w:rsid w:val="0A555FCD"/>
    <w:rsid w:val="0A636ACA"/>
    <w:rsid w:val="0A7C36F5"/>
    <w:rsid w:val="0A8738EC"/>
    <w:rsid w:val="0A894972"/>
    <w:rsid w:val="0A8A085C"/>
    <w:rsid w:val="0A8C4CCD"/>
    <w:rsid w:val="0A933E14"/>
    <w:rsid w:val="0AA755DF"/>
    <w:rsid w:val="0AAB3E73"/>
    <w:rsid w:val="0AAD36DD"/>
    <w:rsid w:val="0AC00CDD"/>
    <w:rsid w:val="0B120D44"/>
    <w:rsid w:val="0B136931"/>
    <w:rsid w:val="0B3D39AE"/>
    <w:rsid w:val="0B606E9B"/>
    <w:rsid w:val="0B75401A"/>
    <w:rsid w:val="0B855D6F"/>
    <w:rsid w:val="0B9E7243"/>
    <w:rsid w:val="0BB8292F"/>
    <w:rsid w:val="0BC375C4"/>
    <w:rsid w:val="0BCB43E0"/>
    <w:rsid w:val="0BD27BF6"/>
    <w:rsid w:val="0BD73C95"/>
    <w:rsid w:val="0BDA119C"/>
    <w:rsid w:val="0C0C1594"/>
    <w:rsid w:val="0C130DAB"/>
    <w:rsid w:val="0C217BCC"/>
    <w:rsid w:val="0C2D757F"/>
    <w:rsid w:val="0C395549"/>
    <w:rsid w:val="0C3B3C7D"/>
    <w:rsid w:val="0C3B6280"/>
    <w:rsid w:val="0C4A7368"/>
    <w:rsid w:val="0C560037"/>
    <w:rsid w:val="0C5C7E64"/>
    <w:rsid w:val="0C8963E1"/>
    <w:rsid w:val="0C8A4EB0"/>
    <w:rsid w:val="0CA87E92"/>
    <w:rsid w:val="0CAB2EAE"/>
    <w:rsid w:val="0CC638F0"/>
    <w:rsid w:val="0D2009A0"/>
    <w:rsid w:val="0D2A73CF"/>
    <w:rsid w:val="0D3C4071"/>
    <w:rsid w:val="0D487EFE"/>
    <w:rsid w:val="0D621C7D"/>
    <w:rsid w:val="0D646FD0"/>
    <w:rsid w:val="0DA25DB6"/>
    <w:rsid w:val="0DB066B9"/>
    <w:rsid w:val="0DC50BB6"/>
    <w:rsid w:val="0DDA2ADD"/>
    <w:rsid w:val="0E0A0C6C"/>
    <w:rsid w:val="0E237ABD"/>
    <w:rsid w:val="0E73034D"/>
    <w:rsid w:val="0E843933"/>
    <w:rsid w:val="0EA46A1F"/>
    <w:rsid w:val="0EB40C93"/>
    <w:rsid w:val="0EB5446C"/>
    <w:rsid w:val="0EB80ACA"/>
    <w:rsid w:val="0EBC3434"/>
    <w:rsid w:val="0EC94CDB"/>
    <w:rsid w:val="0EE50FAC"/>
    <w:rsid w:val="0F13775A"/>
    <w:rsid w:val="0F3B3B64"/>
    <w:rsid w:val="0F4B48EC"/>
    <w:rsid w:val="0F4F4073"/>
    <w:rsid w:val="0F5645BD"/>
    <w:rsid w:val="0F5F45FE"/>
    <w:rsid w:val="0F642915"/>
    <w:rsid w:val="0F7809A9"/>
    <w:rsid w:val="0F7D6B46"/>
    <w:rsid w:val="0F7E08B8"/>
    <w:rsid w:val="0F971E23"/>
    <w:rsid w:val="0F9A112B"/>
    <w:rsid w:val="0FA1450F"/>
    <w:rsid w:val="0FB549E1"/>
    <w:rsid w:val="0FE33F35"/>
    <w:rsid w:val="0FF36DA1"/>
    <w:rsid w:val="0FFB1C24"/>
    <w:rsid w:val="100D1BA1"/>
    <w:rsid w:val="101A606C"/>
    <w:rsid w:val="1037701D"/>
    <w:rsid w:val="10667E9B"/>
    <w:rsid w:val="106D2F64"/>
    <w:rsid w:val="1078506C"/>
    <w:rsid w:val="10795489"/>
    <w:rsid w:val="10970E6A"/>
    <w:rsid w:val="10AF5B39"/>
    <w:rsid w:val="10B63710"/>
    <w:rsid w:val="10D510E7"/>
    <w:rsid w:val="10F10820"/>
    <w:rsid w:val="111C2F7A"/>
    <w:rsid w:val="112E1E83"/>
    <w:rsid w:val="112F7026"/>
    <w:rsid w:val="11325CA2"/>
    <w:rsid w:val="115A7547"/>
    <w:rsid w:val="11665CA1"/>
    <w:rsid w:val="11733235"/>
    <w:rsid w:val="1174242F"/>
    <w:rsid w:val="117A4716"/>
    <w:rsid w:val="11856236"/>
    <w:rsid w:val="119D7EF2"/>
    <w:rsid w:val="11AC5134"/>
    <w:rsid w:val="11C66705"/>
    <w:rsid w:val="11D07CD4"/>
    <w:rsid w:val="11DC2C5C"/>
    <w:rsid w:val="11DD150D"/>
    <w:rsid w:val="11E72AE6"/>
    <w:rsid w:val="11FE4DC2"/>
    <w:rsid w:val="12217985"/>
    <w:rsid w:val="12532CFE"/>
    <w:rsid w:val="125F4737"/>
    <w:rsid w:val="12884F21"/>
    <w:rsid w:val="129878AE"/>
    <w:rsid w:val="129A0566"/>
    <w:rsid w:val="129D7D4C"/>
    <w:rsid w:val="12A9666C"/>
    <w:rsid w:val="12C9297C"/>
    <w:rsid w:val="12DD25BE"/>
    <w:rsid w:val="12E54C99"/>
    <w:rsid w:val="12F136B3"/>
    <w:rsid w:val="12F64B6E"/>
    <w:rsid w:val="132A1884"/>
    <w:rsid w:val="13580BB2"/>
    <w:rsid w:val="136235BC"/>
    <w:rsid w:val="13724144"/>
    <w:rsid w:val="138E747C"/>
    <w:rsid w:val="13911E6C"/>
    <w:rsid w:val="13951726"/>
    <w:rsid w:val="13DF022A"/>
    <w:rsid w:val="13DF209A"/>
    <w:rsid w:val="13F10F9E"/>
    <w:rsid w:val="14046514"/>
    <w:rsid w:val="143116F7"/>
    <w:rsid w:val="14396509"/>
    <w:rsid w:val="1442760C"/>
    <w:rsid w:val="144C0485"/>
    <w:rsid w:val="14771CDF"/>
    <w:rsid w:val="14A32D7F"/>
    <w:rsid w:val="14B47383"/>
    <w:rsid w:val="14BD1E65"/>
    <w:rsid w:val="14C03188"/>
    <w:rsid w:val="14DD2C3C"/>
    <w:rsid w:val="14EF46DF"/>
    <w:rsid w:val="14FA54C8"/>
    <w:rsid w:val="15003A2E"/>
    <w:rsid w:val="15047114"/>
    <w:rsid w:val="150C09A3"/>
    <w:rsid w:val="151021F8"/>
    <w:rsid w:val="151A5BC5"/>
    <w:rsid w:val="151A7A45"/>
    <w:rsid w:val="151F00CC"/>
    <w:rsid w:val="153440DF"/>
    <w:rsid w:val="153F0783"/>
    <w:rsid w:val="15434CB8"/>
    <w:rsid w:val="15697F46"/>
    <w:rsid w:val="157B4B46"/>
    <w:rsid w:val="15A852AB"/>
    <w:rsid w:val="15D5735F"/>
    <w:rsid w:val="15D85ABD"/>
    <w:rsid w:val="15F073F2"/>
    <w:rsid w:val="16005D04"/>
    <w:rsid w:val="16087E1D"/>
    <w:rsid w:val="162B1062"/>
    <w:rsid w:val="163868AA"/>
    <w:rsid w:val="1645306B"/>
    <w:rsid w:val="1648593A"/>
    <w:rsid w:val="166167A3"/>
    <w:rsid w:val="167364D6"/>
    <w:rsid w:val="16C274F3"/>
    <w:rsid w:val="16DF3407"/>
    <w:rsid w:val="16E721A0"/>
    <w:rsid w:val="16E943A7"/>
    <w:rsid w:val="16F3752F"/>
    <w:rsid w:val="16FF2EFB"/>
    <w:rsid w:val="17055113"/>
    <w:rsid w:val="171C1132"/>
    <w:rsid w:val="172F215D"/>
    <w:rsid w:val="17332B26"/>
    <w:rsid w:val="17443553"/>
    <w:rsid w:val="17701D14"/>
    <w:rsid w:val="17721D72"/>
    <w:rsid w:val="17735226"/>
    <w:rsid w:val="177732C3"/>
    <w:rsid w:val="178F50F0"/>
    <w:rsid w:val="17A06807"/>
    <w:rsid w:val="17BD12E3"/>
    <w:rsid w:val="17F52BDC"/>
    <w:rsid w:val="17F84562"/>
    <w:rsid w:val="1808200E"/>
    <w:rsid w:val="180A127F"/>
    <w:rsid w:val="18175843"/>
    <w:rsid w:val="18322C59"/>
    <w:rsid w:val="185B5545"/>
    <w:rsid w:val="185C1AC6"/>
    <w:rsid w:val="1890699D"/>
    <w:rsid w:val="189F624C"/>
    <w:rsid w:val="18BB7EB4"/>
    <w:rsid w:val="18E47B5C"/>
    <w:rsid w:val="191F64A1"/>
    <w:rsid w:val="192202FA"/>
    <w:rsid w:val="19424CA7"/>
    <w:rsid w:val="19567F0E"/>
    <w:rsid w:val="19801F94"/>
    <w:rsid w:val="19906676"/>
    <w:rsid w:val="199D3F96"/>
    <w:rsid w:val="19C8052E"/>
    <w:rsid w:val="19C8149D"/>
    <w:rsid w:val="19CB31E6"/>
    <w:rsid w:val="19CF30E8"/>
    <w:rsid w:val="19DA24F1"/>
    <w:rsid w:val="19E746A4"/>
    <w:rsid w:val="19FD0762"/>
    <w:rsid w:val="1A0B1C7C"/>
    <w:rsid w:val="1A1C66C0"/>
    <w:rsid w:val="1A3036E6"/>
    <w:rsid w:val="1A404ADE"/>
    <w:rsid w:val="1A42393B"/>
    <w:rsid w:val="1A4E3CEA"/>
    <w:rsid w:val="1A4F7FD4"/>
    <w:rsid w:val="1A521DF9"/>
    <w:rsid w:val="1A5230EE"/>
    <w:rsid w:val="1A693559"/>
    <w:rsid w:val="1A7D3DC7"/>
    <w:rsid w:val="1A7E1DBB"/>
    <w:rsid w:val="1A8C14E6"/>
    <w:rsid w:val="1A9507CD"/>
    <w:rsid w:val="1AA06CE3"/>
    <w:rsid w:val="1AAD45DE"/>
    <w:rsid w:val="1AAF5845"/>
    <w:rsid w:val="1AB97CFE"/>
    <w:rsid w:val="1AC77ADB"/>
    <w:rsid w:val="1B041F1D"/>
    <w:rsid w:val="1B046F80"/>
    <w:rsid w:val="1B155DAE"/>
    <w:rsid w:val="1B3267B5"/>
    <w:rsid w:val="1B392DE8"/>
    <w:rsid w:val="1B40161D"/>
    <w:rsid w:val="1B441859"/>
    <w:rsid w:val="1B4E306E"/>
    <w:rsid w:val="1B5C7E47"/>
    <w:rsid w:val="1B6606B1"/>
    <w:rsid w:val="1B6B61BF"/>
    <w:rsid w:val="1B6E0756"/>
    <w:rsid w:val="1B7C5F4E"/>
    <w:rsid w:val="1B805D93"/>
    <w:rsid w:val="1B8151F1"/>
    <w:rsid w:val="1B8F50ED"/>
    <w:rsid w:val="1BAC3AB5"/>
    <w:rsid w:val="1BB366AF"/>
    <w:rsid w:val="1BBC54EB"/>
    <w:rsid w:val="1BEF5D09"/>
    <w:rsid w:val="1BF75474"/>
    <w:rsid w:val="1BFB31F6"/>
    <w:rsid w:val="1C126844"/>
    <w:rsid w:val="1C2A1030"/>
    <w:rsid w:val="1C2F0EA9"/>
    <w:rsid w:val="1C3F52D2"/>
    <w:rsid w:val="1C400181"/>
    <w:rsid w:val="1C4511BF"/>
    <w:rsid w:val="1C4B37EB"/>
    <w:rsid w:val="1C4E3B65"/>
    <w:rsid w:val="1C5C1371"/>
    <w:rsid w:val="1C5E7925"/>
    <w:rsid w:val="1C70670D"/>
    <w:rsid w:val="1C7134B8"/>
    <w:rsid w:val="1C8026DE"/>
    <w:rsid w:val="1C9247EF"/>
    <w:rsid w:val="1CBA4BC3"/>
    <w:rsid w:val="1CCF2249"/>
    <w:rsid w:val="1CD14400"/>
    <w:rsid w:val="1CE14E22"/>
    <w:rsid w:val="1CEC5DFD"/>
    <w:rsid w:val="1CF307AD"/>
    <w:rsid w:val="1CF50255"/>
    <w:rsid w:val="1CFD070F"/>
    <w:rsid w:val="1CFE18C9"/>
    <w:rsid w:val="1D0F39CD"/>
    <w:rsid w:val="1D323151"/>
    <w:rsid w:val="1D5801D4"/>
    <w:rsid w:val="1D595A4A"/>
    <w:rsid w:val="1D5A03F0"/>
    <w:rsid w:val="1D5F6196"/>
    <w:rsid w:val="1D6132A5"/>
    <w:rsid w:val="1D736947"/>
    <w:rsid w:val="1D77206F"/>
    <w:rsid w:val="1D7E5113"/>
    <w:rsid w:val="1D836523"/>
    <w:rsid w:val="1D86683A"/>
    <w:rsid w:val="1D8A593D"/>
    <w:rsid w:val="1D8E56D5"/>
    <w:rsid w:val="1D99548F"/>
    <w:rsid w:val="1DA069AB"/>
    <w:rsid w:val="1DAF7E01"/>
    <w:rsid w:val="1DD41F50"/>
    <w:rsid w:val="1DE21C1C"/>
    <w:rsid w:val="1DF55E7A"/>
    <w:rsid w:val="1DFB13C6"/>
    <w:rsid w:val="1E2D76E6"/>
    <w:rsid w:val="1E6A4663"/>
    <w:rsid w:val="1E6C4F1D"/>
    <w:rsid w:val="1E7A43DA"/>
    <w:rsid w:val="1E8874C5"/>
    <w:rsid w:val="1E9A34CE"/>
    <w:rsid w:val="1E9D28D2"/>
    <w:rsid w:val="1EA76213"/>
    <w:rsid w:val="1ECF1AF9"/>
    <w:rsid w:val="1EE2244B"/>
    <w:rsid w:val="1FB964AF"/>
    <w:rsid w:val="1FC03B77"/>
    <w:rsid w:val="1FE7539E"/>
    <w:rsid w:val="202C4C48"/>
    <w:rsid w:val="202E2F33"/>
    <w:rsid w:val="203C74EA"/>
    <w:rsid w:val="204F36ED"/>
    <w:rsid w:val="20671BE0"/>
    <w:rsid w:val="20963CB8"/>
    <w:rsid w:val="209B5B54"/>
    <w:rsid w:val="20A81A1B"/>
    <w:rsid w:val="20AB358B"/>
    <w:rsid w:val="20B07FB6"/>
    <w:rsid w:val="20B646FB"/>
    <w:rsid w:val="20D61ADB"/>
    <w:rsid w:val="20E4161A"/>
    <w:rsid w:val="211F089C"/>
    <w:rsid w:val="212150DE"/>
    <w:rsid w:val="213106B6"/>
    <w:rsid w:val="213B74B1"/>
    <w:rsid w:val="214C4CD2"/>
    <w:rsid w:val="2150195F"/>
    <w:rsid w:val="21531199"/>
    <w:rsid w:val="215A2310"/>
    <w:rsid w:val="215B23E7"/>
    <w:rsid w:val="216B1D9A"/>
    <w:rsid w:val="21790D66"/>
    <w:rsid w:val="217F6846"/>
    <w:rsid w:val="218B5B4F"/>
    <w:rsid w:val="21A21FF3"/>
    <w:rsid w:val="21B02A71"/>
    <w:rsid w:val="21B21CC4"/>
    <w:rsid w:val="21BF0821"/>
    <w:rsid w:val="21C603EE"/>
    <w:rsid w:val="21C71A0F"/>
    <w:rsid w:val="21C91D21"/>
    <w:rsid w:val="21DD327B"/>
    <w:rsid w:val="21DE318A"/>
    <w:rsid w:val="21E80487"/>
    <w:rsid w:val="21EF5B80"/>
    <w:rsid w:val="22123362"/>
    <w:rsid w:val="222F3277"/>
    <w:rsid w:val="22331E96"/>
    <w:rsid w:val="223C0251"/>
    <w:rsid w:val="22576990"/>
    <w:rsid w:val="2259278F"/>
    <w:rsid w:val="225C1136"/>
    <w:rsid w:val="225C42C2"/>
    <w:rsid w:val="225F03AA"/>
    <w:rsid w:val="22813975"/>
    <w:rsid w:val="228E30F5"/>
    <w:rsid w:val="228F5BA2"/>
    <w:rsid w:val="22A57468"/>
    <w:rsid w:val="22AE0EB4"/>
    <w:rsid w:val="22B124BB"/>
    <w:rsid w:val="22CC624E"/>
    <w:rsid w:val="22D14CB0"/>
    <w:rsid w:val="22D52135"/>
    <w:rsid w:val="22E80B90"/>
    <w:rsid w:val="22EF1316"/>
    <w:rsid w:val="22F47480"/>
    <w:rsid w:val="23013B99"/>
    <w:rsid w:val="230F189F"/>
    <w:rsid w:val="2313328A"/>
    <w:rsid w:val="23203542"/>
    <w:rsid w:val="2356144A"/>
    <w:rsid w:val="23722FCC"/>
    <w:rsid w:val="23766EB3"/>
    <w:rsid w:val="23957830"/>
    <w:rsid w:val="239909B2"/>
    <w:rsid w:val="23A22161"/>
    <w:rsid w:val="23AE75C9"/>
    <w:rsid w:val="23C04937"/>
    <w:rsid w:val="23C415B5"/>
    <w:rsid w:val="23CE343E"/>
    <w:rsid w:val="23D46F68"/>
    <w:rsid w:val="23DE1C48"/>
    <w:rsid w:val="240210CD"/>
    <w:rsid w:val="240D4A99"/>
    <w:rsid w:val="245A4A6F"/>
    <w:rsid w:val="246B3A0A"/>
    <w:rsid w:val="24734D5B"/>
    <w:rsid w:val="247D50F0"/>
    <w:rsid w:val="248166DC"/>
    <w:rsid w:val="24992D39"/>
    <w:rsid w:val="249F43E4"/>
    <w:rsid w:val="24B47316"/>
    <w:rsid w:val="24BF09F7"/>
    <w:rsid w:val="24C56EDC"/>
    <w:rsid w:val="24D907CD"/>
    <w:rsid w:val="24DB5972"/>
    <w:rsid w:val="25161833"/>
    <w:rsid w:val="252D53FE"/>
    <w:rsid w:val="25300E1F"/>
    <w:rsid w:val="25381B69"/>
    <w:rsid w:val="25390831"/>
    <w:rsid w:val="253D76D3"/>
    <w:rsid w:val="255836EE"/>
    <w:rsid w:val="2578446A"/>
    <w:rsid w:val="25984E13"/>
    <w:rsid w:val="25B80557"/>
    <w:rsid w:val="25DA5A8A"/>
    <w:rsid w:val="25DB004C"/>
    <w:rsid w:val="25EC2D81"/>
    <w:rsid w:val="260C02FD"/>
    <w:rsid w:val="26167543"/>
    <w:rsid w:val="261B75CE"/>
    <w:rsid w:val="262E3166"/>
    <w:rsid w:val="262E366E"/>
    <w:rsid w:val="26307B70"/>
    <w:rsid w:val="264032A7"/>
    <w:rsid w:val="26551D02"/>
    <w:rsid w:val="26712D70"/>
    <w:rsid w:val="2674499C"/>
    <w:rsid w:val="267A6675"/>
    <w:rsid w:val="26804561"/>
    <w:rsid w:val="268B5BF9"/>
    <w:rsid w:val="268C725C"/>
    <w:rsid w:val="269D4596"/>
    <w:rsid w:val="26A70A5F"/>
    <w:rsid w:val="26A721FF"/>
    <w:rsid w:val="26B80661"/>
    <w:rsid w:val="26BA345C"/>
    <w:rsid w:val="26BE379D"/>
    <w:rsid w:val="26FB22FC"/>
    <w:rsid w:val="27142F4F"/>
    <w:rsid w:val="272E26D1"/>
    <w:rsid w:val="2741650E"/>
    <w:rsid w:val="275354B5"/>
    <w:rsid w:val="27630C0D"/>
    <w:rsid w:val="27643770"/>
    <w:rsid w:val="277057A2"/>
    <w:rsid w:val="27722FB5"/>
    <w:rsid w:val="278E22A7"/>
    <w:rsid w:val="278F35B6"/>
    <w:rsid w:val="27E9107B"/>
    <w:rsid w:val="2800640A"/>
    <w:rsid w:val="28417CD5"/>
    <w:rsid w:val="28616BE0"/>
    <w:rsid w:val="286607CE"/>
    <w:rsid w:val="288E3212"/>
    <w:rsid w:val="28AC2F9C"/>
    <w:rsid w:val="28E55011"/>
    <w:rsid w:val="28F46272"/>
    <w:rsid w:val="28FA25F9"/>
    <w:rsid w:val="28FB7C0D"/>
    <w:rsid w:val="29206EB8"/>
    <w:rsid w:val="293F79C0"/>
    <w:rsid w:val="29525E1C"/>
    <w:rsid w:val="29595666"/>
    <w:rsid w:val="295959FF"/>
    <w:rsid w:val="297029ED"/>
    <w:rsid w:val="297E7FFF"/>
    <w:rsid w:val="29874881"/>
    <w:rsid w:val="29AC5FE3"/>
    <w:rsid w:val="29E325E0"/>
    <w:rsid w:val="2A3A0118"/>
    <w:rsid w:val="2A452503"/>
    <w:rsid w:val="2A821DA7"/>
    <w:rsid w:val="2A8E58CF"/>
    <w:rsid w:val="2A8F370B"/>
    <w:rsid w:val="2AC56010"/>
    <w:rsid w:val="2AFC6871"/>
    <w:rsid w:val="2B031E3A"/>
    <w:rsid w:val="2B1E51BF"/>
    <w:rsid w:val="2B2D341D"/>
    <w:rsid w:val="2B31058F"/>
    <w:rsid w:val="2B591D85"/>
    <w:rsid w:val="2B903558"/>
    <w:rsid w:val="2BA57E74"/>
    <w:rsid w:val="2BA936A8"/>
    <w:rsid w:val="2BB44B20"/>
    <w:rsid w:val="2BC26DFE"/>
    <w:rsid w:val="2BF54107"/>
    <w:rsid w:val="2BFF04B1"/>
    <w:rsid w:val="2C1071E4"/>
    <w:rsid w:val="2C1A7D16"/>
    <w:rsid w:val="2C2C073E"/>
    <w:rsid w:val="2C315A5A"/>
    <w:rsid w:val="2C4B1C25"/>
    <w:rsid w:val="2C6A385E"/>
    <w:rsid w:val="2C835CA7"/>
    <w:rsid w:val="2C85580C"/>
    <w:rsid w:val="2C901738"/>
    <w:rsid w:val="2C951F38"/>
    <w:rsid w:val="2CBE3C1C"/>
    <w:rsid w:val="2CC05F5B"/>
    <w:rsid w:val="2CCB44C5"/>
    <w:rsid w:val="2CD04D5D"/>
    <w:rsid w:val="2D2374C7"/>
    <w:rsid w:val="2D5B64F2"/>
    <w:rsid w:val="2D657C06"/>
    <w:rsid w:val="2D714B55"/>
    <w:rsid w:val="2D7C0BC6"/>
    <w:rsid w:val="2D9E56F5"/>
    <w:rsid w:val="2DA6658F"/>
    <w:rsid w:val="2DA66FBC"/>
    <w:rsid w:val="2DB717FA"/>
    <w:rsid w:val="2DCA6ABE"/>
    <w:rsid w:val="2DDA3165"/>
    <w:rsid w:val="2DDC3AB5"/>
    <w:rsid w:val="2DEA54F5"/>
    <w:rsid w:val="2DFD3E0A"/>
    <w:rsid w:val="2E0E7818"/>
    <w:rsid w:val="2E1F7B77"/>
    <w:rsid w:val="2E290480"/>
    <w:rsid w:val="2E4A16AD"/>
    <w:rsid w:val="2E4B7D77"/>
    <w:rsid w:val="2E58078B"/>
    <w:rsid w:val="2E5A5DFA"/>
    <w:rsid w:val="2E6478BE"/>
    <w:rsid w:val="2E667F96"/>
    <w:rsid w:val="2E6F4FDB"/>
    <w:rsid w:val="2E8226AB"/>
    <w:rsid w:val="2E920577"/>
    <w:rsid w:val="2EB413EF"/>
    <w:rsid w:val="2ECD7E61"/>
    <w:rsid w:val="2ECE6412"/>
    <w:rsid w:val="2ECF7305"/>
    <w:rsid w:val="2F32261F"/>
    <w:rsid w:val="2F474B1E"/>
    <w:rsid w:val="2F4A0946"/>
    <w:rsid w:val="2F6C023B"/>
    <w:rsid w:val="2F86380B"/>
    <w:rsid w:val="2F8F7E96"/>
    <w:rsid w:val="2FA42E26"/>
    <w:rsid w:val="2FAA1DCC"/>
    <w:rsid w:val="2FB90F82"/>
    <w:rsid w:val="2FBD0F96"/>
    <w:rsid w:val="2FCE488E"/>
    <w:rsid w:val="2FD065E6"/>
    <w:rsid w:val="2FD20257"/>
    <w:rsid w:val="2FD96870"/>
    <w:rsid w:val="2FDA31FA"/>
    <w:rsid w:val="2FEA7695"/>
    <w:rsid w:val="2FFC5F01"/>
    <w:rsid w:val="301D34F0"/>
    <w:rsid w:val="303040B7"/>
    <w:rsid w:val="30395C43"/>
    <w:rsid w:val="303F35EF"/>
    <w:rsid w:val="30580BC9"/>
    <w:rsid w:val="307519EB"/>
    <w:rsid w:val="30782C0F"/>
    <w:rsid w:val="308B7751"/>
    <w:rsid w:val="30BF2950"/>
    <w:rsid w:val="30C8687A"/>
    <w:rsid w:val="30CA632C"/>
    <w:rsid w:val="30CC0998"/>
    <w:rsid w:val="310E7FC0"/>
    <w:rsid w:val="311E2ED7"/>
    <w:rsid w:val="315619EE"/>
    <w:rsid w:val="315C449C"/>
    <w:rsid w:val="31A34CF4"/>
    <w:rsid w:val="31B82709"/>
    <w:rsid w:val="31D05482"/>
    <w:rsid w:val="31E103A2"/>
    <w:rsid w:val="31E325CE"/>
    <w:rsid w:val="3203475A"/>
    <w:rsid w:val="322E66F8"/>
    <w:rsid w:val="323C34E1"/>
    <w:rsid w:val="32400B34"/>
    <w:rsid w:val="325D3DBC"/>
    <w:rsid w:val="32700A07"/>
    <w:rsid w:val="32863A92"/>
    <w:rsid w:val="329E6876"/>
    <w:rsid w:val="32A24C84"/>
    <w:rsid w:val="32C338D5"/>
    <w:rsid w:val="32E613BA"/>
    <w:rsid w:val="32F005FD"/>
    <w:rsid w:val="32F94334"/>
    <w:rsid w:val="332D5F71"/>
    <w:rsid w:val="332E5DA3"/>
    <w:rsid w:val="333015F2"/>
    <w:rsid w:val="33415D84"/>
    <w:rsid w:val="334B6320"/>
    <w:rsid w:val="33590AD6"/>
    <w:rsid w:val="336104B0"/>
    <w:rsid w:val="338811D4"/>
    <w:rsid w:val="33892C3F"/>
    <w:rsid w:val="33A31289"/>
    <w:rsid w:val="33AB4C8B"/>
    <w:rsid w:val="33B540F5"/>
    <w:rsid w:val="33BF7060"/>
    <w:rsid w:val="33C741B8"/>
    <w:rsid w:val="33D26395"/>
    <w:rsid w:val="33D934D4"/>
    <w:rsid w:val="33E5600D"/>
    <w:rsid w:val="33FE2F6A"/>
    <w:rsid w:val="340E07E5"/>
    <w:rsid w:val="340E7297"/>
    <w:rsid w:val="34235BF7"/>
    <w:rsid w:val="34441786"/>
    <w:rsid w:val="34450F92"/>
    <w:rsid w:val="344C7F97"/>
    <w:rsid w:val="34680A1B"/>
    <w:rsid w:val="347812EA"/>
    <w:rsid w:val="3489318E"/>
    <w:rsid w:val="34960675"/>
    <w:rsid w:val="349C6700"/>
    <w:rsid w:val="34CC6AF3"/>
    <w:rsid w:val="34D31E1A"/>
    <w:rsid w:val="34E9298D"/>
    <w:rsid w:val="351722DF"/>
    <w:rsid w:val="352350EC"/>
    <w:rsid w:val="35384DBC"/>
    <w:rsid w:val="355A115C"/>
    <w:rsid w:val="358A766C"/>
    <w:rsid w:val="358C5FA8"/>
    <w:rsid w:val="359737D1"/>
    <w:rsid w:val="359A56F2"/>
    <w:rsid w:val="359D0887"/>
    <w:rsid w:val="35A633D5"/>
    <w:rsid w:val="35A90966"/>
    <w:rsid w:val="35C15DF1"/>
    <w:rsid w:val="35C51944"/>
    <w:rsid w:val="35FC45D0"/>
    <w:rsid w:val="35FC7E3E"/>
    <w:rsid w:val="36002857"/>
    <w:rsid w:val="36074A7F"/>
    <w:rsid w:val="363A7CDD"/>
    <w:rsid w:val="363D7B73"/>
    <w:rsid w:val="36477C2C"/>
    <w:rsid w:val="36520CC4"/>
    <w:rsid w:val="36704343"/>
    <w:rsid w:val="36722FD4"/>
    <w:rsid w:val="36897987"/>
    <w:rsid w:val="36923549"/>
    <w:rsid w:val="369F7BCE"/>
    <w:rsid w:val="36B75FBF"/>
    <w:rsid w:val="36B9755C"/>
    <w:rsid w:val="36BD0C45"/>
    <w:rsid w:val="36BD4E9F"/>
    <w:rsid w:val="36BF2626"/>
    <w:rsid w:val="36D972DE"/>
    <w:rsid w:val="3706047E"/>
    <w:rsid w:val="37293488"/>
    <w:rsid w:val="373A0C1E"/>
    <w:rsid w:val="37417786"/>
    <w:rsid w:val="37421912"/>
    <w:rsid w:val="37450207"/>
    <w:rsid w:val="375877D0"/>
    <w:rsid w:val="378A49E1"/>
    <w:rsid w:val="3795333B"/>
    <w:rsid w:val="379D0349"/>
    <w:rsid w:val="37C0293D"/>
    <w:rsid w:val="37CD3C9D"/>
    <w:rsid w:val="37D84D2C"/>
    <w:rsid w:val="37E00298"/>
    <w:rsid w:val="37E20433"/>
    <w:rsid w:val="38067072"/>
    <w:rsid w:val="3822667F"/>
    <w:rsid w:val="38461219"/>
    <w:rsid w:val="38573553"/>
    <w:rsid w:val="386B1C5A"/>
    <w:rsid w:val="3880043F"/>
    <w:rsid w:val="38B302F9"/>
    <w:rsid w:val="38BD7362"/>
    <w:rsid w:val="38DC3A82"/>
    <w:rsid w:val="38E6007F"/>
    <w:rsid w:val="38F02C90"/>
    <w:rsid w:val="38F12CD3"/>
    <w:rsid w:val="38F864F2"/>
    <w:rsid w:val="38F94775"/>
    <w:rsid w:val="392971ED"/>
    <w:rsid w:val="39302E30"/>
    <w:rsid w:val="39325651"/>
    <w:rsid w:val="39581326"/>
    <w:rsid w:val="398856ED"/>
    <w:rsid w:val="39AB0045"/>
    <w:rsid w:val="39CE271B"/>
    <w:rsid w:val="39E55D3A"/>
    <w:rsid w:val="39EC55B7"/>
    <w:rsid w:val="3A382BC3"/>
    <w:rsid w:val="3A3C5E2F"/>
    <w:rsid w:val="3A567890"/>
    <w:rsid w:val="3A5A6066"/>
    <w:rsid w:val="3A6E6F1A"/>
    <w:rsid w:val="3A872856"/>
    <w:rsid w:val="3A8A493A"/>
    <w:rsid w:val="3ADE618E"/>
    <w:rsid w:val="3B004788"/>
    <w:rsid w:val="3B0301BE"/>
    <w:rsid w:val="3B13083B"/>
    <w:rsid w:val="3B3763D1"/>
    <w:rsid w:val="3B455780"/>
    <w:rsid w:val="3B53405D"/>
    <w:rsid w:val="3B593355"/>
    <w:rsid w:val="3B5A4290"/>
    <w:rsid w:val="3B795DA5"/>
    <w:rsid w:val="3BAD4F95"/>
    <w:rsid w:val="3BB167B8"/>
    <w:rsid w:val="3BB8229B"/>
    <w:rsid w:val="3BC80EE5"/>
    <w:rsid w:val="3C0D4B53"/>
    <w:rsid w:val="3C2029FC"/>
    <w:rsid w:val="3C2F6E1E"/>
    <w:rsid w:val="3C4F64BA"/>
    <w:rsid w:val="3C6074AE"/>
    <w:rsid w:val="3C7D0542"/>
    <w:rsid w:val="3CB2745A"/>
    <w:rsid w:val="3CBC3E83"/>
    <w:rsid w:val="3CC21094"/>
    <w:rsid w:val="3CCD6C16"/>
    <w:rsid w:val="3CD02148"/>
    <w:rsid w:val="3CDA245A"/>
    <w:rsid w:val="3CDD701B"/>
    <w:rsid w:val="3CF80B0E"/>
    <w:rsid w:val="3D1D2838"/>
    <w:rsid w:val="3D1E06B7"/>
    <w:rsid w:val="3D22494F"/>
    <w:rsid w:val="3D2462CF"/>
    <w:rsid w:val="3D2654BE"/>
    <w:rsid w:val="3D332AAC"/>
    <w:rsid w:val="3D3C0A96"/>
    <w:rsid w:val="3D4156E0"/>
    <w:rsid w:val="3D5A5B96"/>
    <w:rsid w:val="3D614D46"/>
    <w:rsid w:val="3D660968"/>
    <w:rsid w:val="3D6A6D5A"/>
    <w:rsid w:val="3D6D76BC"/>
    <w:rsid w:val="3D852927"/>
    <w:rsid w:val="3DA2751D"/>
    <w:rsid w:val="3DA51394"/>
    <w:rsid w:val="3DC50017"/>
    <w:rsid w:val="3DCC06E4"/>
    <w:rsid w:val="3DD3647A"/>
    <w:rsid w:val="3DE15E49"/>
    <w:rsid w:val="3DE807EC"/>
    <w:rsid w:val="3E1A6288"/>
    <w:rsid w:val="3E5C4266"/>
    <w:rsid w:val="3E6742F8"/>
    <w:rsid w:val="3E7C7FDC"/>
    <w:rsid w:val="3E8926E5"/>
    <w:rsid w:val="3E8B0E28"/>
    <w:rsid w:val="3E910E77"/>
    <w:rsid w:val="3E9E0B8B"/>
    <w:rsid w:val="3EAB0A58"/>
    <w:rsid w:val="3EAF5B31"/>
    <w:rsid w:val="3EB24E48"/>
    <w:rsid w:val="3EBE1406"/>
    <w:rsid w:val="3ED2798E"/>
    <w:rsid w:val="3EDA0523"/>
    <w:rsid w:val="3EE777B0"/>
    <w:rsid w:val="3F21222E"/>
    <w:rsid w:val="3F2325EB"/>
    <w:rsid w:val="3F354CDE"/>
    <w:rsid w:val="3F38102C"/>
    <w:rsid w:val="3F406FEE"/>
    <w:rsid w:val="3F6031EC"/>
    <w:rsid w:val="3F6C7ECE"/>
    <w:rsid w:val="3FA213BF"/>
    <w:rsid w:val="3FCB0044"/>
    <w:rsid w:val="3FF13AD2"/>
    <w:rsid w:val="400A6AB1"/>
    <w:rsid w:val="40152F30"/>
    <w:rsid w:val="4031620F"/>
    <w:rsid w:val="405641BC"/>
    <w:rsid w:val="405E7F64"/>
    <w:rsid w:val="40617DCE"/>
    <w:rsid w:val="406518C4"/>
    <w:rsid w:val="406A3747"/>
    <w:rsid w:val="407A6407"/>
    <w:rsid w:val="407A79AF"/>
    <w:rsid w:val="40823D83"/>
    <w:rsid w:val="408B2B07"/>
    <w:rsid w:val="40C515D1"/>
    <w:rsid w:val="40C64055"/>
    <w:rsid w:val="40DB46AD"/>
    <w:rsid w:val="40E63FEB"/>
    <w:rsid w:val="40EE2AF7"/>
    <w:rsid w:val="411F0144"/>
    <w:rsid w:val="4149029A"/>
    <w:rsid w:val="41532D15"/>
    <w:rsid w:val="415D2CDF"/>
    <w:rsid w:val="41612B4F"/>
    <w:rsid w:val="417003FB"/>
    <w:rsid w:val="41983BE4"/>
    <w:rsid w:val="41A85249"/>
    <w:rsid w:val="41A913F4"/>
    <w:rsid w:val="41B24ED8"/>
    <w:rsid w:val="41B63D4E"/>
    <w:rsid w:val="4200449D"/>
    <w:rsid w:val="42050454"/>
    <w:rsid w:val="42116A20"/>
    <w:rsid w:val="42251404"/>
    <w:rsid w:val="423A3BCC"/>
    <w:rsid w:val="423D576A"/>
    <w:rsid w:val="424E57D2"/>
    <w:rsid w:val="42527DD4"/>
    <w:rsid w:val="425C6487"/>
    <w:rsid w:val="426E1430"/>
    <w:rsid w:val="428C55A6"/>
    <w:rsid w:val="428F13D0"/>
    <w:rsid w:val="42AD3778"/>
    <w:rsid w:val="42B26C49"/>
    <w:rsid w:val="42CA6725"/>
    <w:rsid w:val="42D22663"/>
    <w:rsid w:val="42DE2DA6"/>
    <w:rsid w:val="42F10102"/>
    <w:rsid w:val="430F56AE"/>
    <w:rsid w:val="43277BAC"/>
    <w:rsid w:val="43282273"/>
    <w:rsid w:val="4332394D"/>
    <w:rsid w:val="433A6FE6"/>
    <w:rsid w:val="43480868"/>
    <w:rsid w:val="4350713C"/>
    <w:rsid w:val="436653E0"/>
    <w:rsid w:val="43703724"/>
    <w:rsid w:val="437B692B"/>
    <w:rsid w:val="437C436D"/>
    <w:rsid w:val="439329E4"/>
    <w:rsid w:val="43973EE3"/>
    <w:rsid w:val="43AD61BE"/>
    <w:rsid w:val="43B55F3D"/>
    <w:rsid w:val="43BA5484"/>
    <w:rsid w:val="43C4431A"/>
    <w:rsid w:val="43D97563"/>
    <w:rsid w:val="43DE4CBF"/>
    <w:rsid w:val="43DF0049"/>
    <w:rsid w:val="440B14BC"/>
    <w:rsid w:val="441F6205"/>
    <w:rsid w:val="44431E5A"/>
    <w:rsid w:val="44722CB0"/>
    <w:rsid w:val="449E0375"/>
    <w:rsid w:val="44B951CC"/>
    <w:rsid w:val="44C002B6"/>
    <w:rsid w:val="44CD14E0"/>
    <w:rsid w:val="44F20B0B"/>
    <w:rsid w:val="44F70C6A"/>
    <w:rsid w:val="45144C28"/>
    <w:rsid w:val="452E5F4C"/>
    <w:rsid w:val="45457F19"/>
    <w:rsid w:val="45612018"/>
    <w:rsid w:val="45614E06"/>
    <w:rsid w:val="45820F09"/>
    <w:rsid w:val="458946E9"/>
    <w:rsid w:val="459A12C4"/>
    <w:rsid w:val="459B4964"/>
    <w:rsid w:val="45A34267"/>
    <w:rsid w:val="45A4461F"/>
    <w:rsid w:val="45A47C0E"/>
    <w:rsid w:val="45AB29DC"/>
    <w:rsid w:val="45B80166"/>
    <w:rsid w:val="45C3698F"/>
    <w:rsid w:val="45D81825"/>
    <w:rsid w:val="45EE0015"/>
    <w:rsid w:val="4616713B"/>
    <w:rsid w:val="461E31EE"/>
    <w:rsid w:val="46260E9F"/>
    <w:rsid w:val="463E32BD"/>
    <w:rsid w:val="464900EC"/>
    <w:rsid w:val="46577FD6"/>
    <w:rsid w:val="46806AE3"/>
    <w:rsid w:val="468F0F40"/>
    <w:rsid w:val="469969C3"/>
    <w:rsid w:val="46B909F5"/>
    <w:rsid w:val="46C529D7"/>
    <w:rsid w:val="46C66756"/>
    <w:rsid w:val="46D955A7"/>
    <w:rsid w:val="46ED7A5B"/>
    <w:rsid w:val="46F135A3"/>
    <w:rsid w:val="470C0940"/>
    <w:rsid w:val="470D240C"/>
    <w:rsid w:val="47133957"/>
    <w:rsid w:val="47154358"/>
    <w:rsid w:val="47267E6C"/>
    <w:rsid w:val="47482EE3"/>
    <w:rsid w:val="47550C64"/>
    <w:rsid w:val="4762384E"/>
    <w:rsid w:val="479341BB"/>
    <w:rsid w:val="479A6968"/>
    <w:rsid w:val="47A07E0C"/>
    <w:rsid w:val="47B055BB"/>
    <w:rsid w:val="47B3415B"/>
    <w:rsid w:val="47BE515C"/>
    <w:rsid w:val="47F47C27"/>
    <w:rsid w:val="48141018"/>
    <w:rsid w:val="481728B6"/>
    <w:rsid w:val="48482A6F"/>
    <w:rsid w:val="4870272E"/>
    <w:rsid w:val="48716B58"/>
    <w:rsid w:val="4873736F"/>
    <w:rsid w:val="48765008"/>
    <w:rsid w:val="48826116"/>
    <w:rsid w:val="48B256B7"/>
    <w:rsid w:val="48CD6BC3"/>
    <w:rsid w:val="48F549A5"/>
    <w:rsid w:val="490E0C8F"/>
    <w:rsid w:val="49117469"/>
    <w:rsid w:val="49174FFB"/>
    <w:rsid w:val="492475E7"/>
    <w:rsid w:val="49694835"/>
    <w:rsid w:val="496D4E83"/>
    <w:rsid w:val="497F2D89"/>
    <w:rsid w:val="49857CBC"/>
    <w:rsid w:val="498D2E30"/>
    <w:rsid w:val="49D87408"/>
    <w:rsid w:val="49DC7715"/>
    <w:rsid w:val="4A023139"/>
    <w:rsid w:val="4A286269"/>
    <w:rsid w:val="4A370F6C"/>
    <w:rsid w:val="4A4200BE"/>
    <w:rsid w:val="4A420F78"/>
    <w:rsid w:val="4A765388"/>
    <w:rsid w:val="4A7B576F"/>
    <w:rsid w:val="4A887696"/>
    <w:rsid w:val="4A8B3943"/>
    <w:rsid w:val="4AA11285"/>
    <w:rsid w:val="4AA16D04"/>
    <w:rsid w:val="4AB77878"/>
    <w:rsid w:val="4ACC2540"/>
    <w:rsid w:val="4ACD5E13"/>
    <w:rsid w:val="4AF561A9"/>
    <w:rsid w:val="4B2665F4"/>
    <w:rsid w:val="4B266A67"/>
    <w:rsid w:val="4B3C0930"/>
    <w:rsid w:val="4B437748"/>
    <w:rsid w:val="4B446580"/>
    <w:rsid w:val="4B472CD5"/>
    <w:rsid w:val="4B4D7671"/>
    <w:rsid w:val="4B5E19ED"/>
    <w:rsid w:val="4B716315"/>
    <w:rsid w:val="4B956BB2"/>
    <w:rsid w:val="4BB861EC"/>
    <w:rsid w:val="4BBC0C7C"/>
    <w:rsid w:val="4C0C20D5"/>
    <w:rsid w:val="4C1D75DB"/>
    <w:rsid w:val="4C4A0649"/>
    <w:rsid w:val="4C7937C4"/>
    <w:rsid w:val="4C7E5ECA"/>
    <w:rsid w:val="4C876AA5"/>
    <w:rsid w:val="4CAC420D"/>
    <w:rsid w:val="4CBC5EC4"/>
    <w:rsid w:val="4CC4300C"/>
    <w:rsid w:val="4CD0464F"/>
    <w:rsid w:val="4CD17A13"/>
    <w:rsid w:val="4CD34FFD"/>
    <w:rsid w:val="4D0E00FB"/>
    <w:rsid w:val="4D121F0A"/>
    <w:rsid w:val="4D176606"/>
    <w:rsid w:val="4D632174"/>
    <w:rsid w:val="4D7819E0"/>
    <w:rsid w:val="4D7A410D"/>
    <w:rsid w:val="4D855EC0"/>
    <w:rsid w:val="4DDA02ED"/>
    <w:rsid w:val="4DDE4FBB"/>
    <w:rsid w:val="4DEC4FB0"/>
    <w:rsid w:val="4DF53699"/>
    <w:rsid w:val="4DF73013"/>
    <w:rsid w:val="4E075D8A"/>
    <w:rsid w:val="4E206AA0"/>
    <w:rsid w:val="4E29121B"/>
    <w:rsid w:val="4E475BC2"/>
    <w:rsid w:val="4E4F4D3C"/>
    <w:rsid w:val="4E6836D6"/>
    <w:rsid w:val="4E6B6F38"/>
    <w:rsid w:val="4E6F32E9"/>
    <w:rsid w:val="4E8D103E"/>
    <w:rsid w:val="4E8F10BB"/>
    <w:rsid w:val="4E915170"/>
    <w:rsid w:val="4EA4782F"/>
    <w:rsid w:val="4EA97C95"/>
    <w:rsid w:val="4EC00FAD"/>
    <w:rsid w:val="4ECF48EE"/>
    <w:rsid w:val="4EED77CA"/>
    <w:rsid w:val="4F021B32"/>
    <w:rsid w:val="4F035942"/>
    <w:rsid w:val="4F0504A7"/>
    <w:rsid w:val="4F146A7F"/>
    <w:rsid w:val="4F3E3FDC"/>
    <w:rsid w:val="4F5148FF"/>
    <w:rsid w:val="4F530D5B"/>
    <w:rsid w:val="4F761E41"/>
    <w:rsid w:val="4F842729"/>
    <w:rsid w:val="4F9843DC"/>
    <w:rsid w:val="4F9F03B0"/>
    <w:rsid w:val="4FA86C4A"/>
    <w:rsid w:val="4FBB5D9F"/>
    <w:rsid w:val="4FC62A8C"/>
    <w:rsid w:val="4FE20F0D"/>
    <w:rsid w:val="4FE51552"/>
    <w:rsid w:val="4FFE2A9E"/>
    <w:rsid w:val="50042166"/>
    <w:rsid w:val="5009557E"/>
    <w:rsid w:val="50152B62"/>
    <w:rsid w:val="503E332B"/>
    <w:rsid w:val="50504C4B"/>
    <w:rsid w:val="50506121"/>
    <w:rsid w:val="50514152"/>
    <w:rsid w:val="507806B2"/>
    <w:rsid w:val="508B6F41"/>
    <w:rsid w:val="509C6E7C"/>
    <w:rsid w:val="51295B34"/>
    <w:rsid w:val="5154760C"/>
    <w:rsid w:val="5162104E"/>
    <w:rsid w:val="51622CDB"/>
    <w:rsid w:val="51774927"/>
    <w:rsid w:val="518A2470"/>
    <w:rsid w:val="51CC7B68"/>
    <w:rsid w:val="51D307E6"/>
    <w:rsid w:val="51DF7500"/>
    <w:rsid w:val="51E34B2A"/>
    <w:rsid w:val="51FF6894"/>
    <w:rsid w:val="5203103A"/>
    <w:rsid w:val="521A3C7D"/>
    <w:rsid w:val="522B7701"/>
    <w:rsid w:val="522C29E9"/>
    <w:rsid w:val="526404DA"/>
    <w:rsid w:val="526811B8"/>
    <w:rsid w:val="52952C5D"/>
    <w:rsid w:val="52AB1CA8"/>
    <w:rsid w:val="52F05D67"/>
    <w:rsid w:val="531620E8"/>
    <w:rsid w:val="531D61FD"/>
    <w:rsid w:val="533E38A0"/>
    <w:rsid w:val="53413505"/>
    <w:rsid w:val="53676D2A"/>
    <w:rsid w:val="536966BB"/>
    <w:rsid w:val="53A039CC"/>
    <w:rsid w:val="53A1505A"/>
    <w:rsid w:val="53B00699"/>
    <w:rsid w:val="53D03CC7"/>
    <w:rsid w:val="53D944ED"/>
    <w:rsid w:val="54017416"/>
    <w:rsid w:val="54063E08"/>
    <w:rsid w:val="542F45B8"/>
    <w:rsid w:val="54332825"/>
    <w:rsid w:val="543437E8"/>
    <w:rsid w:val="54352B5F"/>
    <w:rsid w:val="54354E06"/>
    <w:rsid w:val="54597863"/>
    <w:rsid w:val="545E2C46"/>
    <w:rsid w:val="546E4934"/>
    <w:rsid w:val="5483075D"/>
    <w:rsid w:val="5486457A"/>
    <w:rsid w:val="549B52D9"/>
    <w:rsid w:val="54A864CE"/>
    <w:rsid w:val="54B46A70"/>
    <w:rsid w:val="54D47B64"/>
    <w:rsid w:val="54E84BF6"/>
    <w:rsid w:val="54F71464"/>
    <w:rsid w:val="54F73313"/>
    <w:rsid w:val="54F80955"/>
    <w:rsid w:val="54FB4719"/>
    <w:rsid w:val="55027455"/>
    <w:rsid w:val="55277F0E"/>
    <w:rsid w:val="55287EF0"/>
    <w:rsid w:val="5536095F"/>
    <w:rsid w:val="55515604"/>
    <w:rsid w:val="555170A7"/>
    <w:rsid w:val="55761405"/>
    <w:rsid w:val="55854BA4"/>
    <w:rsid w:val="5587536D"/>
    <w:rsid w:val="55880F2A"/>
    <w:rsid w:val="559B174B"/>
    <w:rsid w:val="55A346C1"/>
    <w:rsid w:val="55A6735B"/>
    <w:rsid w:val="55CE0CF4"/>
    <w:rsid w:val="55CF5C08"/>
    <w:rsid w:val="55D7191A"/>
    <w:rsid w:val="5666330D"/>
    <w:rsid w:val="567315FF"/>
    <w:rsid w:val="567C54C2"/>
    <w:rsid w:val="56885E30"/>
    <w:rsid w:val="568D3DF4"/>
    <w:rsid w:val="569C35B8"/>
    <w:rsid w:val="56B22A9C"/>
    <w:rsid w:val="56BE67B3"/>
    <w:rsid w:val="56C53C57"/>
    <w:rsid w:val="571C485F"/>
    <w:rsid w:val="572B1A9C"/>
    <w:rsid w:val="57351F20"/>
    <w:rsid w:val="574B1DBB"/>
    <w:rsid w:val="575F6AA5"/>
    <w:rsid w:val="57720D87"/>
    <w:rsid w:val="57B10D25"/>
    <w:rsid w:val="57B72A76"/>
    <w:rsid w:val="57C3426C"/>
    <w:rsid w:val="57C66C85"/>
    <w:rsid w:val="57C74812"/>
    <w:rsid w:val="57CE1F93"/>
    <w:rsid w:val="580A46CB"/>
    <w:rsid w:val="580E4840"/>
    <w:rsid w:val="580F5357"/>
    <w:rsid w:val="581F42A9"/>
    <w:rsid w:val="584A7D5A"/>
    <w:rsid w:val="58524102"/>
    <w:rsid w:val="58564D34"/>
    <w:rsid w:val="5858225B"/>
    <w:rsid w:val="58675FA6"/>
    <w:rsid w:val="587E03E9"/>
    <w:rsid w:val="588712CD"/>
    <w:rsid w:val="588743D1"/>
    <w:rsid w:val="5887701A"/>
    <w:rsid w:val="58952F1D"/>
    <w:rsid w:val="58957B22"/>
    <w:rsid w:val="58A35524"/>
    <w:rsid w:val="58BC0A5A"/>
    <w:rsid w:val="58D161D6"/>
    <w:rsid w:val="591666E5"/>
    <w:rsid w:val="591C6679"/>
    <w:rsid w:val="59293B5A"/>
    <w:rsid w:val="592B0832"/>
    <w:rsid w:val="593A4AEF"/>
    <w:rsid w:val="594E3FF1"/>
    <w:rsid w:val="596268DA"/>
    <w:rsid w:val="59907DCD"/>
    <w:rsid w:val="599B4610"/>
    <w:rsid w:val="59A55F73"/>
    <w:rsid w:val="59C0439F"/>
    <w:rsid w:val="59D22A63"/>
    <w:rsid w:val="59D5279A"/>
    <w:rsid w:val="59F01C15"/>
    <w:rsid w:val="59FB3EC3"/>
    <w:rsid w:val="5A0E58CC"/>
    <w:rsid w:val="5A153047"/>
    <w:rsid w:val="5A1D5E10"/>
    <w:rsid w:val="5A1F0A62"/>
    <w:rsid w:val="5A250F82"/>
    <w:rsid w:val="5A2E41BB"/>
    <w:rsid w:val="5A4414BC"/>
    <w:rsid w:val="5A4C176F"/>
    <w:rsid w:val="5A605E29"/>
    <w:rsid w:val="5A760053"/>
    <w:rsid w:val="5A940D65"/>
    <w:rsid w:val="5AA25F8B"/>
    <w:rsid w:val="5ABE2233"/>
    <w:rsid w:val="5AD05D2C"/>
    <w:rsid w:val="5AD55908"/>
    <w:rsid w:val="5ADE77EC"/>
    <w:rsid w:val="5AE623A0"/>
    <w:rsid w:val="5AF92FAC"/>
    <w:rsid w:val="5AF933E0"/>
    <w:rsid w:val="5B041C5F"/>
    <w:rsid w:val="5B1D015E"/>
    <w:rsid w:val="5B5E5F1F"/>
    <w:rsid w:val="5B911078"/>
    <w:rsid w:val="5B9B76D0"/>
    <w:rsid w:val="5BB76446"/>
    <w:rsid w:val="5BDC40D5"/>
    <w:rsid w:val="5BDC78B1"/>
    <w:rsid w:val="5BDF5D95"/>
    <w:rsid w:val="5BEC2E6D"/>
    <w:rsid w:val="5BED3C02"/>
    <w:rsid w:val="5BFE7528"/>
    <w:rsid w:val="5C3B44EE"/>
    <w:rsid w:val="5C681826"/>
    <w:rsid w:val="5C720E3A"/>
    <w:rsid w:val="5C9E76D8"/>
    <w:rsid w:val="5CA35988"/>
    <w:rsid w:val="5CB36A24"/>
    <w:rsid w:val="5CBC0B5C"/>
    <w:rsid w:val="5CC826A5"/>
    <w:rsid w:val="5CD55AD2"/>
    <w:rsid w:val="5CE943C9"/>
    <w:rsid w:val="5CF750A3"/>
    <w:rsid w:val="5CFD14DF"/>
    <w:rsid w:val="5D0732B7"/>
    <w:rsid w:val="5D083903"/>
    <w:rsid w:val="5D133EB3"/>
    <w:rsid w:val="5D241304"/>
    <w:rsid w:val="5D275124"/>
    <w:rsid w:val="5D2A6169"/>
    <w:rsid w:val="5D527E59"/>
    <w:rsid w:val="5D710FFB"/>
    <w:rsid w:val="5D810355"/>
    <w:rsid w:val="5D900FEE"/>
    <w:rsid w:val="5D9A03DB"/>
    <w:rsid w:val="5DCF3ADB"/>
    <w:rsid w:val="5DD6205D"/>
    <w:rsid w:val="5DFD3EF4"/>
    <w:rsid w:val="5E2467F1"/>
    <w:rsid w:val="5E391030"/>
    <w:rsid w:val="5E495699"/>
    <w:rsid w:val="5E4A2C9B"/>
    <w:rsid w:val="5E657329"/>
    <w:rsid w:val="5E8F4E90"/>
    <w:rsid w:val="5EA52572"/>
    <w:rsid w:val="5EB70886"/>
    <w:rsid w:val="5EDB675B"/>
    <w:rsid w:val="5EDC3E96"/>
    <w:rsid w:val="5EF96552"/>
    <w:rsid w:val="5F045338"/>
    <w:rsid w:val="5F12075B"/>
    <w:rsid w:val="5F1A2B43"/>
    <w:rsid w:val="5F2B7D09"/>
    <w:rsid w:val="5FB837BB"/>
    <w:rsid w:val="5FC773E2"/>
    <w:rsid w:val="5FCC7B2A"/>
    <w:rsid w:val="5FDA643C"/>
    <w:rsid w:val="5FEA4571"/>
    <w:rsid w:val="5FF26ACB"/>
    <w:rsid w:val="5FF35933"/>
    <w:rsid w:val="5FF8119A"/>
    <w:rsid w:val="5FFB16AD"/>
    <w:rsid w:val="600E7A8A"/>
    <w:rsid w:val="602B4C88"/>
    <w:rsid w:val="605E7AC0"/>
    <w:rsid w:val="6061537A"/>
    <w:rsid w:val="60770A22"/>
    <w:rsid w:val="607E4C61"/>
    <w:rsid w:val="608C51EE"/>
    <w:rsid w:val="60B30D93"/>
    <w:rsid w:val="60BB107C"/>
    <w:rsid w:val="60BD2E3D"/>
    <w:rsid w:val="60CC405A"/>
    <w:rsid w:val="60FA6EDD"/>
    <w:rsid w:val="60FB008E"/>
    <w:rsid w:val="60FF6EB1"/>
    <w:rsid w:val="61061859"/>
    <w:rsid w:val="61066EA0"/>
    <w:rsid w:val="610A53F2"/>
    <w:rsid w:val="61355E2F"/>
    <w:rsid w:val="61531E6F"/>
    <w:rsid w:val="615E3EBA"/>
    <w:rsid w:val="61604576"/>
    <w:rsid w:val="61814622"/>
    <w:rsid w:val="61C734D2"/>
    <w:rsid w:val="61DC18AA"/>
    <w:rsid w:val="61E215D8"/>
    <w:rsid w:val="61E82F1E"/>
    <w:rsid w:val="621B3775"/>
    <w:rsid w:val="621C605E"/>
    <w:rsid w:val="62364782"/>
    <w:rsid w:val="62604BF7"/>
    <w:rsid w:val="62633FD2"/>
    <w:rsid w:val="62790A27"/>
    <w:rsid w:val="627C31DC"/>
    <w:rsid w:val="628A3918"/>
    <w:rsid w:val="6293185C"/>
    <w:rsid w:val="62A80CB6"/>
    <w:rsid w:val="62BB0BAC"/>
    <w:rsid w:val="62BD4A96"/>
    <w:rsid w:val="62E23939"/>
    <w:rsid w:val="630B4188"/>
    <w:rsid w:val="631B5AB9"/>
    <w:rsid w:val="633E6600"/>
    <w:rsid w:val="63850D09"/>
    <w:rsid w:val="63865236"/>
    <w:rsid w:val="6394356A"/>
    <w:rsid w:val="63A50E25"/>
    <w:rsid w:val="63C11BFC"/>
    <w:rsid w:val="63C61B2C"/>
    <w:rsid w:val="63D40BE9"/>
    <w:rsid w:val="63D64F25"/>
    <w:rsid w:val="63EB6C79"/>
    <w:rsid w:val="63FD768D"/>
    <w:rsid w:val="64102431"/>
    <w:rsid w:val="641A2466"/>
    <w:rsid w:val="642F7A43"/>
    <w:rsid w:val="643E5896"/>
    <w:rsid w:val="64407810"/>
    <w:rsid w:val="644D2584"/>
    <w:rsid w:val="644F55EB"/>
    <w:rsid w:val="645C4280"/>
    <w:rsid w:val="64693F70"/>
    <w:rsid w:val="64700725"/>
    <w:rsid w:val="64A5243A"/>
    <w:rsid w:val="64B5433B"/>
    <w:rsid w:val="64E459FD"/>
    <w:rsid w:val="64F36C57"/>
    <w:rsid w:val="64F531DE"/>
    <w:rsid w:val="650D1A15"/>
    <w:rsid w:val="652C7FCD"/>
    <w:rsid w:val="65373578"/>
    <w:rsid w:val="654D465D"/>
    <w:rsid w:val="658609C6"/>
    <w:rsid w:val="65905879"/>
    <w:rsid w:val="65AF5C6F"/>
    <w:rsid w:val="65D57E70"/>
    <w:rsid w:val="65FA31A3"/>
    <w:rsid w:val="662E0469"/>
    <w:rsid w:val="6649102E"/>
    <w:rsid w:val="66597F7C"/>
    <w:rsid w:val="665A7699"/>
    <w:rsid w:val="665C6CC3"/>
    <w:rsid w:val="665E0D9E"/>
    <w:rsid w:val="66807B4C"/>
    <w:rsid w:val="668D60A8"/>
    <w:rsid w:val="669970C4"/>
    <w:rsid w:val="669D3F68"/>
    <w:rsid w:val="66A06509"/>
    <w:rsid w:val="66C16153"/>
    <w:rsid w:val="66E16D9C"/>
    <w:rsid w:val="671F124A"/>
    <w:rsid w:val="672230BA"/>
    <w:rsid w:val="672C76EA"/>
    <w:rsid w:val="673C7239"/>
    <w:rsid w:val="67456D33"/>
    <w:rsid w:val="67523E37"/>
    <w:rsid w:val="675D1F4D"/>
    <w:rsid w:val="67664D0D"/>
    <w:rsid w:val="676A6106"/>
    <w:rsid w:val="67755D57"/>
    <w:rsid w:val="677A33C6"/>
    <w:rsid w:val="678165EA"/>
    <w:rsid w:val="678A536D"/>
    <w:rsid w:val="67B63931"/>
    <w:rsid w:val="67CF75E2"/>
    <w:rsid w:val="67FB5067"/>
    <w:rsid w:val="68175BD5"/>
    <w:rsid w:val="681F6961"/>
    <w:rsid w:val="68475609"/>
    <w:rsid w:val="685E4640"/>
    <w:rsid w:val="68610A2F"/>
    <w:rsid w:val="687C5696"/>
    <w:rsid w:val="68805514"/>
    <w:rsid w:val="68900522"/>
    <w:rsid w:val="689304E6"/>
    <w:rsid w:val="689C4BF4"/>
    <w:rsid w:val="68A4471F"/>
    <w:rsid w:val="68A7670A"/>
    <w:rsid w:val="68BA621A"/>
    <w:rsid w:val="68C44CF8"/>
    <w:rsid w:val="68F0634A"/>
    <w:rsid w:val="68F4392B"/>
    <w:rsid w:val="68FC784B"/>
    <w:rsid w:val="69126AA7"/>
    <w:rsid w:val="692B02A6"/>
    <w:rsid w:val="69316E2F"/>
    <w:rsid w:val="69331AD8"/>
    <w:rsid w:val="69357651"/>
    <w:rsid w:val="694E2071"/>
    <w:rsid w:val="69522D7B"/>
    <w:rsid w:val="696D4B79"/>
    <w:rsid w:val="697638C4"/>
    <w:rsid w:val="69766163"/>
    <w:rsid w:val="697A3B33"/>
    <w:rsid w:val="69863E8A"/>
    <w:rsid w:val="69C61C79"/>
    <w:rsid w:val="69D44760"/>
    <w:rsid w:val="69D75139"/>
    <w:rsid w:val="69EC357A"/>
    <w:rsid w:val="6A026254"/>
    <w:rsid w:val="6A120923"/>
    <w:rsid w:val="6A38155A"/>
    <w:rsid w:val="6A520EC7"/>
    <w:rsid w:val="6A60745D"/>
    <w:rsid w:val="6A615EE7"/>
    <w:rsid w:val="6A622CE3"/>
    <w:rsid w:val="6A856AFE"/>
    <w:rsid w:val="6A88226F"/>
    <w:rsid w:val="6A8F1839"/>
    <w:rsid w:val="6A971C22"/>
    <w:rsid w:val="6AA16F7D"/>
    <w:rsid w:val="6AA433C5"/>
    <w:rsid w:val="6AA60D8A"/>
    <w:rsid w:val="6AF87E20"/>
    <w:rsid w:val="6B1270CC"/>
    <w:rsid w:val="6B28640F"/>
    <w:rsid w:val="6B2D1A3D"/>
    <w:rsid w:val="6B322639"/>
    <w:rsid w:val="6B427391"/>
    <w:rsid w:val="6B480E55"/>
    <w:rsid w:val="6B797260"/>
    <w:rsid w:val="6B882963"/>
    <w:rsid w:val="6B9D0E89"/>
    <w:rsid w:val="6BC36E63"/>
    <w:rsid w:val="6BCB3F03"/>
    <w:rsid w:val="6BCB4BA0"/>
    <w:rsid w:val="6BF031E2"/>
    <w:rsid w:val="6C1D5E3D"/>
    <w:rsid w:val="6C3C1831"/>
    <w:rsid w:val="6C636C38"/>
    <w:rsid w:val="6C6E62B2"/>
    <w:rsid w:val="6C711518"/>
    <w:rsid w:val="6C7E0A04"/>
    <w:rsid w:val="6CB8716B"/>
    <w:rsid w:val="6CBA3A6E"/>
    <w:rsid w:val="6CC66C96"/>
    <w:rsid w:val="6CC77785"/>
    <w:rsid w:val="6CCC3C0D"/>
    <w:rsid w:val="6CFF1D2C"/>
    <w:rsid w:val="6D1124F0"/>
    <w:rsid w:val="6D2914F4"/>
    <w:rsid w:val="6D41671D"/>
    <w:rsid w:val="6D7F6F77"/>
    <w:rsid w:val="6DA20B0A"/>
    <w:rsid w:val="6DA265FA"/>
    <w:rsid w:val="6DB34098"/>
    <w:rsid w:val="6DB545B6"/>
    <w:rsid w:val="6DD93BFD"/>
    <w:rsid w:val="6DDE3FA6"/>
    <w:rsid w:val="6DE02FB4"/>
    <w:rsid w:val="6DE3311E"/>
    <w:rsid w:val="6E272ACB"/>
    <w:rsid w:val="6E3E0A81"/>
    <w:rsid w:val="6E456A1F"/>
    <w:rsid w:val="6E4D2152"/>
    <w:rsid w:val="6E514CED"/>
    <w:rsid w:val="6E5548A5"/>
    <w:rsid w:val="6E5721D7"/>
    <w:rsid w:val="6E57291F"/>
    <w:rsid w:val="6E6E3BE9"/>
    <w:rsid w:val="6E7F3C61"/>
    <w:rsid w:val="6EA66B7E"/>
    <w:rsid w:val="6EA77B2D"/>
    <w:rsid w:val="6EB563D5"/>
    <w:rsid w:val="6EC50BEF"/>
    <w:rsid w:val="6ED117B5"/>
    <w:rsid w:val="6ED806E1"/>
    <w:rsid w:val="6ED92677"/>
    <w:rsid w:val="6EDC1FE0"/>
    <w:rsid w:val="6EF8049C"/>
    <w:rsid w:val="6F1677CA"/>
    <w:rsid w:val="6F173018"/>
    <w:rsid w:val="6F225983"/>
    <w:rsid w:val="6F270996"/>
    <w:rsid w:val="6F2F61E8"/>
    <w:rsid w:val="6F3E7463"/>
    <w:rsid w:val="6F495E29"/>
    <w:rsid w:val="6F517DA8"/>
    <w:rsid w:val="6F5538CD"/>
    <w:rsid w:val="6F615B68"/>
    <w:rsid w:val="6F6349E7"/>
    <w:rsid w:val="6F6D3BF0"/>
    <w:rsid w:val="6F8A04D3"/>
    <w:rsid w:val="6F92451F"/>
    <w:rsid w:val="6FE9448A"/>
    <w:rsid w:val="6FFC5590"/>
    <w:rsid w:val="701D0761"/>
    <w:rsid w:val="701D5C9D"/>
    <w:rsid w:val="70257DC7"/>
    <w:rsid w:val="70695E33"/>
    <w:rsid w:val="706D1DD0"/>
    <w:rsid w:val="707C6F56"/>
    <w:rsid w:val="707F70C6"/>
    <w:rsid w:val="70856B87"/>
    <w:rsid w:val="709B3940"/>
    <w:rsid w:val="70A73F27"/>
    <w:rsid w:val="70B329FD"/>
    <w:rsid w:val="70BC2A8C"/>
    <w:rsid w:val="70C63157"/>
    <w:rsid w:val="70D527EE"/>
    <w:rsid w:val="70F57389"/>
    <w:rsid w:val="7147681B"/>
    <w:rsid w:val="71526589"/>
    <w:rsid w:val="7153703A"/>
    <w:rsid w:val="715B5300"/>
    <w:rsid w:val="718D728B"/>
    <w:rsid w:val="719558C8"/>
    <w:rsid w:val="71A178B1"/>
    <w:rsid w:val="71A82812"/>
    <w:rsid w:val="71B7400E"/>
    <w:rsid w:val="71D27F8A"/>
    <w:rsid w:val="71F17ED1"/>
    <w:rsid w:val="72067563"/>
    <w:rsid w:val="720818D7"/>
    <w:rsid w:val="720A040D"/>
    <w:rsid w:val="7211107E"/>
    <w:rsid w:val="72273C61"/>
    <w:rsid w:val="72356904"/>
    <w:rsid w:val="72553024"/>
    <w:rsid w:val="72760055"/>
    <w:rsid w:val="72B10269"/>
    <w:rsid w:val="72B44A6F"/>
    <w:rsid w:val="72B51C4E"/>
    <w:rsid w:val="72BE4402"/>
    <w:rsid w:val="72D33E75"/>
    <w:rsid w:val="72EC5E5C"/>
    <w:rsid w:val="73122968"/>
    <w:rsid w:val="731F5D5E"/>
    <w:rsid w:val="733D3FA9"/>
    <w:rsid w:val="737B5705"/>
    <w:rsid w:val="73C51AD5"/>
    <w:rsid w:val="73DC078F"/>
    <w:rsid w:val="741E793C"/>
    <w:rsid w:val="741F37CD"/>
    <w:rsid w:val="7434641A"/>
    <w:rsid w:val="745E3944"/>
    <w:rsid w:val="746B2FB4"/>
    <w:rsid w:val="747247FB"/>
    <w:rsid w:val="747332E7"/>
    <w:rsid w:val="749F4A62"/>
    <w:rsid w:val="74CF4852"/>
    <w:rsid w:val="7515568C"/>
    <w:rsid w:val="751A79E3"/>
    <w:rsid w:val="752C1BF9"/>
    <w:rsid w:val="754E4160"/>
    <w:rsid w:val="757A7A2A"/>
    <w:rsid w:val="75841057"/>
    <w:rsid w:val="758415F2"/>
    <w:rsid w:val="75930C43"/>
    <w:rsid w:val="75932CCC"/>
    <w:rsid w:val="7595453F"/>
    <w:rsid w:val="75A861DA"/>
    <w:rsid w:val="75D67789"/>
    <w:rsid w:val="762229CE"/>
    <w:rsid w:val="76306360"/>
    <w:rsid w:val="763418B6"/>
    <w:rsid w:val="7635099D"/>
    <w:rsid w:val="764258BA"/>
    <w:rsid w:val="76482D7E"/>
    <w:rsid w:val="764946C5"/>
    <w:rsid w:val="76D600F2"/>
    <w:rsid w:val="7710725B"/>
    <w:rsid w:val="7772528F"/>
    <w:rsid w:val="77762421"/>
    <w:rsid w:val="777D75B3"/>
    <w:rsid w:val="77837BDA"/>
    <w:rsid w:val="77A653D7"/>
    <w:rsid w:val="77B56B1F"/>
    <w:rsid w:val="77B746D8"/>
    <w:rsid w:val="77CA34DA"/>
    <w:rsid w:val="77DD57DA"/>
    <w:rsid w:val="77FF4BD7"/>
    <w:rsid w:val="780F09F4"/>
    <w:rsid w:val="782C1847"/>
    <w:rsid w:val="783469E8"/>
    <w:rsid w:val="783C608C"/>
    <w:rsid w:val="78411AAB"/>
    <w:rsid w:val="78497A78"/>
    <w:rsid w:val="7859644F"/>
    <w:rsid w:val="7867302A"/>
    <w:rsid w:val="788271C4"/>
    <w:rsid w:val="78855E52"/>
    <w:rsid w:val="7898077E"/>
    <w:rsid w:val="78981241"/>
    <w:rsid w:val="78A90480"/>
    <w:rsid w:val="78B51B76"/>
    <w:rsid w:val="78BE0AD8"/>
    <w:rsid w:val="78CE0BEB"/>
    <w:rsid w:val="78ED78AC"/>
    <w:rsid w:val="78F0401D"/>
    <w:rsid w:val="7912735D"/>
    <w:rsid w:val="791C767D"/>
    <w:rsid w:val="79413807"/>
    <w:rsid w:val="797C6FF6"/>
    <w:rsid w:val="79B5677E"/>
    <w:rsid w:val="79D25C5B"/>
    <w:rsid w:val="79E95E80"/>
    <w:rsid w:val="7A04221B"/>
    <w:rsid w:val="7A1C63FE"/>
    <w:rsid w:val="7A221DB1"/>
    <w:rsid w:val="7A23077D"/>
    <w:rsid w:val="7A27549C"/>
    <w:rsid w:val="7A2D2E1A"/>
    <w:rsid w:val="7A364017"/>
    <w:rsid w:val="7A454EDD"/>
    <w:rsid w:val="7A5C1715"/>
    <w:rsid w:val="7A5E41C8"/>
    <w:rsid w:val="7A605894"/>
    <w:rsid w:val="7A647F11"/>
    <w:rsid w:val="7A684727"/>
    <w:rsid w:val="7A8265E1"/>
    <w:rsid w:val="7AA34743"/>
    <w:rsid w:val="7AC10ED1"/>
    <w:rsid w:val="7AD006FD"/>
    <w:rsid w:val="7AD422A6"/>
    <w:rsid w:val="7B030C79"/>
    <w:rsid w:val="7B0F1FDE"/>
    <w:rsid w:val="7B1C59E8"/>
    <w:rsid w:val="7B3B39D3"/>
    <w:rsid w:val="7B3E527A"/>
    <w:rsid w:val="7B5053EA"/>
    <w:rsid w:val="7B686D42"/>
    <w:rsid w:val="7B7F0DC3"/>
    <w:rsid w:val="7B841746"/>
    <w:rsid w:val="7B874DE1"/>
    <w:rsid w:val="7B897BA3"/>
    <w:rsid w:val="7B8A5F6C"/>
    <w:rsid w:val="7BBD5803"/>
    <w:rsid w:val="7BCB0125"/>
    <w:rsid w:val="7BCB3774"/>
    <w:rsid w:val="7BE53609"/>
    <w:rsid w:val="7BE77255"/>
    <w:rsid w:val="7C127041"/>
    <w:rsid w:val="7C1424C5"/>
    <w:rsid w:val="7C3B4CC4"/>
    <w:rsid w:val="7C4F58F8"/>
    <w:rsid w:val="7C5B09E8"/>
    <w:rsid w:val="7C6C5AC7"/>
    <w:rsid w:val="7C7E3193"/>
    <w:rsid w:val="7C911899"/>
    <w:rsid w:val="7C912348"/>
    <w:rsid w:val="7CC6544B"/>
    <w:rsid w:val="7CD93074"/>
    <w:rsid w:val="7CEA1D6C"/>
    <w:rsid w:val="7CEB7706"/>
    <w:rsid w:val="7D012C11"/>
    <w:rsid w:val="7D0239FF"/>
    <w:rsid w:val="7D257511"/>
    <w:rsid w:val="7D2E64A1"/>
    <w:rsid w:val="7D4421C5"/>
    <w:rsid w:val="7D482D26"/>
    <w:rsid w:val="7D5E40CD"/>
    <w:rsid w:val="7D621F8D"/>
    <w:rsid w:val="7D684119"/>
    <w:rsid w:val="7D6942A8"/>
    <w:rsid w:val="7D951CD7"/>
    <w:rsid w:val="7DAA612D"/>
    <w:rsid w:val="7DAC5BB7"/>
    <w:rsid w:val="7DBC3A11"/>
    <w:rsid w:val="7DCD56F2"/>
    <w:rsid w:val="7DE808A4"/>
    <w:rsid w:val="7DEB7B49"/>
    <w:rsid w:val="7DEE08D7"/>
    <w:rsid w:val="7E221BC2"/>
    <w:rsid w:val="7E286038"/>
    <w:rsid w:val="7E2A3837"/>
    <w:rsid w:val="7E2B4AA4"/>
    <w:rsid w:val="7E305C08"/>
    <w:rsid w:val="7E3B4476"/>
    <w:rsid w:val="7E81512E"/>
    <w:rsid w:val="7EB748B1"/>
    <w:rsid w:val="7EFB3A18"/>
    <w:rsid w:val="7F001CE7"/>
    <w:rsid w:val="7F5E0122"/>
    <w:rsid w:val="7F680923"/>
    <w:rsid w:val="7F687729"/>
    <w:rsid w:val="7F9A4694"/>
    <w:rsid w:val="7F9B18DF"/>
    <w:rsid w:val="7FA34A72"/>
    <w:rsid w:val="7FB9083E"/>
    <w:rsid w:val="7FE47E50"/>
    <w:rsid w:val="7FF07F59"/>
    <w:rsid w:val="7FFC62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qFormat="1" w:uiPriority="39"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qFormat="1" w:uiPriority="0" w:semiHidden="0" w:name="Body Text 3"/>
    <w:lsdException w:qFormat="1" w:uiPriority="0" w:semiHidden="0" w:name="Body Text Indent 2"/>
    <w:lsdException w:qFormat="1"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28"/>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29"/>
    <w:qFormat/>
    <w:uiPriority w:val="0"/>
    <w:pPr>
      <w:keepNext/>
      <w:keepLines/>
      <w:autoSpaceDE w:val="0"/>
      <w:autoSpaceDN w:val="0"/>
      <w:adjustRightInd w:val="0"/>
      <w:spacing w:before="120" w:after="120"/>
      <w:textAlignment w:val="baseline"/>
      <w:outlineLvl w:val="1"/>
    </w:pPr>
    <w:rPr>
      <w:rFonts w:ascii="宋体" w:hAnsi="Arial" w:eastAsia="楷体_GB2312"/>
      <w:b/>
      <w:kern w:val="24"/>
      <w:sz w:val="24"/>
      <w:szCs w:val="20"/>
    </w:rPr>
  </w:style>
  <w:style w:type="character" w:default="1" w:styleId="40">
    <w:name w:val="Default Paragraph Font"/>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toc 6"/>
    <w:basedOn w:val="1"/>
    <w:next w:val="1"/>
    <w:qFormat/>
    <w:uiPriority w:val="0"/>
    <w:pPr>
      <w:ind w:left="2100" w:leftChars="1000"/>
    </w:pPr>
  </w:style>
  <w:style w:type="paragraph" w:styleId="5">
    <w:name w:val="List 3"/>
    <w:basedOn w:val="1"/>
    <w:unhideWhenUsed/>
    <w:qFormat/>
    <w:uiPriority w:val="99"/>
    <w:pPr>
      <w:ind w:left="100" w:leftChars="400" w:hanging="200" w:hangingChars="200"/>
      <w:contextualSpacing/>
    </w:pPr>
  </w:style>
  <w:style w:type="paragraph" w:styleId="6">
    <w:name w:val="E-mail Signature"/>
    <w:basedOn w:val="1"/>
    <w:next w:val="7"/>
    <w:qFormat/>
    <w:uiPriority w:val="0"/>
  </w:style>
  <w:style w:type="paragraph" w:customStyle="1" w:styleId="7">
    <w:name w:val="文章"/>
    <w:basedOn w:val="8"/>
    <w:next w:val="9"/>
    <w:qFormat/>
    <w:uiPriority w:val="0"/>
    <w:pPr>
      <w:tabs>
        <w:tab w:val="left" w:pos="2226"/>
      </w:tabs>
      <w:jc w:val="center"/>
    </w:pPr>
    <w:rPr>
      <w:kern w:val="2"/>
      <w:sz w:val="26"/>
      <w:szCs w:val="22"/>
    </w:rPr>
  </w:style>
  <w:style w:type="paragraph" w:styleId="8">
    <w:name w:val="Body Text Indent"/>
    <w:basedOn w:val="1"/>
    <w:next w:val="1"/>
    <w:link w:val="46"/>
    <w:qFormat/>
    <w:uiPriority w:val="0"/>
    <w:pPr>
      <w:tabs>
        <w:tab w:val="left" w:pos="2226"/>
      </w:tabs>
      <w:spacing w:line="360" w:lineRule="auto"/>
      <w:ind w:firstLine="480" w:firstLineChars="200"/>
    </w:pPr>
    <w:rPr>
      <w:color w:val="000000"/>
      <w:kern w:val="0"/>
      <w:sz w:val="24"/>
    </w:rPr>
  </w:style>
  <w:style w:type="paragraph" w:styleId="9">
    <w:name w:val="List"/>
    <w:basedOn w:val="1"/>
    <w:next w:val="10"/>
    <w:qFormat/>
    <w:uiPriority w:val="0"/>
    <w:pPr>
      <w:ind w:left="200" w:hanging="200" w:hangingChars="200"/>
    </w:pPr>
  </w:style>
  <w:style w:type="paragraph" w:styleId="10">
    <w:name w:val="List Bullet 2"/>
    <w:basedOn w:val="1"/>
    <w:next w:val="11"/>
    <w:qFormat/>
    <w:uiPriority w:val="0"/>
    <w:pPr>
      <w:numPr>
        <w:ilvl w:val="0"/>
        <w:numId w:val="1"/>
      </w:numPr>
    </w:pPr>
  </w:style>
  <w:style w:type="paragraph" w:customStyle="1" w:styleId="11">
    <w:name w:val="xl70"/>
    <w:basedOn w:val="1"/>
    <w:next w:val="12"/>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2">
    <w:name w:val="正文缩进1"/>
    <w:basedOn w:val="1"/>
    <w:next w:val="13"/>
    <w:qFormat/>
    <w:uiPriority w:val="0"/>
    <w:pPr>
      <w:suppressAutoHyphens/>
      <w:ind w:firstLine="420"/>
      <w:jc w:val="left"/>
    </w:pPr>
    <w:rPr>
      <w:kern w:val="1"/>
      <w:szCs w:val="20"/>
      <w:lang w:eastAsia="ar-SA"/>
    </w:rPr>
  </w:style>
  <w:style w:type="paragraph" w:customStyle="1" w:styleId="13">
    <w:name w:val="td1"/>
    <w:basedOn w:val="1"/>
    <w:next w:val="1"/>
    <w:qFormat/>
    <w:uiPriority w:val="0"/>
    <w:pPr>
      <w:widowControl/>
      <w:spacing w:before="280" w:after="280" w:line="300" w:lineRule="atLeast"/>
      <w:ind w:firstLine="200"/>
    </w:pPr>
    <w:rPr>
      <w:color w:val="000000"/>
      <w:sz w:val="18"/>
    </w:rPr>
  </w:style>
  <w:style w:type="paragraph" w:styleId="14">
    <w:name w:val="Normal Indent"/>
    <w:basedOn w:val="1"/>
    <w:next w:val="1"/>
    <w:unhideWhenUsed/>
    <w:qFormat/>
    <w:uiPriority w:val="0"/>
    <w:pPr>
      <w:adjustRightInd w:val="0"/>
      <w:spacing w:line="312" w:lineRule="atLeast"/>
      <w:ind w:firstLine="420"/>
    </w:pPr>
    <w:rPr>
      <w:kern w:val="0"/>
      <w:sz w:val="20"/>
      <w:szCs w:val="20"/>
    </w:rPr>
  </w:style>
  <w:style w:type="paragraph" w:styleId="15">
    <w:name w:val="caption"/>
    <w:basedOn w:val="1"/>
    <w:next w:val="1"/>
    <w:semiHidden/>
    <w:unhideWhenUsed/>
    <w:qFormat/>
    <w:uiPriority w:val="0"/>
    <w:pPr>
      <w:numPr>
        <w:ilvl w:val="0"/>
        <w:numId w:val="2"/>
      </w:numPr>
      <w:spacing w:before="50" w:beforeLines="50" w:line="360" w:lineRule="exact"/>
      <w:ind w:left="0" w:firstLine="720" w:firstLineChars="200"/>
      <w:jc w:val="center"/>
    </w:pPr>
    <w:rPr>
      <w:rFonts w:eastAsia="黑体"/>
      <w:sz w:val="24"/>
    </w:rPr>
  </w:style>
  <w:style w:type="paragraph" w:styleId="16">
    <w:name w:val="toa heading"/>
    <w:basedOn w:val="1"/>
    <w:next w:val="1"/>
    <w:qFormat/>
    <w:uiPriority w:val="0"/>
    <w:pPr>
      <w:spacing w:before="120" w:after="120" w:line="360" w:lineRule="auto"/>
      <w:ind w:firstLine="200" w:firstLineChars="200"/>
      <w:jc w:val="left"/>
    </w:pPr>
    <w:rPr>
      <w:sz w:val="24"/>
      <w:u w:val="single"/>
    </w:rPr>
  </w:style>
  <w:style w:type="paragraph" w:styleId="17">
    <w:name w:val="annotation text"/>
    <w:basedOn w:val="1"/>
    <w:link w:val="130"/>
    <w:semiHidden/>
    <w:qFormat/>
    <w:uiPriority w:val="0"/>
    <w:pPr>
      <w:jc w:val="left"/>
    </w:pPr>
    <w:rPr>
      <w:kern w:val="0"/>
      <w:sz w:val="24"/>
      <w:szCs w:val="20"/>
    </w:rPr>
  </w:style>
  <w:style w:type="paragraph" w:styleId="18">
    <w:name w:val="Body Text 3"/>
    <w:basedOn w:val="1"/>
    <w:unhideWhenUsed/>
    <w:qFormat/>
    <w:uiPriority w:val="0"/>
    <w:pPr>
      <w:spacing w:after="120"/>
    </w:pPr>
    <w:rPr>
      <w:kern w:val="0"/>
      <w:sz w:val="16"/>
      <w:szCs w:val="16"/>
    </w:rPr>
  </w:style>
  <w:style w:type="paragraph" w:styleId="19">
    <w:name w:val="Body Text"/>
    <w:basedOn w:val="1"/>
    <w:next w:val="14"/>
    <w:link w:val="131"/>
    <w:qFormat/>
    <w:uiPriority w:val="0"/>
    <w:pPr>
      <w:widowControl/>
      <w:snapToGrid w:val="0"/>
      <w:spacing w:before="60" w:after="160" w:line="259" w:lineRule="auto"/>
      <w:ind w:right="113"/>
    </w:pPr>
    <w:rPr>
      <w:kern w:val="0"/>
      <w:sz w:val="18"/>
      <w:szCs w:val="20"/>
    </w:rPr>
  </w:style>
  <w:style w:type="paragraph" w:styleId="20">
    <w:name w:val="toc 5"/>
    <w:basedOn w:val="1"/>
    <w:next w:val="1"/>
    <w:unhideWhenUsed/>
    <w:qFormat/>
    <w:uiPriority w:val="39"/>
    <w:pPr>
      <w:ind w:left="1680"/>
    </w:pPr>
  </w:style>
  <w:style w:type="paragraph" w:styleId="21">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22">
    <w:name w:val="Plain Text"/>
    <w:basedOn w:val="1"/>
    <w:next w:val="23"/>
    <w:unhideWhenUsed/>
    <w:qFormat/>
    <w:uiPriority w:val="0"/>
    <w:rPr>
      <w:rFonts w:ascii="宋体" w:hAnsi="Courier New"/>
      <w:kern w:val="0"/>
      <w:sz w:val="20"/>
      <w:szCs w:val="21"/>
    </w:rPr>
  </w:style>
  <w:style w:type="paragraph" w:styleId="23">
    <w:name w:val="toc 1"/>
    <w:basedOn w:val="1"/>
    <w:next w:val="1"/>
    <w:qFormat/>
    <w:uiPriority w:val="39"/>
    <w:pPr>
      <w:spacing w:before="120" w:after="120"/>
      <w:jc w:val="left"/>
    </w:pPr>
    <w:rPr>
      <w:b/>
      <w:bCs/>
      <w:caps/>
      <w:sz w:val="20"/>
    </w:rPr>
  </w:style>
  <w:style w:type="paragraph" w:styleId="24">
    <w:name w:val="Date"/>
    <w:basedOn w:val="1"/>
    <w:next w:val="1"/>
    <w:link w:val="49"/>
    <w:qFormat/>
    <w:uiPriority w:val="0"/>
    <w:pPr>
      <w:ind w:left="100" w:leftChars="2500"/>
    </w:pPr>
    <w:rPr>
      <w:kern w:val="0"/>
      <w:sz w:val="24"/>
      <w:szCs w:val="20"/>
    </w:rPr>
  </w:style>
  <w:style w:type="paragraph" w:styleId="25">
    <w:name w:val="Body Text Indent 2"/>
    <w:basedOn w:val="1"/>
    <w:next w:val="16"/>
    <w:unhideWhenUsed/>
    <w:qFormat/>
    <w:uiPriority w:val="0"/>
    <w:pPr>
      <w:spacing w:after="120" w:line="480" w:lineRule="auto"/>
      <w:ind w:left="420" w:leftChars="200"/>
    </w:pPr>
    <w:rPr>
      <w:kern w:val="0"/>
      <w:sz w:val="20"/>
      <w:szCs w:val="20"/>
    </w:rPr>
  </w:style>
  <w:style w:type="paragraph" w:styleId="26">
    <w:name w:val="Balloon Text"/>
    <w:basedOn w:val="1"/>
    <w:link w:val="50"/>
    <w:semiHidden/>
    <w:qFormat/>
    <w:uiPriority w:val="0"/>
    <w:rPr>
      <w:kern w:val="0"/>
      <w:sz w:val="18"/>
      <w:szCs w:val="20"/>
    </w:rPr>
  </w:style>
  <w:style w:type="paragraph" w:styleId="27">
    <w:name w:val="footer"/>
    <w:basedOn w:val="1"/>
    <w:link w:val="51"/>
    <w:qFormat/>
    <w:uiPriority w:val="99"/>
    <w:pPr>
      <w:tabs>
        <w:tab w:val="center" w:pos="4153"/>
        <w:tab w:val="right" w:pos="8306"/>
      </w:tabs>
      <w:snapToGrid w:val="0"/>
      <w:jc w:val="left"/>
    </w:pPr>
    <w:rPr>
      <w:kern w:val="0"/>
      <w:sz w:val="18"/>
      <w:szCs w:val="20"/>
    </w:rPr>
  </w:style>
  <w:style w:type="paragraph" w:styleId="28">
    <w:name w:val="header"/>
    <w:basedOn w:val="1"/>
    <w:link w:val="52"/>
    <w:qFormat/>
    <w:uiPriority w:val="0"/>
    <w:pPr>
      <w:pBdr>
        <w:bottom w:val="single" w:color="auto" w:sz="6" w:space="1"/>
      </w:pBdr>
      <w:tabs>
        <w:tab w:val="center" w:pos="4153"/>
        <w:tab w:val="right" w:pos="8306"/>
      </w:tabs>
      <w:snapToGrid w:val="0"/>
      <w:jc w:val="center"/>
    </w:pPr>
    <w:rPr>
      <w:kern w:val="0"/>
      <w:sz w:val="18"/>
      <w:szCs w:val="20"/>
    </w:rPr>
  </w:style>
  <w:style w:type="paragraph" w:styleId="29">
    <w:name w:val="Body Text Indent 3"/>
    <w:basedOn w:val="1"/>
    <w:unhideWhenUsed/>
    <w:qFormat/>
    <w:uiPriority w:val="0"/>
    <w:pPr>
      <w:spacing w:after="120"/>
      <w:ind w:left="420" w:leftChars="200"/>
    </w:pPr>
    <w:rPr>
      <w:kern w:val="0"/>
      <w:sz w:val="16"/>
      <w:szCs w:val="16"/>
    </w:rPr>
  </w:style>
  <w:style w:type="paragraph" w:styleId="30">
    <w:name w:val="toc 2"/>
    <w:basedOn w:val="1"/>
    <w:next w:val="31"/>
    <w:qFormat/>
    <w:uiPriority w:val="39"/>
    <w:pPr>
      <w:ind w:left="240"/>
      <w:jc w:val="left"/>
    </w:pPr>
    <w:rPr>
      <w:rFonts w:ascii="Calibri" w:hAnsi="Calibri"/>
      <w:smallCaps/>
      <w:sz w:val="20"/>
      <w:szCs w:val="20"/>
    </w:rPr>
  </w:style>
  <w:style w:type="paragraph" w:customStyle="1" w:styleId="31">
    <w:name w:val="电子邮件签名1"/>
    <w:basedOn w:val="1"/>
    <w:next w:val="7"/>
    <w:qFormat/>
    <w:uiPriority w:val="0"/>
    <w:pPr>
      <w:spacing w:line="460" w:lineRule="exact"/>
      <w:ind w:firstLine="200"/>
    </w:pPr>
  </w:style>
  <w:style w:type="paragraph" w:styleId="3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Arial Unicode MS"/>
      <w:kern w:val="0"/>
      <w:sz w:val="20"/>
      <w:szCs w:val="20"/>
    </w:rPr>
  </w:style>
  <w:style w:type="paragraph" w:styleId="33">
    <w:name w:val="Normal (Web)"/>
    <w:basedOn w:val="1"/>
    <w:next w:val="1"/>
    <w:link w:val="53"/>
    <w:qFormat/>
    <w:uiPriority w:val="99"/>
    <w:pPr>
      <w:widowControl/>
      <w:spacing w:line="360" w:lineRule="auto"/>
      <w:jc w:val="center"/>
      <w:outlineLvl w:val="0"/>
    </w:pPr>
    <w:rPr>
      <w:rFonts w:asciiTheme="minorEastAsia" w:hAnsiTheme="minorEastAsia" w:eastAsiaTheme="minorEastAsia"/>
      <w:b/>
      <w:snapToGrid w:val="0"/>
      <w:kern w:val="0"/>
      <w:sz w:val="24"/>
    </w:rPr>
  </w:style>
  <w:style w:type="paragraph" w:styleId="34">
    <w:name w:val="Title"/>
    <w:basedOn w:val="33"/>
    <w:next w:val="1"/>
    <w:link w:val="121"/>
    <w:qFormat/>
    <w:uiPriority w:val="0"/>
    <w:rPr>
      <w:sz w:val="30"/>
      <w:szCs w:val="30"/>
    </w:rPr>
  </w:style>
  <w:style w:type="paragraph" w:styleId="35">
    <w:name w:val="annotation subject"/>
    <w:basedOn w:val="17"/>
    <w:next w:val="17"/>
    <w:link w:val="54"/>
    <w:semiHidden/>
    <w:qFormat/>
    <w:uiPriority w:val="0"/>
    <w:rPr>
      <w:b/>
    </w:rPr>
  </w:style>
  <w:style w:type="paragraph" w:styleId="36">
    <w:name w:val="Body Text First Indent"/>
    <w:basedOn w:val="19"/>
    <w:link w:val="135"/>
    <w:qFormat/>
    <w:uiPriority w:val="99"/>
    <w:pPr>
      <w:spacing w:after="120" w:line="240" w:lineRule="auto"/>
      <w:ind w:firstLine="420" w:firstLineChars="100"/>
    </w:pPr>
    <w:rPr>
      <w:sz w:val="21"/>
    </w:rPr>
  </w:style>
  <w:style w:type="paragraph" w:styleId="37">
    <w:name w:val="Body Text First Indent 2"/>
    <w:basedOn w:val="1"/>
    <w:next w:val="1"/>
    <w:link w:val="124"/>
    <w:unhideWhenUsed/>
    <w:qFormat/>
    <w:uiPriority w:val="0"/>
    <w:pPr>
      <w:spacing w:line="360" w:lineRule="auto"/>
      <w:jc w:val="center"/>
    </w:pPr>
  </w:style>
  <w:style w:type="table" w:styleId="39">
    <w:name w:val="Table Grid"/>
    <w:basedOn w:val="3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99"/>
    <w:rPr>
      <w:b/>
      <w:bCs/>
    </w:rPr>
  </w:style>
  <w:style w:type="character" w:styleId="42">
    <w:name w:val="page number"/>
    <w:basedOn w:val="40"/>
    <w:qFormat/>
    <w:uiPriority w:val="0"/>
  </w:style>
  <w:style w:type="character" w:styleId="43">
    <w:name w:val="Emphasis"/>
    <w:basedOn w:val="40"/>
    <w:qFormat/>
    <w:uiPriority w:val="0"/>
  </w:style>
  <w:style w:type="character" w:styleId="44">
    <w:name w:val="Hyperlink"/>
    <w:basedOn w:val="40"/>
    <w:unhideWhenUsed/>
    <w:qFormat/>
    <w:uiPriority w:val="99"/>
    <w:rPr>
      <w:color w:val="0000FF" w:themeColor="hyperlink"/>
      <w:u w:val="single"/>
      <w14:textFill>
        <w14:solidFill>
          <w14:schemeClr w14:val="hlink"/>
        </w14:solidFill>
      </w14:textFill>
    </w:rPr>
  </w:style>
  <w:style w:type="character" w:styleId="45">
    <w:name w:val="annotation reference"/>
    <w:basedOn w:val="40"/>
    <w:semiHidden/>
    <w:qFormat/>
    <w:uiPriority w:val="0"/>
    <w:rPr>
      <w:sz w:val="21"/>
      <w:szCs w:val="21"/>
    </w:rPr>
  </w:style>
  <w:style w:type="character" w:customStyle="1" w:styleId="46">
    <w:name w:val="正文文本缩进 Char"/>
    <w:link w:val="8"/>
    <w:qFormat/>
    <w:uiPriority w:val="0"/>
    <w:rPr>
      <w:color w:val="000000"/>
      <w:sz w:val="24"/>
      <w:szCs w:val="24"/>
    </w:rPr>
  </w:style>
  <w:style w:type="character" w:customStyle="1" w:styleId="47">
    <w:name w:val="批注文字 Char"/>
    <w:qFormat/>
    <w:uiPriority w:val="0"/>
    <w:rPr>
      <w:rFonts w:ascii="Times New Roman" w:hAnsi="Times New Roman" w:eastAsia="宋体"/>
      <w:sz w:val="24"/>
    </w:rPr>
  </w:style>
  <w:style w:type="character" w:customStyle="1" w:styleId="48">
    <w:name w:val="正文文本 Char"/>
    <w:qFormat/>
    <w:uiPriority w:val="0"/>
    <w:rPr>
      <w:sz w:val="18"/>
    </w:rPr>
  </w:style>
  <w:style w:type="character" w:customStyle="1" w:styleId="49">
    <w:name w:val="日期 Char"/>
    <w:link w:val="24"/>
    <w:qFormat/>
    <w:uiPriority w:val="0"/>
    <w:rPr>
      <w:rFonts w:ascii="Times New Roman" w:hAnsi="Times New Roman" w:eastAsia="宋体"/>
      <w:sz w:val="24"/>
    </w:rPr>
  </w:style>
  <w:style w:type="character" w:customStyle="1" w:styleId="50">
    <w:name w:val="批注框文本 Char"/>
    <w:link w:val="26"/>
    <w:semiHidden/>
    <w:qFormat/>
    <w:uiPriority w:val="0"/>
    <w:rPr>
      <w:rFonts w:ascii="Times New Roman" w:hAnsi="Times New Roman" w:eastAsia="宋体"/>
      <w:sz w:val="18"/>
    </w:rPr>
  </w:style>
  <w:style w:type="character" w:customStyle="1" w:styleId="51">
    <w:name w:val="页脚 Char"/>
    <w:link w:val="27"/>
    <w:qFormat/>
    <w:uiPriority w:val="99"/>
    <w:rPr>
      <w:sz w:val="18"/>
    </w:rPr>
  </w:style>
  <w:style w:type="character" w:customStyle="1" w:styleId="52">
    <w:name w:val="页眉 Char"/>
    <w:link w:val="28"/>
    <w:qFormat/>
    <w:uiPriority w:val="0"/>
    <w:rPr>
      <w:sz w:val="18"/>
    </w:rPr>
  </w:style>
  <w:style w:type="character" w:customStyle="1" w:styleId="53">
    <w:name w:val="普通(网站) Char"/>
    <w:link w:val="33"/>
    <w:qFormat/>
    <w:uiPriority w:val="99"/>
    <w:rPr>
      <w:rFonts w:asciiTheme="minorEastAsia" w:hAnsiTheme="minorEastAsia" w:eastAsiaTheme="minorEastAsia"/>
      <w:b/>
      <w:snapToGrid w:val="0"/>
      <w:sz w:val="24"/>
      <w:szCs w:val="24"/>
    </w:rPr>
  </w:style>
  <w:style w:type="character" w:customStyle="1" w:styleId="54">
    <w:name w:val="批注主题 Char"/>
    <w:link w:val="35"/>
    <w:semiHidden/>
    <w:qFormat/>
    <w:uiPriority w:val="0"/>
    <w:rPr>
      <w:rFonts w:ascii="Times New Roman" w:hAnsi="Times New Roman" w:eastAsia="宋体"/>
      <w:b/>
      <w:kern w:val="2"/>
      <w:sz w:val="24"/>
    </w:rPr>
  </w:style>
  <w:style w:type="paragraph" w:customStyle="1" w:styleId="55">
    <w:name w:val="Default"/>
    <w:basedOn w:val="56"/>
    <w:qFormat/>
    <w:uiPriority w:val="0"/>
    <w:pPr>
      <w:autoSpaceDE w:val="0"/>
      <w:autoSpaceDN w:val="0"/>
    </w:pPr>
    <w:rPr>
      <w:rFonts w:ascii="黑体" w:eastAsia="黑体"/>
      <w:color w:val="000000"/>
      <w:sz w:val="24"/>
      <w:szCs w:val="24"/>
    </w:rPr>
  </w:style>
  <w:style w:type="paragraph" w:customStyle="1" w:styleId="56">
    <w:name w:val="纯文本1"/>
    <w:basedOn w:val="1"/>
    <w:qFormat/>
    <w:uiPriority w:val="0"/>
    <w:pPr>
      <w:adjustRightInd w:val="0"/>
      <w:textAlignment w:val="baseline"/>
    </w:pPr>
    <w:rPr>
      <w:rFonts w:ascii="宋体" w:hAnsi="Courier New"/>
      <w:szCs w:val="20"/>
    </w:rPr>
  </w:style>
  <w:style w:type="paragraph" w:customStyle="1" w:styleId="57">
    <w:name w:val="列表1"/>
    <w:basedOn w:val="1"/>
    <w:next w:val="10"/>
    <w:qFormat/>
    <w:uiPriority w:val="0"/>
    <w:pPr>
      <w:ind w:left="200" w:hanging="200" w:hangingChars="200"/>
    </w:pPr>
  </w:style>
  <w:style w:type="character" w:customStyle="1" w:styleId="58">
    <w:name w:val="font21"/>
    <w:basedOn w:val="40"/>
    <w:qFormat/>
    <w:uiPriority w:val="0"/>
    <w:rPr>
      <w:rFonts w:hint="eastAsia" w:ascii="宋体" w:hAnsi="宋体" w:eastAsia="宋体" w:cs="宋体"/>
      <w:color w:val="000000"/>
      <w:sz w:val="22"/>
      <w:szCs w:val="22"/>
      <w:u w:val="none"/>
    </w:rPr>
  </w:style>
  <w:style w:type="character" w:customStyle="1" w:styleId="59">
    <w:name w:val="正文文本 字符1"/>
    <w:semiHidden/>
    <w:qFormat/>
    <w:uiPriority w:val="0"/>
    <w:rPr>
      <w:rFonts w:ascii="Times New Roman" w:hAnsi="Times New Roman" w:eastAsia="宋体"/>
      <w:sz w:val="24"/>
    </w:rPr>
  </w:style>
  <w:style w:type="character" w:customStyle="1" w:styleId="60">
    <w:name w:val="font41"/>
    <w:qFormat/>
    <w:uiPriority w:val="0"/>
    <w:rPr>
      <w:rFonts w:hint="eastAsia" w:ascii="宋体" w:hAnsi="宋体" w:eastAsia="宋体" w:cs="宋体"/>
      <w:color w:val="000000"/>
      <w:sz w:val="22"/>
      <w:szCs w:val="22"/>
      <w:u w:val="none"/>
    </w:rPr>
  </w:style>
  <w:style w:type="character" w:customStyle="1" w:styleId="61">
    <w:name w:val="日期 字符"/>
    <w:semiHidden/>
    <w:qFormat/>
    <w:uiPriority w:val="0"/>
    <w:rPr>
      <w:rFonts w:ascii="Times New Roman" w:hAnsi="Times New Roman" w:eastAsia="宋体"/>
      <w:sz w:val="24"/>
    </w:rPr>
  </w:style>
  <w:style w:type="character" w:customStyle="1" w:styleId="62">
    <w:name w:val="表格 Char"/>
    <w:link w:val="63"/>
    <w:qFormat/>
    <w:uiPriority w:val="0"/>
    <w:rPr>
      <w:rFonts w:ascii="宋体"/>
      <w:sz w:val="21"/>
    </w:rPr>
  </w:style>
  <w:style w:type="paragraph" w:customStyle="1" w:styleId="63">
    <w:name w:val="表格"/>
    <w:basedOn w:val="14"/>
    <w:next w:val="1"/>
    <w:link w:val="62"/>
    <w:qFormat/>
    <w:uiPriority w:val="0"/>
    <w:pPr>
      <w:snapToGrid w:val="0"/>
      <w:spacing w:beforeLines="10" w:afterLines="10" w:line="259" w:lineRule="auto"/>
      <w:jc w:val="center"/>
    </w:pPr>
    <w:rPr>
      <w:rFonts w:ascii="宋体"/>
    </w:rPr>
  </w:style>
  <w:style w:type="character" w:customStyle="1" w:styleId="64">
    <w:name w:val="批注文字 字符1"/>
    <w:semiHidden/>
    <w:qFormat/>
    <w:uiPriority w:val="0"/>
    <w:rPr>
      <w:rFonts w:ascii="Times New Roman" w:hAnsi="Times New Roman" w:eastAsia="宋体"/>
      <w:sz w:val="24"/>
    </w:rPr>
  </w:style>
  <w:style w:type="character" w:customStyle="1" w:styleId="65">
    <w:name w:val="宗兴正文 Char"/>
    <w:link w:val="66"/>
    <w:qFormat/>
    <w:uiPriority w:val="0"/>
    <w:rPr>
      <w:rFonts w:ascii="Times New Roman" w:hAnsi="Times New Roman" w:eastAsia="宋体" w:cs="Times New Roman"/>
      <w:kern w:val="2"/>
      <w:sz w:val="24"/>
      <w:szCs w:val="24"/>
      <w:lang w:val="en-US" w:eastAsia="zh-CN" w:bidi="ar-SA"/>
    </w:rPr>
  </w:style>
  <w:style w:type="paragraph" w:customStyle="1" w:styleId="66">
    <w:name w:val="宗兴正文"/>
    <w:link w:val="65"/>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67">
    <w:name w:val="页脚 字符"/>
    <w:basedOn w:val="40"/>
    <w:qFormat/>
    <w:uiPriority w:val="99"/>
  </w:style>
  <w:style w:type="paragraph" w:customStyle="1" w:styleId="68">
    <w:name w:val="Huo 表内文字 五号"/>
    <w:basedOn w:val="1"/>
    <w:qFormat/>
    <w:uiPriority w:val="0"/>
    <w:pPr>
      <w:spacing w:line="360" w:lineRule="exact"/>
      <w:jc w:val="center"/>
    </w:pPr>
    <w:rPr>
      <w:bCs/>
      <w:kern w:val="0"/>
      <w:szCs w:val="21"/>
    </w:rPr>
  </w:style>
  <w:style w:type="paragraph" w:customStyle="1" w:styleId="69">
    <w:name w:val="样式35"/>
    <w:basedOn w:val="70"/>
    <w:next w:val="74"/>
    <w:qFormat/>
    <w:uiPriority w:val="0"/>
    <w:pPr>
      <w:tabs>
        <w:tab w:val="left" w:pos="0"/>
        <w:tab w:val="left" w:pos="360"/>
        <w:tab w:val="left" w:pos="540"/>
        <w:tab w:val="left" w:pos="567"/>
      </w:tabs>
      <w:spacing w:line="312" w:lineRule="auto"/>
      <w:ind w:firstLine="567"/>
    </w:pPr>
    <w:rPr>
      <w:rFonts w:ascii="宋体"/>
      <w:sz w:val="28"/>
    </w:rPr>
  </w:style>
  <w:style w:type="paragraph" w:customStyle="1" w:styleId="70">
    <w:name w:val="样式26"/>
    <w:basedOn w:val="71"/>
    <w:qFormat/>
    <w:uiPriority w:val="0"/>
    <w:pPr>
      <w:tabs>
        <w:tab w:val="left" w:pos="0"/>
        <w:tab w:val="left" w:pos="360"/>
        <w:tab w:val="left" w:pos="540"/>
        <w:tab w:val="left" w:pos="567"/>
      </w:tabs>
    </w:pPr>
  </w:style>
  <w:style w:type="paragraph" w:customStyle="1" w:styleId="71">
    <w:name w:val="样式21"/>
    <w:basedOn w:val="72"/>
    <w:qFormat/>
    <w:uiPriority w:val="0"/>
    <w:pPr>
      <w:tabs>
        <w:tab w:val="left" w:pos="360"/>
        <w:tab w:val="left" w:pos="567"/>
      </w:tabs>
      <w:spacing w:before="120" w:after="120"/>
      <w:ind w:hanging="992"/>
    </w:pPr>
  </w:style>
  <w:style w:type="paragraph" w:customStyle="1" w:styleId="72">
    <w:name w:val="样式5"/>
    <w:basedOn w:val="73"/>
    <w:qFormat/>
    <w:uiPriority w:val="0"/>
    <w:pPr>
      <w:tabs>
        <w:tab w:val="left" w:pos="360"/>
        <w:tab w:val="left" w:pos="567"/>
      </w:tabs>
    </w:pPr>
  </w:style>
  <w:style w:type="paragraph" w:customStyle="1" w:styleId="73">
    <w:name w:val="样式12"/>
    <w:basedOn w:val="1"/>
    <w:qFormat/>
    <w:uiPriority w:val="0"/>
    <w:pPr>
      <w:spacing w:line="360" w:lineRule="auto"/>
    </w:pPr>
    <w:rPr>
      <w:rFonts w:ascii="Arial" w:hAnsi="Arial" w:cs="Arial"/>
      <w:b/>
      <w:bCs/>
      <w:sz w:val="24"/>
    </w:rPr>
  </w:style>
  <w:style w:type="paragraph" w:customStyle="1" w:styleId="74">
    <w:name w:val="font6"/>
    <w:basedOn w:val="1"/>
    <w:next w:val="30"/>
    <w:qFormat/>
    <w:uiPriority w:val="0"/>
    <w:pPr>
      <w:widowControl/>
      <w:spacing w:before="100" w:beforeAutospacing="1" w:after="100" w:afterAutospacing="1"/>
      <w:jc w:val="left"/>
    </w:pPr>
    <w:rPr>
      <w:rFonts w:hint="eastAsia" w:ascii="宋体" w:hAnsi="宋体"/>
      <w:b/>
      <w:kern w:val="0"/>
      <w:sz w:val="18"/>
      <w:szCs w:val="20"/>
    </w:rPr>
  </w:style>
  <w:style w:type="paragraph" w:customStyle="1" w:styleId="75">
    <w:name w:val="报告正文"/>
    <w:basedOn w:val="1"/>
    <w:qFormat/>
    <w:uiPriority w:val="0"/>
    <w:pPr>
      <w:spacing w:line="360" w:lineRule="auto"/>
      <w:jc w:val="left"/>
    </w:pPr>
    <w:rPr>
      <w:rFonts w:ascii="宋体" w:hAnsi="宋体" w:cs="Arial"/>
      <w:bCs/>
      <w:color w:val="000000"/>
      <w:kern w:val="0"/>
      <w:sz w:val="24"/>
      <w:szCs w:val="20"/>
    </w:rPr>
  </w:style>
  <w:style w:type="paragraph" w:customStyle="1" w:styleId="76">
    <w:name w:val="正文文本首行缩进 21"/>
    <w:basedOn w:val="1"/>
    <w:qFormat/>
    <w:uiPriority w:val="0"/>
    <w:pPr>
      <w:spacing w:line="360" w:lineRule="auto"/>
      <w:ind w:firstLine="200" w:firstLineChars="200"/>
    </w:pPr>
    <w:rPr>
      <w:kern w:val="0"/>
      <w:sz w:val="24"/>
      <w:szCs w:val="20"/>
    </w:rPr>
  </w:style>
  <w:style w:type="paragraph" w:customStyle="1" w:styleId="77">
    <w:name w:val="_Style 2"/>
    <w:basedOn w:val="1"/>
    <w:qFormat/>
    <w:uiPriority w:val="34"/>
    <w:pPr>
      <w:ind w:firstLine="420" w:firstLineChars="200"/>
    </w:pPr>
    <w:rPr>
      <w:rFonts w:ascii="Calibri" w:hAnsi="Calibri"/>
      <w:szCs w:val="22"/>
    </w:rPr>
  </w:style>
  <w:style w:type="paragraph" w:customStyle="1" w:styleId="78">
    <w:name w:val="表头"/>
    <w:basedOn w:val="5"/>
    <w:next w:val="1"/>
    <w:qFormat/>
    <w:uiPriority w:val="0"/>
    <w:pPr>
      <w:keepNext/>
      <w:autoSpaceDE w:val="0"/>
      <w:autoSpaceDN w:val="0"/>
      <w:adjustRightInd w:val="0"/>
      <w:spacing w:before="240" w:line="360" w:lineRule="auto"/>
      <w:ind w:left="0" w:leftChars="0" w:firstLine="0" w:firstLineChars="0"/>
      <w:jc w:val="center"/>
      <w:textAlignment w:val="baseline"/>
    </w:pPr>
    <w:rPr>
      <w:rFonts w:eastAsia="楷体_GB2312"/>
      <w:kern w:val="0"/>
      <w:sz w:val="28"/>
      <w:szCs w:val="20"/>
    </w:rPr>
  </w:style>
  <w:style w:type="paragraph" w:customStyle="1" w:styleId="79">
    <w:name w:val="段落A"/>
    <w:basedOn w:val="1"/>
    <w:qFormat/>
    <w:uiPriority w:val="0"/>
    <w:pPr>
      <w:spacing w:line="400" w:lineRule="exact"/>
      <w:ind w:firstLine="480" w:firstLineChars="200"/>
    </w:pPr>
  </w:style>
  <w:style w:type="paragraph" w:customStyle="1" w:styleId="80">
    <w:name w:val="样式1"/>
    <w:basedOn w:val="3"/>
    <w:next w:val="1"/>
    <w:qFormat/>
    <w:uiPriority w:val="0"/>
    <w:pPr>
      <w:keepNext w:val="0"/>
      <w:adjustRightInd w:val="0"/>
      <w:spacing w:before="0" w:after="0" w:line="500" w:lineRule="atLeast"/>
    </w:pPr>
  </w:style>
  <w:style w:type="paragraph" w:customStyle="1" w:styleId="81">
    <w:name w:val="表内文字"/>
    <w:basedOn w:val="78"/>
    <w:next w:val="1"/>
    <w:qFormat/>
    <w:uiPriority w:val="0"/>
    <w:pPr>
      <w:snapToGrid w:val="0"/>
    </w:pPr>
    <w:rPr>
      <w:kern w:val="10"/>
      <w:sz w:val="24"/>
    </w:rPr>
  </w:style>
  <w:style w:type="paragraph" w:customStyle="1" w:styleId="82">
    <w:name w:val="Huo 表内文字 小五"/>
    <w:basedOn w:val="1"/>
    <w:qFormat/>
    <w:uiPriority w:val="0"/>
    <w:pPr>
      <w:spacing w:line="300" w:lineRule="exact"/>
      <w:jc w:val="center"/>
    </w:pPr>
    <w:rPr>
      <w:bCs/>
      <w:sz w:val="18"/>
      <w:szCs w:val="21"/>
    </w:rPr>
  </w:style>
  <w:style w:type="paragraph" w:customStyle="1" w:styleId="83">
    <w:name w:val="表格填充1"/>
    <w:basedOn w:val="1"/>
    <w:qFormat/>
    <w:uiPriority w:val="0"/>
    <w:pPr>
      <w:adjustRightInd w:val="0"/>
      <w:snapToGrid w:val="0"/>
      <w:spacing w:line="400" w:lineRule="exact"/>
      <w:jc w:val="center"/>
    </w:pPr>
    <w:rPr>
      <w:snapToGrid w:val="0"/>
      <w:kern w:val="0"/>
      <w:szCs w:val="18"/>
    </w:rPr>
  </w:style>
  <w:style w:type="paragraph" w:customStyle="1" w:styleId="84">
    <w:name w:val="Char"/>
    <w:basedOn w:val="1"/>
    <w:qFormat/>
    <w:uiPriority w:val="0"/>
    <w:pPr>
      <w:tabs>
        <w:tab w:val="left" w:pos="4665"/>
        <w:tab w:val="left" w:pos="8970"/>
      </w:tabs>
      <w:ind w:firstLine="400"/>
    </w:pPr>
  </w:style>
  <w:style w:type="paragraph" w:customStyle="1" w:styleId="85">
    <w:name w:val="博泵1"/>
    <w:basedOn w:val="1"/>
    <w:qFormat/>
    <w:uiPriority w:val="0"/>
    <w:pPr>
      <w:adjustRightInd w:val="0"/>
      <w:spacing w:line="480" w:lineRule="exact"/>
      <w:ind w:firstLine="200" w:firstLineChars="200"/>
      <w:jc w:val="left"/>
    </w:pPr>
    <w:rPr>
      <w:rFonts w:ascii="宋体" w:hAnsi="宋体"/>
      <w:color w:val="000000"/>
      <w:kern w:val="0"/>
      <w:sz w:val="24"/>
      <w:szCs w:val="20"/>
    </w:rPr>
  </w:style>
  <w:style w:type="paragraph" w:customStyle="1" w:styleId="86">
    <w:name w:val="表 内容"/>
    <w:basedOn w:val="1"/>
    <w:qFormat/>
    <w:uiPriority w:val="0"/>
    <w:pPr>
      <w:spacing w:beforeLines="15" w:afterLines="15"/>
      <w:jc w:val="center"/>
    </w:pPr>
    <w:rPr>
      <w:szCs w:val="21"/>
    </w:rPr>
  </w:style>
  <w:style w:type="paragraph" w:customStyle="1" w:styleId="87">
    <w:name w:val="码头表"/>
    <w:basedOn w:val="1"/>
    <w:qFormat/>
    <w:uiPriority w:val="0"/>
    <w:pPr>
      <w:adjustRightInd w:val="0"/>
      <w:snapToGrid w:val="0"/>
      <w:jc w:val="center"/>
    </w:pPr>
    <w:rPr>
      <w:rFonts w:hAnsi="宋体"/>
      <w:snapToGrid w:val="0"/>
      <w:color w:val="0000FF"/>
      <w:kern w:val="0"/>
      <w:sz w:val="24"/>
      <w:lang w:val="zh-CN"/>
    </w:rPr>
  </w:style>
  <w:style w:type="paragraph" w:customStyle="1" w:styleId="88">
    <w:name w:val="报告表  段"/>
    <w:basedOn w:val="1"/>
    <w:qFormat/>
    <w:uiPriority w:val="0"/>
    <w:pPr>
      <w:adjustRightInd w:val="0"/>
      <w:spacing w:line="360" w:lineRule="auto"/>
      <w:ind w:firstLine="505"/>
      <w:textAlignment w:val="baseline"/>
    </w:pPr>
    <w:rPr>
      <w:rFonts w:ascii="宋体"/>
      <w:kern w:val="0"/>
      <w:sz w:val="24"/>
      <w:szCs w:val="20"/>
    </w:rPr>
  </w:style>
  <w:style w:type="paragraph" w:customStyle="1" w:styleId="89">
    <w:name w:val="列表(L)"/>
    <w:basedOn w:val="9"/>
    <w:qFormat/>
    <w:uiPriority w:val="0"/>
    <w:pPr>
      <w:snapToGrid w:val="0"/>
      <w:ind w:left="0" w:firstLine="0" w:firstLineChars="0"/>
    </w:pPr>
    <w:rPr>
      <w:rFonts w:cs="宋体"/>
      <w:szCs w:val="20"/>
    </w:rPr>
  </w:style>
  <w:style w:type="paragraph" w:customStyle="1" w:styleId="90">
    <w:name w:val="纯文本2"/>
    <w:basedOn w:val="1"/>
    <w:qFormat/>
    <w:uiPriority w:val="0"/>
    <w:rPr>
      <w:rFonts w:ascii="宋体" w:hAnsi="Courier New"/>
      <w:kern w:val="18"/>
    </w:rPr>
  </w:style>
  <w:style w:type="paragraph" w:customStyle="1" w:styleId="91">
    <w:name w:val="表1表2 表头格式"/>
    <w:basedOn w:val="1"/>
    <w:qFormat/>
    <w:uiPriority w:val="0"/>
    <w:pPr>
      <w:autoSpaceDE w:val="0"/>
      <w:autoSpaceDN w:val="0"/>
      <w:adjustRightInd w:val="0"/>
      <w:spacing w:before="50" w:beforeLines="50" w:line="360" w:lineRule="auto"/>
      <w:jc w:val="center"/>
      <w:textAlignment w:val="center"/>
    </w:pPr>
    <w:rPr>
      <w:b/>
      <w:kern w:val="0"/>
      <w:szCs w:val="20"/>
    </w:rPr>
  </w:style>
  <w:style w:type="paragraph" w:customStyle="1" w:styleId="92">
    <w:name w:val="列出段落1"/>
    <w:basedOn w:val="1"/>
    <w:qFormat/>
    <w:uiPriority w:val="34"/>
    <w:pPr>
      <w:ind w:firstLine="420" w:firstLineChars="200"/>
    </w:pPr>
  </w:style>
  <w:style w:type="paragraph" w:customStyle="1" w:styleId="93">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4">
    <w:name w:val="p0"/>
    <w:basedOn w:val="1"/>
    <w:qFormat/>
    <w:uiPriority w:val="0"/>
    <w:pPr>
      <w:widowControl/>
    </w:pPr>
    <w:rPr>
      <w:rFonts w:cs="Calibri"/>
      <w:kern w:val="0"/>
      <w:szCs w:val="21"/>
    </w:rPr>
  </w:style>
  <w:style w:type="paragraph" w:customStyle="1" w:styleId="95">
    <w:name w:val="小四缩进2"/>
    <w:basedOn w:val="1"/>
    <w:qFormat/>
    <w:uiPriority w:val="0"/>
    <w:pPr>
      <w:spacing w:line="360" w:lineRule="auto"/>
      <w:ind w:firstLine="480" w:firstLineChars="200"/>
    </w:pPr>
    <w:rPr>
      <w:rFonts w:hAnsi="宋体"/>
      <w:sz w:val="24"/>
    </w:rPr>
  </w:style>
  <w:style w:type="paragraph" w:customStyle="1" w:styleId="96">
    <w:name w:val="表格 32"/>
    <w:basedOn w:val="1"/>
    <w:qFormat/>
    <w:uiPriority w:val="0"/>
    <w:pPr>
      <w:autoSpaceDE w:val="0"/>
      <w:autoSpaceDN w:val="0"/>
      <w:adjustRightInd w:val="0"/>
      <w:jc w:val="center"/>
    </w:pPr>
    <w:rPr>
      <w:rFonts w:ascii="宋体" w:hAnsi="Impact"/>
      <w:kern w:val="24"/>
      <w:sz w:val="24"/>
      <w:szCs w:val="20"/>
    </w:rPr>
  </w:style>
  <w:style w:type="paragraph" w:customStyle="1" w:styleId="97">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98">
    <w:name w:val="Huo 序号 表序"/>
    <w:basedOn w:val="1"/>
    <w:next w:val="1"/>
    <w:qFormat/>
    <w:uiPriority w:val="0"/>
    <w:pPr>
      <w:adjustRightInd w:val="0"/>
      <w:jc w:val="center"/>
    </w:pPr>
    <w:rPr>
      <w:rFonts w:eastAsia="黑体"/>
    </w:rPr>
  </w:style>
  <w:style w:type="paragraph" w:customStyle="1" w:styleId="9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0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1">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10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03">
    <w:name w:val="正文1"/>
    <w:basedOn w:val="1"/>
    <w:qFormat/>
    <w:uiPriority w:val="0"/>
    <w:pPr>
      <w:adjustRightInd w:val="0"/>
    </w:pPr>
    <w:rPr>
      <w:rFonts w:eastAsia="楷体_GB2312"/>
      <w:sz w:val="24"/>
      <w:szCs w:val="20"/>
    </w:rPr>
  </w:style>
  <w:style w:type="paragraph" w:customStyle="1" w:styleId="104">
    <w:name w:val="Huo 正文 小四缩进2"/>
    <w:basedOn w:val="1"/>
    <w:qFormat/>
    <w:uiPriority w:val="0"/>
    <w:pPr>
      <w:spacing w:line="360" w:lineRule="auto"/>
      <w:ind w:firstLine="200" w:firstLineChars="200"/>
    </w:pPr>
    <w:rPr>
      <w:sz w:val="24"/>
    </w:rPr>
  </w:style>
  <w:style w:type="paragraph" w:customStyle="1" w:styleId="105">
    <w:name w:val="正文+小四，加粗，行距1.5，首行缩进"/>
    <w:basedOn w:val="1"/>
    <w:semiHidden/>
    <w:qFormat/>
    <w:uiPriority w:val="0"/>
    <w:pPr>
      <w:spacing w:line="360" w:lineRule="auto"/>
      <w:ind w:firstLine="200" w:firstLineChars="200"/>
    </w:pPr>
    <w:rPr>
      <w:b/>
      <w:sz w:val="24"/>
    </w:rPr>
  </w:style>
  <w:style w:type="character" w:customStyle="1" w:styleId="106">
    <w:name w:val="15"/>
    <w:basedOn w:val="40"/>
    <w:qFormat/>
    <w:uiPriority w:val="0"/>
    <w:rPr>
      <w:rFonts w:hint="eastAsia" w:ascii="宋体" w:hAnsi="宋体" w:eastAsia="宋体"/>
      <w:color w:val="000000"/>
      <w:sz w:val="22"/>
      <w:szCs w:val="22"/>
    </w:rPr>
  </w:style>
  <w:style w:type="paragraph" w:customStyle="1" w:styleId="107">
    <w:name w:val="样式 首行缩进:  2 字符"/>
    <w:basedOn w:val="1"/>
    <w:qFormat/>
    <w:uiPriority w:val="0"/>
    <w:pPr>
      <w:adjustRightInd w:val="0"/>
      <w:snapToGrid w:val="0"/>
      <w:spacing w:line="360" w:lineRule="auto"/>
      <w:ind w:firstLine="480" w:firstLineChars="200"/>
      <w:jc w:val="left"/>
    </w:pPr>
    <w:rPr>
      <w:sz w:val="24"/>
    </w:rPr>
  </w:style>
  <w:style w:type="character" w:customStyle="1" w:styleId="108">
    <w:name w:val="font11"/>
    <w:basedOn w:val="40"/>
    <w:qFormat/>
    <w:uiPriority w:val="0"/>
    <w:rPr>
      <w:rFonts w:hint="default" w:ascii="Times New Roman" w:hAnsi="Times New Roman" w:cs="Times New Roman"/>
      <w:color w:val="FF0000"/>
      <w:sz w:val="18"/>
      <w:szCs w:val="18"/>
      <w:u w:val="none"/>
    </w:rPr>
  </w:style>
  <w:style w:type="paragraph" w:customStyle="1" w:styleId="109">
    <w:name w:val="表格文字"/>
    <w:basedOn w:val="1"/>
    <w:qFormat/>
    <w:uiPriority w:val="0"/>
    <w:pPr>
      <w:tabs>
        <w:tab w:val="left" w:pos="1260"/>
      </w:tabs>
      <w:autoSpaceDE w:val="0"/>
      <w:autoSpaceDN w:val="0"/>
      <w:adjustRightInd w:val="0"/>
      <w:ind w:left="-94" w:leftChars="-45" w:right="-92" w:rightChars="-44"/>
      <w:jc w:val="center"/>
      <w:textAlignment w:val="bottom"/>
    </w:pPr>
    <w:rPr>
      <w:rFonts w:ascii="宋体" w:hAnsi="宋体"/>
      <w:kern w:val="0"/>
      <w:szCs w:val="21"/>
    </w:rPr>
  </w:style>
  <w:style w:type="paragraph" w:customStyle="1" w:styleId="110">
    <w:name w:val="Huo 正文 小四缩进2黑体"/>
    <w:basedOn w:val="1"/>
    <w:next w:val="104"/>
    <w:qFormat/>
    <w:uiPriority w:val="0"/>
    <w:pPr>
      <w:spacing w:line="360" w:lineRule="auto"/>
      <w:ind w:firstLine="200" w:firstLineChars="200"/>
    </w:pPr>
    <w:rPr>
      <w:rFonts w:eastAsia="黑体"/>
      <w:bCs/>
      <w:color w:val="000000"/>
      <w:sz w:val="24"/>
    </w:rPr>
  </w:style>
  <w:style w:type="character" w:customStyle="1" w:styleId="111">
    <w:name w:val="font31"/>
    <w:basedOn w:val="40"/>
    <w:qFormat/>
    <w:uiPriority w:val="0"/>
    <w:rPr>
      <w:rFonts w:hint="default" w:ascii="Times New Roman" w:hAnsi="Times New Roman" w:cs="Times New Roman"/>
      <w:color w:val="FF0000"/>
      <w:sz w:val="21"/>
      <w:szCs w:val="21"/>
      <w:u w:val="none"/>
      <w:vertAlign w:val="subscript"/>
    </w:rPr>
  </w:style>
  <w:style w:type="paragraph" w:customStyle="1" w:styleId="112">
    <w:name w:val="body"/>
    <w:basedOn w:val="1"/>
    <w:qFormat/>
    <w:uiPriority w:val="0"/>
    <w:pPr>
      <w:spacing w:line="360" w:lineRule="auto"/>
      <w:ind w:firstLine="480" w:firstLineChars="200"/>
    </w:pPr>
    <w:rPr>
      <w:rFonts w:ascii="宋体" w:hAnsi="宋体"/>
      <w:sz w:val="24"/>
    </w:rPr>
  </w:style>
  <w:style w:type="paragraph" w:customStyle="1" w:styleId="113">
    <w:name w:val="字元 字元8"/>
    <w:basedOn w:val="1"/>
    <w:unhideWhenUsed/>
    <w:qFormat/>
    <w:uiPriority w:val="0"/>
  </w:style>
  <w:style w:type="character" w:customStyle="1" w:styleId="114">
    <w:name w:val="font51"/>
    <w:basedOn w:val="40"/>
    <w:qFormat/>
    <w:uiPriority w:val="0"/>
    <w:rPr>
      <w:rFonts w:hint="default" w:ascii="Times New Roman" w:hAnsi="Times New Roman" w:cs="Times New Roman"/>
      <w:b/>
      <w:bCs/>
      <w:color w:val="000000"/>
      <w:sz w:val="21"/>
      <w:szCs w:val="21"/>
      <w:u w:val="none"/>
      <w:vertAlign w:val="superscript"/>
    </w:rPr>
  </w:style>
  <w:style w:type="character" w:customStyle="1" w:styleId="115">
    <w:name w:val="font61"/>
    <w:basedOn w:val="40"/>
    <w:qFormat/>
    <w:uiPriority w:val="0"/>
    <w:rPr>
      <w:rFonts w:hint="default" w:ascii="Times New Roman" w:hAnsi="Times New Roman" w:cs="Times New Roman"/>
      <w:b/>
      <w:bCs/>
      <w:color w:val="000000"/>
      <w:sz w:val="18"/>
      <w:szCs w:val="18"/>
      <w:u w:val="none"/>
    </w:rPr>
  </w:style>
  <w:style w:type="character" w:customStyle="1" w:styleId="116">
    <w:name w:val="font81"/>
    <w:basedOn w:val="40"/>
    <w:qFormat/>
    <w:uiPriority w:val="0"/>
    <w:rPr>
      <w:rFonts w:hint="default" w:ascii="Times New Roman" w:hAnsi="Times New Roman" w:cs="Times New Roman"/>
      <w:b/>
      <w:bCs/>
      <w:color w:val="000000"/>
      <w:sz w:val="18"/>
      <w:szCs w:val="18"/>
      <w:u w:val="none"/>
      <w:vertAlign w:val="superscript"/>
    </w:rPr>
  </w:style>
  <w:style w:type="character" w:customStyle="1" w:styleId="117">
    <w:name w:val="font01"/>
    <w:basedOn w:val="40"/>
    <w:qFormat/>
    <w:uiPriority w:val="0"/>
    <w:rPr>
      <w:rFonts w:hint="eastAsia" w:ascii="宋体" w:hAnsi="宋体" w:eastAsia="宋体" w:cs="宋体"/>
      <w:color w:val="000000"/>
      <w:sz w:val="21"/>
      <w:szCs w:val="21"/>
      <w:u w:val="none"/>
    </w:rPr>
  </w:style>
  <w:style w:type="paragraph" w:customStyle="1" w:styleId="118">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19">
    <w:name w:val="表格内容"/>
    <w:basedOn w:val="78"/>
    <w:qFormat/>
    <w:uiPriority w:val="0"/>
    <w:pPr>
      <w:keepNext w:val="0"/>
      <w:widowControl/>
      <w:tabs>
        <w:tab w:val="left" w:pos="1415"/>
      </w:tabs>
      <w:snapToGrid w:val="0"/>
      <w:spacing w:before="60" w:after="160" w:line="240" w:lineRule="auto"/>
      <w:contextualSpacing w:val="0"/>
      <w:textAlignment w:val="auto"/>
    </w:pPr>
    <w:rPr>
      <w:rFonts w:eastAsia="宋体"/>
      <w:bCs/>
      <w:sz w:val="21"/>
      <w:szCs w:val="24"/>
    </w:rPr>
  </w:style>
  <w:style w:type="paragraph" w:customStyle="1" w:styleId="120">
    <w:name w:val="图表"/>
    <w:basedOn w:val="1"/>
    <w:qFormat/>
    <w:uiPriority w:val="0"/>
    <w:pPr>
      <w:tabs>
        <w:tab w:val="left" w:pos="1322"/>
        <w:tab w:val="center" w:pos="4635"/>
      </w:tabs>
      <w:adjustRightInd w:val="0"/>
      <w:snapToGrid w:val="0"/>
      <w:jc w:val="center"/>
      <w:outlineLvl w:val="1"/>
    </w:pPr>
    <w:rPr>
      <w:rFonts w:eastAsia="黑体"/>
      <w:b/>
      <w:snapToGrid w:val="0"/>
      <w:kern w:val="0"/>
      <w:sz w:val="22"/>
      <w:szCs w:val="22"/>
    </w:rPr>
  </w:style>
  <w:style w:type="character" w:customStyle="1" w:styleId="121">
    <w:name w:val="标题 Char"/>
    <w:basedOn w:val="40"/>
    <w:link w:val="34"/>
    <w:qFormat/>
    <w:uiPriority w:val="0"/>
    <w:rPr>
      <w:rFonts w:asciiTheme="minorEastAsia" w:hAnsiTheme="minorEastAsia" w:eastAsiaTheme="minorEastAsia"/>
      <w:b/>
      <w:snapToGrid w:val="0"/>
      <w:sz w:val="30"/>
      <w:szCs w:val="30"/>
    </w:rPr>
  </w:style>
  <w:style w:type="paragraph" w:customStyle="1" w:styleId="122">
    <w:name w:val="TOC 标题1"/>
    <w:basedOn w:val="3"/>
    <w:next w:val="1"/>
    <w:semiHidden/>
    <w:unhideWhenUsed/>
    <w:qFormat/>
    <w:uiPriority w:val="39"/>
    <w:pPr>
      <w:keepLines/>
      <w:widowControl/>
      <w:overflowPunct/>
      <w:snapToGrid/>
      <w:spacing w:before="480" w:after="0" w:line="276" w:lineRule="auto"/>
      <w:ind w:left="0" w:firstLine="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23">
    <w:name w:val="标题 1 Char"/>
    <w:basedOn w:val="40"/>
    <w:qFormat/>
    <w:uiPriority w:val="0"/>
    <w:rPr>
      <w:b/>
      <w:bCs/>
      <w:color w:val="000000"/>
      <w:kern w:val="44"/>
      <w:sz w:val="24"/>
      <w:szCs w:val="24"/>
    </w:rPr>
  </w:style>
  <w:style w:type="character" w:customStyle="1" w:styleId="124">
    <w:name w:val="正文首行缩进 2 Char"/>
    <w:link w:val="37"/>
    <w:qFormat/>
    <w:uiPriority w:val="0"/>
    <w:rPr>
      <w:kern w:val="2"/>
      <w:sz w:val="24"/>
      <w:szCs w:val="24"/>
    </w:rPr>
  </w:style>
  <w:style w:type="character" w:customStyle="1" w:styleId="125">
    <w:name w:val="标题 2 Char"/>
    <w:basedOn w:val="40"/>
    <w:qFormat/>
    <w:uiPriority w:val="0"/>
    <w:rPr>
      <w:b/>
      <w:kern w:val="2"/>
      <w:sz w:val="24"/>
      <w:szCs w:val="24"/>
    </w:rPr>
  </w:style>
  <w:style w:type="paragraph" w:customStyle="1" w:styleId="126">
    <w:name w:val="表内字体"/>
    <w:basedOn w:val="1"/>
    <w:qFormat/>
    <w:uiPriority w:val="0"/>
    <w:pPr>
      <w:widowControl/>
      <w:autoSpaceDE w:val="0"/>
      <w:autoSpaceDN w:val="0"/>
      <w:adjustRightInd w:val="0"/>
      <w:spacing w:line="360" w:lineRule="exact"/>
      <w:jc w:val="center"/>
    </w:pPr>
    <w:rPr>
      <w:kern w:val="0"/>
      <w:sz w:val="24"/>
    </w:rPr>
  </w:style>
  <w:style w:type="paragraph" w:customStyle="1" w:styleId="127">
    <w:name w:val="报告书正文"/>
    <w:basedOn w:val="1"/>
    <w:qFormat/>
    <w:uiPriority w:val="0"/>
    <w:pPr>
      <w:spacing w:line="300" w:lineRule="auto"/>
      <w:ind w:firstLine="200" w:firstLineChars="200"/>
    </w:pPr>
    <w:rPr>
      <w:kern w:val="0"/>
      <w:sz w:val="24"/>
    </w:rPr>
  </w:style>
  <w:style w:type="character" w:customStyle="1" w:styleId="128">
    <w:name w:val="标题 1 Char1"/>
    <w:basedOn w:val="40"/>
    <w:link w:val="3"/>
    <w:qFormat/>
    <w:uiPriority w:val="0"/>
    <w:rPr>
      <w:b/>
      <w:bCs/>
      <w:color w:val="000000"/>
      <w:kern w:val="44"/>
      <w:sz w:val="24"/>
      <w:szCs w:val="24"/>
    </w:rPr>
  </w:style>
  <w:style w:type="character" w:customStyle="1" w:styleId="129">
    <w:name w:val="标题 2 Char1"/>
    <w:basedOn w:val="40"/>
    <w:link w:val="4"/>
    <w:qFormat/>
    <w:uiPriority w:val="0"/>
    <w:rPr>
      <w:b/>
      <w:kern w:val="2"/>
      <w:sz w:val="24"/>
      <w:szCs w:val="24"/>
    </w:rPr>
  </w:style>
  <w:style w:type="character" w:customStyle="1" w:styleId="130">
    <w:name w:val="批注文字 Char1"/>
    <w:basedOn w:val="40"/>
    <w:link w:val="17"/>
    <w:qFormat/>
    <w:uiPriority w:val="0"/>
    <w:rPr>
      <w:kern w:val="2"/>
      <w:sz w:val="24"/>
      <w:szCs w:val="24"/>
    </w:rPr>
  </w:style>
  <w:style w:type="character" w:customStyle="1" w:styleId="131">
    <w:name w:val="正文文本 Char1"/>
    <w:basedOn w:val="40"/>
    <w:link w:val="19"/>
    <w:qFormat/>
    <w:uiPriority w:val="0"/>
    <w:rPr>
      <w:kern w:val="2"/>
      <w:sz w:val="24"/>
      <w:szCs w:val="24"/>
    </w:rPr>
  </w:style>
  <w:style w:type="paragraph" w:customStyle="1" w:styleId="132">
    <w:name w:val="列出段落3"/>
    <w:basedOn w:val="1"/>
    <w:qFormat/>
    <w:uiPriority w:val="0"/>
    <w:pPr>
      <w:spacing w:line="520" w:lineRule="exact"/>
      <w:ind w:firstLine="420" w:firstLineChars="200"/>
    </w:pPr>
    <w:rPr>
      <w:sz w:val="24"/>
    </w:rPr>
  </w:style>
  <w:style w:type="paragraph" w:customStyle="1" w:styleId="133">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color w:val="000000"/>
      <w:kern w:val="0"/>
      <w:sz w:val="24"/>
    </w:rPr>
  </w:style>
  <w:style w:type="table" w:customStyle="1" w:styleId="134">
    <w:name w:val="Table Normal"/>
    <w:basedOn w:val="38"/>
    <w:qFormat/>
    <w:uiPriority w:val="0"/>
    <w:rPr>
      <w:rFonts w:eastAsia="Times New Roman"/>
    </w:rPr>
    <w:tblPr>
      <w:tblCellMar>
        <w:left w:w="0" w:type="dxa"/>
        <w:right w:w="0" w:type="dxa"/>
      </w:tblCellMar>
    </w:tblPr>
  </w:style>
  <w:style w:type="character" w:customStyle="1" w:styleId="135">
    <w:name w:val="正文首行缩进 Char"/>
    <w:link w:val="36"/>
    <w:qFormat/>
    <w:uiPriority w:val="0"/>
    <w:rPr>
      <w:rFonts w:hint="default" w:ascii="Calibri" w:hAnsi="Calibri" w:cs="Calibri"/>
      <w:kern w:val="2"/>
      <w:sz w:val="21"/>
      <w:szCs w:val="24"/>
    </w:rPr>
  </w:style>
  <w:style w:type="paragraph" w:customStyle="1" w:styleId="136">
    <w:name w:val="正文3"/>
    <w:qFormat/>
    <w:uiPriority w:val="0"/>
    <w:pPr>
      <w:jc w:val="both"/>
    </w:pPr>
    <w:rPr>
      <w:rFonts w:ascii="Times New Roman" w:hAnsi="Times New Roman" w:eastAsia="宋体" w:cs="Times New Roman"/>
      <w:kern w:val="2"/>
      <w:sz w:val="21"/>
      <w:szCs w:val="21"/>
      <w:lang w:val="en-US" w:eastAsia="zh-CN" w:bidi="ar-SA"/>
    </w:rPr>
  </w:style>
  <w:style w:type="paragraph" w:styleId="137">
    <w:name w:val="List Paragraph"/>
    <w:basedOn w:val="1"/>
    <w:unhideWhenUsed/>
    <w:qFormat/>
    <w:uiPriority w:val="99"/>
    <w:pPr>
      <w:ind w:firstLine="420" w:firstLineChars="200"/>
    </w:pPr>
  </w:style>
  <w:style w:type="paragraph" w:customStyle="1" w:styleId="138">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wmf"/><Relationship Id="rId17" Type="http://schemas.openxmlformats.org/officeDocument/2006/relationships/oleObject" Target="embeddings/oleObject3.bin"/><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emf"/><Relationship Id="rId13" Type="http://schemas.openxmlformats.org/officeDocument/2006/relationships/oleObject" Target="embeddings/oleObject1.bin"/><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85160E-244C-4500-90AA-E2029EB4A0E5}">
  <ds:schemaRefs/>
</ds:datastoreItem>
</file>

<file path=docProps/app.xml><?xml version="1.0" encoding="utf-8"?>
<Properties xmlns="http://schemas.openxmlformats.org/officeDocument/2006/extended-properties" xmlns:vt="http://schemas.openxmlformats.org/officeDocument/2006/docPropsVTypes">
  <Template>Normal</Template>
  <Pages>107</Pages>
  <Words>9384</Words>
  <Characters>9862</Characters>
  <Lines>554</Lines>
  <Paragraphs>156</Paragraphs>
  <TotalTime>43</TotalTime>
  <ScaleCrop>false</ScaleCrop>
  <LinksUpToDate>false</LinksUpToDate>
  <CharactersWithSpaces>9950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2024-01-22T03:47:00Z</dcterms:created>
  <cp:lastPrinted>2020-12-29T02:43:00Z</cp:lastPrinted>
  <dcterms:modified xsi:type="dcterms:W3CDTF">2025-12-25T03:58:08Z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D7E9B9AFEA194D2B8627EF724C031ED6_13</vt:lpwstr>
  </property>
  <property fmtid="{D5CDD505-2E9C-101B-9397-08002B2CF9AE}" pid="4" name="KSOTemplateDocerSaveRecord">
    <vt:lpwstr>eyJoZGlkIjoiNTYzNjE0NGI3NjRjYzRkYTU3NTQ1OTU1YjlkZmUyMTAiLCJ1c2VySWQiOiIxMDI1NjQ0MjQ4In0=</vt:lpwstr>
  </property>
</Properties>
</file>