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方正小标宋_GBK" w:eastAsia="方正小标宋_GBK"/>
          <w:bCs/>
          <w:color w:val="auto"/>
          <w:sz w:val="72"/>
          <w:szCs w:val="72"/>
        </w:rPr>
      </w:pPr>
      <w:bookmarkStart w:id="0" w:name="_Toc8155"/>
      <w:bookmarkStart w:id="1" w:name="_Toc21606"/>
      <w:r>
        <w:rPr>
          <w:rFonts w:hint="eastAsia" w:ascii="方正小标宋_GBK" w:eastAsia="方正小标宋_GBK"/>
          <w:bCs/>
          <w:color w:val="auto"/>
          <w:sz w:val="72"/>
          <w:szCs w:val="72"/>
        </w:rPr>
        <w:t>建设项目环境影响报告表</w:t>
      </w:r>
      <w:bookmarkEnd w:id="0"/>
      <w:bookmarkEnd w:id="1"/>
    </w:p>
    <w:p>
      <w:pPr>
        <w:adjustRightInd w:val="0"/>
        <w:snapToGrid w:val="0"/>
        <w:spacing w:before="249" w:beforeLines="80" w:line="360" w:lineRule="auto"/>
        <w:jc w:val="center"/>
        <w:rPr>
          <w:rFonts w:ascii="方正仿宋_GB2312" w:eastAsia="方正仿宋_GB2312"/>
          <w:bCs/>
          <w:color w:val="auto"/>
          <w:sz w:val="48"/>
          <w:szCs w:val="48"/>
        </w:rPr>
      </w:pPr>
      <w:r>
        <w:rPr>
          <w:rFonts w:hint="eastAsia" w:ascii="方正仿宋_GB2312" w:eastAsia="方正仿宋_GB2312"/>
          <w:bCs/>
          <w:color w:val="auto"/>
          <w:sz w:val="48"/>
          <w:szCs w:val="48"/>
        </w:rPr>
        <w:t>（污染影响类）</w:t>
      </w: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pStyle w:val="2"/>
        <w:rPr>
          <w:color w:val="auto"/>
        </w:rPr>
      </w:pPr>
    </w:p>
    <w:p>
      <w:pPr>
        <w:ind w:firstLine="1040"/>
        <w:rPr>
          <w:rFonts w:eastAsia="仿宋"/>
          <w:color w:val="auto"/>
          <w:sz w:val="44"/>
          <w:szCs w:val="44"/>
        </w:rPr>
      </w:pPr>
    </w:p>
    <w:p>
      <w:pPr>
        <w:adjustRightInd w:val="0"/>
        <w:snapToGrid w:val="0"/>
        <w:spacing w:line="480" w:lineRule="auto"/>
        <w:jc w:val="left"/>
        <w:rPr>
          <w:rFonts w:ascii="方正仿宋_GB2312" w:eastAsia="方正仿宋_GB2312"/>
          <w:color w:val="auto"/>
          <w:sz w:val="32"/>
          <w:szCs w:val="32"/>
          <w:u w:val="single"/>
        </w:rPr>
      </w:pPr>
      <w:r>
        <w:rPr>
          <w:rFonts w:hint="eastAsia" w:ascii="方正仿宋_GB2312" w:eastAsia="方正仿宋_GB2312"/>
          <w:color w:val="auto"/>
          <w:sz w:val="32"/>
          <w:szCs w:val="32"/>
        </w:rPr>
        <w:t>项目名称：</w:t>
      </w:r>
      <w:r>
        <w:rPr>
          <w:rFonts w:hint="eastAsia" w:ascii="方正仿宋_GB2312" w:eastAsia="方正仿宋_GB2312"/>
          <w:color w:val="auto"/>
          <w:sz w:val="32"/>
          <w:szCs w:val="32"/>
          <w:u w:val="single"/>
        </w:rPr>
        <w:t xml:space="preserve"> </w:t>
      </w:r>
      <w:r>
        <w:rPr>
          <w:rFonts w:hint="eastAsia" w:ascii="方正仿宋_GB2312" w:eastAsia="方正仿宋_GB2312"/>
          <w:b/>
          <w:bCs/>
          <w:color w:val="auto"/>
          <w:sz w:val="32"/>
          <w:szCs w:val="32"/>
          <w:u w:val="single"/>
          <w:lang w:val="zh-CN"/>
        </w:rPr>
        <w:t xml:space="preserve">  </w:t>
      </w:r>
      <w:r>
        <w:rPr>
          <w:rFonts w:hint="eastAsia" w:ascii="方正仿宋_GB2312" w:eastAsia="方正仿宋_GB2312"/>
          <w:b/>
          <w:bCs/>
          <w:color w:val="auto"/>
          <w:sz w:val="32"/>
          <w:szCs w:val="32"/>
          <w:u w:val="single"/>
          <w:lang w:val="en-US" w:eastAsia="zh-CN"/>
        </w:rPr>
        <w:t>鑫星辉家具公司年产酒店家具12000套</w:t>
      </w:r>
      <w:r>
        <w:rPr>
          <w:rFonts w:hint="eastAsia" w:ascii="方正仿宋_GB2312" w:eastAsia="方正仿宋_GB2312"/>
          <w:b/>
          <w:bCs/>
          <w:color w:val="auto"/>
          <w:sz w:val="32"/>
          <w:szCs w:val="32"/>
          <w:u w:val="single"/>
          <w:lang w:val="zh-CN"/>
        </w:rPr>
        <w:t xml:space="preserve">  </w:t>
      </w:r>
      <w:r>
        <w:rPr>
          <w:rFonts w:hint="eastAsia" w:ascii="方正仿宋_GB2312" w:eastAsia="方正仿宋_GB2312"/>
          <w:color w:val="auto"/>
          <w:sz w:val="32"/>
          <w:szCs w:val="32"/>
          <w:u w:val="single"/>
          <w:lang w:val="en-US" w:eastAsia="zh-CN"/>
        </w:rPr>
        <w:t xml:space="preserve">  </w:t>
      </w:r>
      <w:r>
        <w:rPr>
          <w:rFonts w:hint="eastAsia" w:ascii="方正仿宋_GB2312" w:eastAsia="方正仿宋_GB2312"/>
          <w:b/>
          <w:bCs/>
          <w:color w:val="auto"/>
          <w:sz w:val="32"/>
          <w:szCs w:val="32"/>
          <w:u w:val="single"/>
          <w:lang w:val="en-US" w:eastAsia="zh-CN"/>
        </w:rPr>
        <w:t xml:space="preserve"> </w:t>
      </w:r>
      <w:r>
        <w:rPr>
          <w:rFonts w:hint="eastAsia" w:ascii="方正仿宋_GB2312" w:eastAsia="方正仿宋_GB2312"/>
          <w:color w:val="auto"/>
          <w:sz w:val="32"/>
          <w:szCs w:val="32"/>
          <w:u w:val="single"/>
        </w:rPr>
        <w:t xml:space="preserve">     </w:t>
      </w:r>
    </w:p>
    <w:p>
      <w:pPr>
        <w:adjustRightInd w:val="0"/>
        <w:snapToGrid w:val="0"/>
        <w:spacing w:line="480" w:lineRule="auto"/>
        <w:rPr>
          <w:rFonts w:ascii="方正仿宋_GB2312" w:eastAsia="方正仿宋_GB2312"/>
          <w:color w:val="auto"/>
          <w:sz w:val="32"/>
          <w:szCs w:val="32"/>
          <w:u w:val="single"/>
        </w:rPr>
      </w:pPr>
      <w:r>
        <w:rPr>
          <w:rFonts w:hint="eastAsia" w:ascii="方正仿宋_GB2312" w:eastAsia="方正仿宋_GB2312"/>
          <w:color w:val="auto"/>
          <w:sz w:val="32"/>
          <w:szCs w:val="32"/>
        </w:rPr>
        <w:t>建设单位（盖章）：</w:t>
      </w:r>
      <w:r>
        <w:rPr>
          <w:rFonts w:hint="eastAsia" w:ascii="方正仿宋_GB2312" w:eastAsia="方正仿宋_GB2312"/>
          <w:color w:val="auto"/>
          <w:sz w:val="32"/>
          <w:szCs w:val="32"/>
          <w:u w:val="single"/>
        </w:rPr>
        <w:t xml:space="preserve">  </w:t>
      </w:r>
      <w:r>
        <w:rPr>
          <w:rFonts w:hint="eastAsia" w:ascii="方正仿宋_GB2312" w:eastAsia="方正仿宋_GB2312"/>
          <w:b/>
          <w:bCs/>
          <w:color w:val="auto"/>
          <w:sz w:val="32"/>
          <w:szCs w:val="32"/>
          <w:u w:val="single"/>
          <w:lang w:val="zh-CN"/>
        </w:rPr>
        <w:t>清丰县鑫星辉酒店家具有限公司</w:t>
      </w:r>
      <w:r>
        <w:rPr>
          <w:rFonts w:hint="eastAsia" w:ascii="方正仿宋_GB2312" w:eastAsia="方正仿宋_GB2312"/>
          <w:color w:val="auto"/>
          <w:sz w:val="32"/>
          <w:szCs w:val="32"/>
          <w:u w:val="single"/>
        </w:rPr>
        <w:t xml:space="preserve">    </w:t>
      </w:r>
    </w:p>
    <w:p>
      <w:pPr>
        <w:adjustRightInd w:val="0"/>
        <w:snapToGrid w:val="0"/>
        <w:spacing w:line="480" w:lineRule="auto"/>
        <w:rPr>
          <w:rFonts w:ascii="方正仿宋_GB2312" w:eastAsia="方正仿宋_GB2312"/>
          <w:color w:val="auto"/>
          <w:sz w:val="36"/>
          <w:szCs w:val="36"/>
          <w:u w:val="single"/>
        </w:rPr>
      </w:pPr>
      <w:r>
        <w:rPr>
          <w:rFonts w:hint="eastAsia" w:ascii="方正仿宋_GB2312" w:eastAsia="方正仿宋_GB2312"/>
          <w:color w:val="auto"/>
          <w:sz w:val="32"/>
          <w:szCs w:val="32"/>
        </w:rPr>
        <w:t>编制日期：</w:t>
      </w:r>
      <w:r>
        <w:rPr>
          <w:rFonts w:hint="eastAsia" w:ascii="方正仿宋_GB2312" w:eastAsia="方正仿宋_GB2312"/>
          <w:color w:val="auto"/>
          <w:sz w:val="32"/>
          <w:szCs w:val="32"/>
          <w:u w:val="single"/>
        </w:rPr>
        <w:t xml:space="preserve"> </w:t>
      </w:r>
      <w:r>
        <w:rPr>
          <w:rFonts w:ascii="方正仿宋_GB2312" w:eastAsia="方正仿宋_GB2312"/>
          <w:color w:val="auto"/>
          <w:sz w:val="32"/>
          <w:szCs w:val="32"/>
          <w:u w:val="single"/>
        </w:rPr>
        <w:t xml:space="preserve"> </w:t>
      </w:r>
      <w:r>
        <w:rPr>
          <w:rFonts w:hint="eastAsia" w:ascii="方正仿宋_GB2312" w:eastAsia="方正仿宋_GB2312"/>
          <w:color w:val="auto"/>
          <w:sz w:val="32"/>
          <w:szCs w:val="32"/>
          <w:u w:val="single"/>
        </w:rPr>
        <w:t xml:space="preserve">           </w:t>
      </w:r>
      <w:r>
        <w:rPr>
          <w:rFonts w:eastAsia="方正仿宋_GB2312"/>
          <w:b/>
          <w:bCs/>
          <w:color w:val="auto"/>
          <w:sz w:val="32"/>
          <w:szCs w:val="32"/>
          <w:u w:val="single"/>
        </w:rPr>
        <w:t xml:space="preserve"> 202</w:t>
      </w:r>
      <w:r>
        <w:rPr>
          <w:rFonts w:hint="eastAsia" w:eastAsia="方正仿宋_GB2312"/>
          <w:b/>
          <w:bCs/>
          <w:color w:val="auto"/>
          <w:sz w:val="32"/>
          <w:szCs w:val="32"/>
          <w:u w:val="single"/>
          <w:lang w:val="en-US" w:eastAsia="zh-CN"/>
        </w:rPr>
        <w:t>5</w:t>
      </w:r>
      <w:r>
        <w:rPr>
          <w:rFonts w:eastAsia="方正仿宋_GB2312"/>
          <w:b/>
          <w:bCs/>
          <w:color w:val="auto"/>
          <w:sz w:val="32"/>
          <w:szCs w:val="32"/>
          <w:u w:val="single"/>
        </w:rPr>
        <w:t>年</w:t>
      </w:r>
      <w:r>
        <w:rPr>
          <w:rFonts w:hint="eastAsia" w:eastAsia="方正仿宋_GB2312"/>
          <w:b/>
          <w:bCs/>
          <w:color w:val="auto"/>
          <w:sz w:val="32"/>
          <w:szCs w:val="32"/>
          <w:u w:val="single"/>
          <w:lang w:val="en-US" w:eastAsia="zh-CN"/>
        </w:rPr>
        <w:t>11</w:t>
      </w:r>
      <w:r>
        <w:rPr>
          <w:rFonts w:eastAsia="方正仿宋_GB2312"/>
          <w:b/>
          <w:bCs/>
          <w:color w:val="auto"/>
          <w:sz w:val="32"/>
          <w:szCs w:val="32"/>
          <w:u w:val="single"/>
        </w:rPr>
        <w:t>月</w:t>
      </w:r>
      <w:r>
        <w:rPr>
          <w:rFonts w:ascii="方正仿宋_GB2312" w:eastAsia="方正仿宋_GB2312"/>
          <w:b/>
          <w:bCs/>
          <w:color w:val="auto"/>
          <w:sz w:val="32"/>
          <w:szCs w:val="32"/>
          <w:u w:val="single"/>
        </w:rPr>
        <w:t xml:space="preserve"> </w:t>
      </w:r>
      <w:r>
        <w:rPr>
          <w:rFonts w:ascii="方正仿宋_GB2312" w:eastAsia="方正仿宋_GB2312"/>
          <w:color w:val="auto"/>
          <w:sz w:val="32"/>
          <w:szCs w:val="32"/>
          <w:u w:val="single"/>
        </w:rPr>
        <w:t xml:space="preserve">             </w:t>
      </w:r>
      <w:r>
        <w:rPr>
          <w:rFonts w:hint="eastAsia" w:ascii="方正仿宋_GB2312" w:eastAsia="方正仿宋_GB2312"/>
          <w:color w:val="auto"/>
          <w:sz w:val="32"/>
          <w:szCs w:val="32"/>
          <w:u w:val="single"/>
        </w:rPr>
        <w:t xml:space="preserve"> </w:t>
      </w:r>
      <w:r>
        <w:rPr>
          <w:rFonts w:ascii="方正仿宋_GB2312" w:eastAsia="方正仿宋_GB2312"/>
          <w:color w:val="auto"/>
          <w:sz w:val="32"/>
          <w:szCs w:val="32"/>
          <w:u w:val="single"/>
        </w:rPr>
        <w:t xml:space="preserve">   </w:t>
      </w:r>
    </w:p>
    <w:p>
      <w:pPr>
        <w:adjustRightInd w:val="0"/>
        <w:snapToGrid w:val="0"/>
        <w:spacing w:line="288" w:lineRule="auto"/>
        <w:ind w:firstLine="1040"/>
        <w:rPr>
          <w:rFonts w:ascii="方正仿宋_GB2312" w:eastAsia="方正仿宋_GB2312"/>
          <w:color w:val="auto"/>
          <w:sz w:val="36"/>
          <w:szCs w:val="36"/>
          <w:u w:val="single"/>
        </w:rPr>
      </w:pPr>
      <w:bookmarkStart w:id="2" w:name="_Hlk57884087"/>
    </w:p>
    <w:bookmarkEnd w:id="2"/>
    <w:p>
      <w:pPr>
        <w:spacing w:line="360" w:lineRule="auto"/>
        <w:jc w:val="center"/>
        <w:outlineLvl w:val="0"/>
        <w:rPr>
          <w:rFonts w:ascii="方正仿宋_GB2312" w:eastAsia="方正仿宋_GB2312"/>
          <w:color w:val="auto"/>
          <w:sz w:val="36"/>
          <w:szCs w:val="36"/>
        </w:rPr>
      </w:pPr>
      <w:bookmarkStart w:id="3" w:name="_Toc13859"/>
      <w:bookmarkStart w:id="4" w:name="_Toc8546"/>
      <w:r>
        <w:rPr>
          <w:rFonts w:hint="eastAsia" w:ascii="方正仿宋_GB2312" w:eastAsia="方正仿宋_GB2312"/>
          <w:color w:val="auto"/>
          <w:sz w:val="36"/>
          <w:szCs w:val="36"/>
        </w:rPr>
        <w:t>中华人民共和国生态环境部制</w:t>
      </w:r>
      <w:bookmarkEnd w:id="3"/>
      <w:bookmarkEnd w:id="4"/>
    </w:p>
    <w:p>
      <w:pPr>
        <w:rPr>
          <w:rFonts w:ascii="Arial" w:hAnsi="Arial" w:eastAsia="黑体"/>
          <w:b/>
          <w:bCs/>
          <w:color w:val="auto"/>
          <w:sz w:val="32"/>
          <w:szCs w:val="32"/>
        </w:rPr>
      </w:pPr>
      <w:r>
        <w:rPr>
          <w:rFonts w:hint="eastAsia" w:ascii="Arial" w:hAnsi="Arial" w:eastAsia="黑体"/>
          <w:b/>
          <w:bCs/>
          <w:color w:val="auto"/>
          <w:sz w:val="32"/>
          <w:szCs w:val="32"/>
        </w:rPr>
        <w:br w:type="page"/>
      </w:r>
    </w:p>
    <w:sdt>
      <w:sdtPr>
        <w:rPr>
          <w:rFonts w:ascii="宋体" w:hAnsi="宋体"/>
          <w:color w:val="auto"/>
          <w:sz w:val="21"/>
        </w:rPr>
        <w:id w:val="147454586"/>
      </w:sdtPr>
      <w:sdtEndPr>
        <w:rPr>
          <w:rFonts w:hint="eastAsia" w:ascii="Times New Roman" w:hAnsi="Times New Roman"/>
          <w:color w:val="auto"/>
          <w:sz w:val="24"/>
        </w:rPr>
      </w:sdtEndPr>
      <w:sdtContent>
        <w:p>
          <w:pPr>
            <w:jc w:val="center"/>
            <w:rPr>
              <w:color w:val="auto"/>
              <w:sz w:val="48"/>
              <w:szCs w:val="48"/>
            </w:rPr>
          </w:pPr>
          <w:r>
            <w:rPr>
              <w:rFonts w:ascii="宋体" w:hAnsi="宋体"/>
              <w:color w:val="auto"/>
              <w:sz w:val="48"/>
              <w:szCs w:val="48"/>
            </w:rPr>
            <w:t>目</w:t>
          </w:r>
          <w:r>
            <w:rPr>
              <w:rFonts w:hint="eastAsia" w:ascii="宋体" w:hAnsi="宋体"/>
              <w:color w:val="auto"/>
              <w:sz w:val="48"/>
              <w:szCs w:val="48"/>
            </w:rPr>
            <w:t xml:space="preserve"> </w:t>
          </w:r>
          <w:r>
            <w:rPr>
              <w:rFonts w:ascii="宋体" w:hAnsi="宋体"/>
              <w:color w:val="auto"/>
              <w:sz w:val="48"/>
              <w:szCs w:val="48"/>
            </w:rPr>
            <w:t>录</w:t>
          </w:r>
        </w:p>
        <w:p>
          <w:pPr>
            <w:pStyle w:val="16"/>
            <w:tabs>
              <w:tab w:val="right" w:leader="dot" w:pos="8306"/>
            </w:tabs>
            <w:rPr>
              <w:color w:val="auto"/>
            </w:rPr>
          </w:pPr>
          <w:r>
            <w:rPr>
              <w:rFonts w:hint="eastAsia"/>
              <w:color w:val="auto"/>
            </w:rPr>
            <w:fldChar w:fldCharType="begin"/>
          </w:r>
          <w:r>
            <w:rPr>
              <w:rFonts w:hint="eastAsia"/>
              <w:color w:val="auto"/>
            </w:rPr>
            <w:instrText xml:space="preserve">TOC \o "1-1" \h \u </w:instrText>
          </w:r>
          <w:r>
            <w:rPr>
              <w:rFonts w:hint="eastAsia"/>
              <w:color w:val="auto"/>
            </w:rPr>
            <w:fldChar w:fldCharType="separate"/>
          </w:r>
        </w:p>
        <w:p>
          <w:pPr>
            <w:pStyle w:val="16"/>
            <w:tabs>
              <w:tab w:val="right" w:leader="dot" w:pos="8306"/>
            </w:tabs>
            <w:rPr>
              <w:color w:val="auto"/>
            </w:rPr>
          </w:pPr>
          <w:r>
            <w:rPr>
              <w:color w:val="auto"/>
            </w:rPr>
            <w:fldChar w:fldCharType="begin"/>
          </w:r>
          <w:r>
            <w:rPr>
              <w:color w:val="auto"/>
            </w:rPr>
            <w:instrText xml:space="preserve"> HYPERLINK \l "_Toc9537" </w:instrText>
          </w:r>
          <w:r>
            <w:rPr>
              <w:color w:val="auto"/>
            </w:rPr>
            <w:fldChar w:fldCharType="separate"/>
          </w:r>
          <w:r>
            <w:rPr>
              <w:rFonts w:hint="eastAsia" w:ascii="Arial" w:hAnsi="Arial" w:eastAsia="黑体"/>
              <w:bCs/>
              <w:color w:val="auto"/>
              <w:szCs w:val="32"/>
            </w:rPr>
            <w:t>一、</w:t>
          </w:r>
          <w:r>
            <w:rPr>
              <w:rFonts w:hint="eastAsia" w:ascii="黑体" w:hAnsi="黑体" w:eastAsia="黑体" w:cs="黑体"/>
              <w:color w:val="auto"/>
            </w:rPr>
            <w:t>建设项目基本情况</w:t>
          </w:r>
          <w:r>
            <w:rPr>
              <w:color w:val="auto"/>
            </w:rPr>
            <w:tab/>
          </w:r>
          <w:r>
            <w:rPr>
              <w:color w:val="auto"/>
            </w:rPr>
            <w:fldChar w:fldCharType="begin"/>
          </w:r>
          <w:r>
            <w:rPr>
              <w:color w:val="auto"/>
            </w:rPr>
            <w:instrText xml:space="preserve"> PAGEREF _Toc9537 \h </w:instrText>
          </w:r>
          <w:r>
            <w:rPr>
              <w:color w:val="auto"/>
            </w:rPr>
            <w:fldChar w:fldCharType="separate"/>
          </w:r>
          <w:r>
            <w:rPr>
              <w:color w:val="auto"/>
            </w:rPr>
            <w:t>1</w:t>
          </w:r>
          <w:r>
            <w:rPr>
              <w:color w:val="auto"/>
            </w:rPr>
            <w:fldChar w:fldCharType="end"/>
          </w:r>
          <w:r>
            <w:rPr>
              <w:color w:val="auto"/>
            </w:rPr>
            <w:fldChar w:fldCharType="end"/>
          </w:r>
        </w:p>
        <w:p>
          <w:pPr>
            <w:pStyle w:val="16"/>
            <w:tabs>
              <w:tab w:val="right" w:leader="dot" w:pos="8306"/>
            </w:tabs>
            <w:rPr>
              <w:color w:val="auto"/>
            </w:rPr>
          </w:pPr>
          <w:r>
            <w:rPr>
              <w:color w:val="auto"/>
            </w:rPr>
            <w:fldChar w:fldCharType="begin"/>
          </w:r>
          <w:r>
            <w:rPr>
              <w:color w:val="auto"/>
            </w:rPr>
            <w:instrText xml:space="preserve"> HYPERLINK \l "_Toc31387" </w:instrText>
          </w:r>
          <w:r>
            <w:rPr>
              <w:color w:val="auto"/>
            </w:rPr>
            <w:fldChar w:fldCharType="separate"/>
          </w:r>
          <w:r>
            <w:rPr>
              <w:rFonts w:hint="eastAsia" w:ascii="Arial" w:hAnsi="Arial" w:eastAsia="黑体"/>
              <w:bCs/>
              <w:color w:val="auto"/>
              <w:szCs w:val="32"/>
            </w:rPr>
            <w:t>二、建设项目工程分析</w:t>
          </w:r>
          <w:r>
            <w:rPr>
              <w:color w:val="auto"/>
            </w:rPr>
            <w:tab/>
          </w:r>
          <w:r>
            <w:rPr>
              <w:color w:val="auto"/>
            </w:rPr>
            <w:fldChar w:fldCharType="begin"/>
          </w:r>
          <w:r>
            <w:rPr>
              <w:color w:val="auto"/>
            </w:rPr>
            <w:instrText xml:space="preserve"> PAGEREF _Toc31387 \h </w:instrText>
          </w:r>
          <w:r>
            <w:rPr>
              <w:color w:val="auto"/>
            </w:rPr>
            <w:fldChar w:fldCharType="separate"/>
          </w:r>
          <w:r>
            <w:rPr>
              <w:color w:val="auto"/>
            </w:rPr>
            <w:t>23</w:t>
          </w:r>
          <w:r>
            <w:rPr>
              <w:color w:val="auto"/>
            </w:rPr>
            <w:fldChar w:fldCharType="end"/>
          </w:r>
          <w:r>
            <w:rPr>
              <w:color w:val="auto"/>
            </w:rPr>
            <w:fldChar w:fldCharType="end"/>
          </w:r>
        </w:p>
        <w:p>
          <w:pPr>
            <w:pStyle w:val="16"/>
            <w:tabs>
              <w:tab w:val="right" w:leader="dot" w:pos="8306"/>
            </w:tabs>
            <w:rPr>
              <w:color w:val="auto"/>
            </w:rPr>
          </w:pPr>
          <w:r>
            <w:rPr>
              <w:color w:val="auto"/>
            </w:rPr>
            <w:fldChar w:fldCharType="begin"/>
          </w:r>
          <w:r>
            <w:rPr>
              <w:color w:val="auto"/>
            </w:rPr>
            <w:instrText xml:space="preserve"> HYPERLINK \l "_Toc13154" </w:instrText>
          </w:r>
          <w:r>
            <w:rPr>
              <w:color w:val="auto"/>
            </w:rPr>
            <w:fldChar w:fldCharType="separate"/>
          </w:r>
          <w:r>
            <w:rPr>
              <w:rFonts w:hint="eastAsia" w:ascii="Arial" w:hAnsi="Arial" w:eastAsia="黑体"/>
              <w:bCs/>
              <w:color w:val="auto"/>
              <w:szCs w:val="32"/>
            </w:rPr>
            <w:t>三、区域环境治理现状、环境保护目标及评价标准</w:t>
          </w:r>
          <w:r>
            <w:rPr>
              <w:color w:val="auto"/>
            </w:rPr>
            <w:tab/>
          </w:r>
          <w:r>
            <w:rPr>
              <w:color w:val="auto"/>
            </w:rPr>
            <w:fldChar w:fldCharType="begin"/>
          </w:r>
          <w:r>
            <w:rPr>
              <w:color w:val="auto"/>
            </w:rPr>
            <w:instrText xml:space="preserve"> PAGEREF _Toc13154 \h </w:instrText>
          </w:r>
          <w:r>
            <w:rPr>
              <w:color w:val="auto"/>
            </w:rPr>
            <w:fldChar w:fldCharType="separate"/>
          </w:r>
          <w:r>
            <w:rPr>
              <w:color w:val="auto"/>
            </w:rPr>
            <w:t>29</w:t>
          </w:r>
          <w:r>
            <w:rPr>
              <w:color w:val="auto"/>
            </w:rPr>
            <w:fldChar w:fldCharType="end"/>
          </w:r>
          <w:r>
            <w:rPr>
              <w:color w:val="auto"/>
            </w:rPr>
            <w:fldChar w:fldCharType="end"/>
          </w:r>
        </w:p>
        <w:p>
          <w:pPr>
            <w:pStyle w:val="16"/>
            <w:tabs>
              <w:tab w:val="right" w:leader="dot" w:pos="8306"/>
            </w:tabs>
            <w:rPr>
              <w:color w:val="auto"/>
            </w:rPr>
          </w:pPr>
          <w:r>
            <w:rPr>
              <w:color w:val="auto"/>
            </w:rPr>
            <w:fldChar w:fldCharType="begin"/>
          </w:r>
          <w:r>
            <w:rPr>
              <w:color w:val="auto"/>
            </w:rPr>
            <w:instrText xml:space="preserve"> HYPERLINK \l "_Toc15293" </w:instrText>
          </w:r>
          <w:r>
            <w:rPr>
              <w:color w:val="auto"/>
            </w:rPr>
            <w:fldChar w:fldCharType="separate"/>
          </w:r>
          <w:r>
            <w:rPr>
              <w:rFonts w:hint="eastAsia" w:ascii="Arial" w:hAnsi="Arial" w:eastAsia="黑体"/>
              <w:bCs/>
              <w:color w:val="auto"/>
              <w:szCs w:val="32"/>
            </w:rPr>
            <w:t>四、主要环境影响和保护措施</w:t>
          </w:r>
          <w:r>
            <w:rPr>
              <w:color w:val="auto"/>
            </w:rPr>
            <w:tab/>
          </w:r>
          <w:r>
            <w:rPr>
              <w:color w:val="auto"/>
            </w:rPr>
            <w:fldChar w:fldCharType="begin"/>
          </w:r>
          <w:r>
            <w:rPr>
              <w:color w:val="auto"/>
            </w:rPr>
            <w:instrText xml:space="preserve"> PAGEREF _Toc15293 \h </w:instrText>
          </w:r>
          <w:r>
            <w:rPr>
              <w:color w:val="auto"/>
            </w:rPr>
            <w:fldChar w:fldCharType="separate"/>
          </w:r>
          <w:r>
            <w:rPr>
              <w:color w:val="auto"/>
            </w:rPr>
            <w:t>35</w:t>
          </w:r>
          <w:r>
            <w:rPr>
              <w:color w:val="auto"/>
            </w:rPr>
            <w:fldChar w:fldCharType="end"/>
          </w:r>
          <w:r>
            <w:rPr>
              <w:color w:val="auto"/>
            </w:rPr>
            <w:fldChar w:fldCharType="end"/>
          </w:r>
        </w:p>
        <w:p>
          <w:pPr>
            <w:pStyle w:val="16"/>
            <w:tabs>
              <w:tab w:val="right" w:leader="dot" w:pos="8306"/>
            </w:tabs>
            <w:rPr>
              <w:color w:val="auto"/>
            </w:rPr>
          </w:pPr>
          <w:r>
            <w:rPr>
              <w:color w:val="auto"/>
            </w:rPr>
            <w:fldChar w:fldCharType="begin"/>
          </w:r>
          <w:r>
            <w:rPr>
              <w:color w:val="auto"/>
            </w:rPr>
            <w:instrText xml:space="preserve"> HYPERLINK \l "_Toc13070" </w:instrText>
          </w:r>
          <w:r>
            <w:rPr>
              <w:color w:val="auto"/>
            </w:rPr>
            <w:fldChar w:fldCharType="separate"/>
          </w:r>
          <w:r>
            <w:rPr>
              <w:rFonts w:ascii="Arial" w:hAnsi="Arial" w:eastAsia="黑体"/>
              <w:bCs/>
              <w:color w:val="auto"/>
              <w:szCs w:val="32"/>
            </w:rPr>
            <w:t>五、环境保护措施监督检查清单</w:t>
          </w:r>
          <w:r>
            <w:rPr>
              <w:color w:val="auto"/>
            </w:rPr>
            <w:tab/>
          </w:r>
          <w:r>
            <w:rPr>
              <w:color w:val="auto"/>
            </w:rPr>
            <w:fldChar w:fldCharType="begin"/>
          </w:r>
          <w:r>
            <w:rPr>
              <w:color w:val="auto"/>
            </w:rPr>
            <w:instrText xml:space="preserve"> PAGEREF _Toc13070 \h </w:instrText>
          </w:r>
          <w:r>
            <w:rPr>
              <w:color w:val="auto"/>
            </w:rPr>
            <w:fldChar w:fldCharType="separate"/>
          </w:r>
          <w:r>
            <w:rPr>
              <w:color w:val="auto"/>
            </w:rPr>
            <w:t>51</w:t>
          </w:r>
          <w:r>
            <w:rPr>
              <w:color w:val="auto"/>
            </w:rPr>
            <w:fldChar w:fldCharType="end"/>
          </w:r>
          <w:r>
            <w:rPr>
              <w:color w:val="auto"/>
            </w:rPr>
            <w:fldChar w:fldCharType="end"/>
          </w:r>
        </w:p>
        <w:p>
          <w:pPr>
            <w:pStyle w:val="16"/>
            <w:tabs>
              <w:tab w:val="right" w:leader="dot" w:pos="8306"/>
            </w:tabs>
            <w:rPr>
              <w:color w:val="auto"/>
            </w:rPr>
          </w:pPr>
          <w:r>
            <w:rPr>
              <w:color w:val="auto"/>
            </w:rPr>
            <w:fldChar w:fldCharType="begin"/>
          </w:r>
          <w:r>
            <w:rPr>
              <w:color w:val="auto"/>
            </w:rPr>
            <w:instrText xml:space="preserve"> HYPERLINK \l "_Toc25253" </w:instrText>
          </w:r>
          <w:r>
            <w:rPr>
              <w:color w:val="auto"/>
            </w:rPr>
            <w:fldChar w:fldCharType="separate"/>
          </w:r>
          <w:r>
            <w:rPr>
              <w:rFonts w:hint="eastAsia" w:ascii="Arial" w:hAnsi="Arial" w:eastAsia="黑体"/>
              <w:bCs/>
              <w:color w:val="auto"/>
              <w:szCs w:val="32"/>
            </w:rPr>
            <w:t>六、结论</w:t>
          </w:r>
          <w:r>
            <w:rPr>
              <w:color w:val="auto"/>
            </w:rPr>
            <w:tab/>
          </w:r>
          <w:r>
            <w:rPr>
              <w:color w:val="auto"/>
            </w:rPr>
            <w:fldChar w:fldCharType="begin"/>
          </w:r>
          <w:r>
            <w:rPr>
              <w:color w:val="auto"/>
            </w:rPr>
            <w:instrText xml:space="preserve"> PAGEREF _Toc25253 \h </w:instrText>
          </w:r>
          <w:r>
            <w:rPr>
              <w:color w:val="auto"/>
            </w:rPr>
            <w:fldChar w:fldCharType="separate"/>
          </w:r>
          <w:r>
            <w:rPr>
              <w:color w:val="auto"/>
            </w:rPr>
            <w:t>53</w:t>
          </w:r>
          <w:r>
            <w:rPr>
              <w:color w:val="auto"/>
            </w:rPr>
            <w:fldChar w:fldCharType="end"/>
          </w:r>
          <w:r>
            <w:rPr>
              <w:color w:val="auto"/>
            </w:rPr>
            <w:fldChar w:fldCharType="end"/>
          </w:r>
        </w:p>
        <w:p>
          <w:pPr>
            <w:pStyle w:val="16"/>
            <w:tabs>
              <w:tab w:val="right" w:leader="dot" w:pos="8306"/>
            </w:tabs>
            <w:rPr>
              <w:color w:val="auto"/>
            </w:rPr>
          </w:pPr>
          <w:r>
            <w:rPr>
              <w:color w:val="auto"/>
            </w:rPr>
            <w:fldChar w:fldCharType="begin"/>
          </w:r>
          <w:r>
            <w:rPr>
              <w:color w:val="auto"/>
            </w:rPr>
            <w:instrText xml:space="preserve"> HYPERLINK \l "_Toc32561" </w:instrText>
          </w:r>
          <w:r>
            <w:rPr>
              <w:color w:val="auto"/>
            </w:rPr>
            <w:fldChar w:fldCharType="separate"/>
          </w:r>
          <w:r>
            <w:rPr>
              <w:rFonts w:eastAsia="黑体"/>
              <w:color w:val="auto"/>
              <w:spacing w:val="-15"/>
              <w:szCs w:val="30"/>
            </w:rPr>
            <w:t>附表</w:t>
          </w:r>
          <w:r>
            <w:rPr>
              <w:color w:val="auto"/>
            </w:rPr>
            <w:tab/>
          </w:r>
          <w:r>
            <w:rPr>
              <w:color w:val="auto"/>
            </w:rPr>
            <w:fldChar w:fldCharType="begin"/>
          </w:r>
          <w:r>
            <w:rPr>
              <w:color w:val="auto"/>
            </w:rPr>
            <w:instrText xml:space="preserve"> PAGEREF _Toc32561 \h </w:instrText>
          </w:r>
          <w:r>
            <w:rPr>
              <w:color w:val="auto"/>
            </w:rPr>
            <w:fldChar w:fldCharType="separate"/>
          </w:r>
          <w:r>
            <w:rPr>
              <w:color w:val="auto"/>
            </w:rPr>
            <w:t>54</w:t>
          </w:r>
          <w:r>
            <w:rPr>
              <w:color w:val="auto"/>
            </w:rPr>
            <w:fldChar w:fldCharType="end"/>
          </w:r>
          <w:r>
            <w:rPr>
              <w:color w:val="auto"/>
            </w:rPr>
            <w:fldChar w:fldCharType="end"/>
          </w:r>
        </w:p>
        <w:p>
          <w:pPr>
            <w:pStyle w:val="16"/>
            <w:tabs>
              <w:tab w:val="right" w:leader="dot" w:pos="8306"/>
            </w:tabs>
            <w:rPr>
              <w:color w:val="auto"/>
            </w:rPr>
          </w:pPr>
          <w:r>
            <w:rPr>
              <w:color w:val="auto"/>
            </w:rPr>
            <w:fldChar w:fldCharType="begin"/>
          </w:r>
          <w:r>
            <w:rPr>
              <w:color w:val="auto"/>
            </w:rPr>
            <w:instrText xml:space="preserve"> HYPERLINK \l "_Toc9161" </w:instrText>
          </w:r>
          <w:r>
            <w:rPr>
              <w:color w:val="auto"/>
            </w:rPr>
            <w:fldChar w:fldCharType="separate"/>
          </w:r>
          <w:r>
            <w:rPr>
              <w:rFonts w:eastAsia="微软雅黑"/>
              <w:color w:val="auto"/>
              <w:spacing w:val="9"/>
              <w:szCs w:val="37"/>
            </w:rPr>
            <w:t>建设项目污染物排放量汇总表</w:t>
          </w:r>
          <w:r>
            <w:rPr>
              <w:color w:val="auto"/>
            </w:rPr>
            <w:tab/>
          </w:r>
          <w:r>
            <w:rPr>
              <w:color w:val="auto"/>
            </w:rPr>
            <w:fldChar w:fldCharType="begin"/>
          </w:r>
          <w:r>
            <w:rPr>
              <w:color w:val="auto"/>
            </w:rPr>
            <w:instrText xml:space="preserve"> PAGEREF _Toc9161 \h </w:instrText>
          </w:r>
          <w:r>
            <w:rPr>
              <w:color w:val="auto"/>
            </w:rPr>
            <w:fldChar w:fldCharType="separate"/>
          </w:r>
          <w:r>
            <w:rPr>
              <w:color w:val="auto"/>
            </w:rPr>
            <w:t>54</w:t>
          </w:r>
          <w:r>
            <w:rPr>
              <w:color w:val="auto"/>
            </w:rPr>
            <w:fldChar w:fldCharType="end"/>
          </w:r>
          <w:r>
            <w:rPr>
              <w:color w:val="auto"/>
            </w:rPr>
            <w:fldChar w:fldCharType="end"/>
          </w:r>
        </w:p>
        <w:p>
          <w:pPr>
            <w:rPr>
              <w:color w:val="auto"/>
            </w:rPr>
          </w:pPr>
          <w:r>
            <w:rPr>
              <w:rFonts w:hint="eastAsia"/>
              <w:color w:val="auto"/>
            </w:rPr>
            <w:fldChar w:fldCharType="end"/>
          </w:r>
        </w:p>
      </w:sdtContent>
    </w:sdt>
    <w:p>
      <w:pPr>
        <w:rPr>
          <w:color w:val="auto"/>
        </w:rPr>
      </w:pPr>
    </w:p>
    <w:p>
      <w:pPr>
        <w:rPr>
          <w:color w:val="auto"/>
        </w:rPr>
      </w:pPr>
    </w:p>
    <w:p>
      <w:pPr>
        <w:rPr>
          <w:color w:val="auto"/>
        </w:rPr>
        <w:sectPr>
          <w:pgSz w:w="11906" w:h="16838"/>
          <w:pgMar w:top="1440" w:right="1800" w:bottom="1440" w:left="1800" w:header="851" w:footer="992" w:gutter="0"/>
          <w:cols w:space="425" w:num="1"/>
          <w:docGrid w:type="lines" w:linePitch="312" w:charSpace="0"/>
        </w:sectPr>
      </w:pPr>
    </w:p>
    <w:p>
      <w:pPr>
        <w:pStyle w:val="3"/>
        <w:spacing w:before="0" w:after="0" w:line="360" w:lineRule="auto"/>
        <w:jc w:val="center"/>
        <w:rPr>
          <w:color w:val="auto"/>
        </w:rPr>
      </w:pPr>
      <w:bookmarkStart w:id="5" w:name="_Toc9537"/>
      <w:r>
        <w:rPr>
          <w:rFonts w:hint="eastAsia"/>
          <w:color w:val="auto"/>
        </w:rPr>
        <w:t>一、</w:t>
      </w:r>
      <w:r>
        <w:rPr>
          <w:color w:val="auto"/>
        </w:rPr>
        <w:t>建设项目基本情况</w:t>
      </w:r>
      <w:bookmarkEnd w:id="5"/>
    </w:p>
    <w:tbl>
      <w:tblPr>
        <w:tblStyle w:val="22"/>
        <w:tblW w:w="10125"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2"/>
        <w:gridCol w:w="396"/>
        <w:gridCol w:w="2814"/>
        <w:gridCol w:w="2290"/>
        <w:gridCol w:w="795"/>
        <w:gridCol w:w="24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建设项目名称</w:t>
            </w:r>
          </w:p>
        </w:tc>
        <w:tc>
          <w:tcPr>
            <w:tcW w:w="8347" w:type="dxa"/>
            <w:gridSpan w:val="4"/>
            <w:tcBorders>
              <w:tl2br w:val="nil"/>
              <w:tr2bl w:val="nil"/>
            </w:tcBorders>
            <w:vAlign w:val="center"/>
          </w:tcPr>
          <w:p>
            <w:pPr>
              <w:jc w:val="center"/>
              <w:rPr>
                <w:color w:val="auto"/>
              </w:rPr>
            </w:pPr>
            <w:r>
              <w:rPr>
                <w:rFonts w:hint="eastAsia"/>
                <w:color w:val="auto"/>
                <w:lang w:val="zh-CN"/>
              </w:rPr>
              <w:t>鑫星辉家具公司年产酒店家具12000套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项目代码</w:t>
            </w:r>
          </w:p>
        </w:tc>
        <w:tc>
          <w:tcPr>
            <w:tcW w:w="8347" w:type="dxa"/>
            <w:gridSpan w:val="4"/>
            <w:tcBorders>
              <w:tl2br w:val="nil"/>
              <w:tr2bl w:val="nil"/>
            </w:tcBorders>
            <w:vAlign w:val="center"/>
          </w:tcPr>
          <w:p>
            <w:pPr>
              <w:jc w:val="center"/>
              <w:rPr>
                <w:rFonts w:hint="eastAsia" w:eastAsia="宋体"/>
                <w:color w:val="auto"/>
                <w:lang w:eastAsia="zh-CN"/>
              </w:rPr>
            </w:pPr>
            <w:r>
              <w:rPr>
                <w:rFonts w:hint="eastAsia"/>
                <w:color w:val="auto"/>
                <w:lang w:eastAsia="zh-CN"/>
              </w:rPr>
              <w:t>2507-410922-04-01-628185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建设单位联系人</w:t>
            </w:r>
          </w:p>
        </w:tc>
        <w:tc>
          <w:tcPr>
            <w:tcW w:w="2814" w:type="dxa"/>
            <w:tcBorders>
              <w:tl2br w:val="nil"/>
              <w:tr2bl w:val="nil"/>
            </w:tcBorders>
            <w:vAlign w:val="center"/>
          </w:tcPr>
          <w:p>
            <w:pPr>
              <w:jc w:val="center"/>
              <w:rPr>
                <w:color w:val="auto"/>
              </w:rPr>
            </w:pPr>
            <w:r>
              <w:rPr>
                <w:rFonts w:hint="eastAsia"/>
                <w:color w:val="auto"/>
              </w:rPr>
              <w:t>杨宝亮</w:t>
            </w:r>
          </w:p>
        </w:tc>
        <w:tc>
          <w:tcPr>
            <w:tcW w:w="3085" w:type="dxa"/>
            <w:gridSpan w:val="2"/>
            <w:tcBorders>
              <w:tl2br w:val="nil"/>
              <w:tr2bl w:val="nil"/>
            </w:tcBorders>
            <w:vAlign w:val="center"/>
          </w:tcPr>
          <w:p>
            <w:pPr>
              <w:jc w:val="center"/>
              <w:rPr>
                <w:color w:val="auto"/>
              </w:rPr>
            </w:pPr>
            <w:r>
              <w:rPr>
                <w:color w:val="auto"/>
              </w:rPr>
              <w:t>联系方式</w:t>
            </w:r>
          </w:p>
        </w:tc>
        <w:tc>
          <w:tcPr>
            <w:tcW w:w="2448" w:type="dxa"/>
            <w:tcBorders>
              <w:tl2br w:val="nil"/>
              <w:tr2bl w:val="nil"/>
            </w:tcBorders>
            <w:vAlign w:val="center"/>
          </w:tcPr>
          <w:p>
            <w:pPr>
              <w:jc w:val="center"/>
              <w:rPr>
                <w:color w:val="auto"/>
              </w:rPr>
            </w:pPr>
            <w:r>
              <w:rPr>
                <w:rFonts w:hint="eastAsia"/>
                <w:color w:val="auto"/>
              </w:rPr>
              <w:t>17732663168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pStyle w:val="25"/>
              <w:rPr>
                <w:rFonts w:ascii="Times New Roman" w:hAnsi="Times New Roman" w:cs="Times New Roman"/>
                <w:color w:val="auto"/>
              </w:rPr>
            </w:pPr>
            <w:r>
              <w:rPr>
                <w:rFonts w:ascii="Times New Roman" w:hAnsi="Times New Roman" w:cs="Times New Roman"/>
                <w:color w:val="auto"/>
              </w:rPr>
              <w:t>建设地点</w:t>
            </w:r>
          </w:p>
        </w:tc>
        <w:tc>
          <w:tcPr>
            <w:tcW w:w="8347" w:type="dxa"/>
            <w:gridSpan w:val="4"/>
            <w:tcBorders>
              <w:tl2br w:val="nil"/>
              <w:tr2bl w:val="nil"/>
            </w:tcBorders>
            <w:vAlign w:val="center"/>
          </w:tcPr>
          <w:p>
            <w:pPr>
              <w:widowControl/>
              <w:jc w:val="center"/>
              <w:rPr>
                <w:rFonts w:hint="eastAsia" w:eastAsia="宋体"/>
                <w:color w:val="auto"/>
                <w:lang w:eastAsia="zh-CN"/>
              </w:rPr>
            </w:pPr>
            <w:r>
              <w:rPr>
                <w:rFonts w:hint="eastAsia" w:ascii="Times New Roman" w:hAnsi="Times New Roman" w:cs="Times New Roman"/>
                <w:color w:val="auto"/>
                <w:lang w:val="en-US"/>
              </w:rPr>
              <w:t>濮阳市</w:t>
            </w:r>
            <w:r>
              <w:rPr>
                <w:rFonts w:hint="eastAsia" w:ascii="Times New Roman" w:hAnsi="Times New Roman" w:cs="Times New Roman"/>
                <w:color w:val="auto"/>
                <w:lang w:val="en-US" w:eastAsia="zh-CN"/>
              </w:rPr>
              <w:t>清丰县先进制造业开发区伯特利家具产业园东环路东侧、兴园路南侧2号车间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地理坐标</w:t>
            </w:r>
          </w:p>
        </w:tc>
        <w:tc>
          <w:tcPr>
            <w:tcW w:w="8347" w:type="dxa"/>
            <w:gridSpan w:val="4"/>
            <w:tcBorders>
              <w:tl2br w:val="nil"/>
              <w:tr2bl w:val="nil"/>
            </w:tcBorders>
            <w:vAlign w:val="center"/>
          </w:tcPr>
          <w:p>
            <w:pPr>
              <w:pStyle w:val="25"/>
              <w:rPr>
                <w:rFonts w:ascii="Times New Roman" w:hAnsi="Times New Roman" w:cs="Times New Roman"/>
                <w:color w:val="auto"/>
                <w:lang w:val="en-US"/>
              </w:rPr>
            </w:pPr>
            <w:r>
              <w:rPr>
                <w:rFonts w:ascii="Times New Roman" w:hAnsi="Times New Roman" w:cs="Times New Roman"/>
                <w:color w:val="auto"/>
                <w:lang w:val="en-US"/>
              </w:rPr>
              <w:t>（E</w:t>
            </w:r>
            <w:r>
              <w:rPr>
                <w:rFonts w:hint="eastAsia" w:ascii="Times New Roman" w:hAnsi="Times New Roman" w:cs="Times New Roman"/>
                <w:color w:val="auto"/>
                <w:lang w:val="en-US"/>
              </w:rPr>
              <w:t>115°08'29.699"</w:t>
            </w:r>
            <w:r>
              <w:rPr>
                <w:rFonts w:ascii="Times New Roman" w:hAnsi="Times New Roman" w:cs="Times New Roman"/>
                <w:color w:val="auto"/>
                <w:lang w:val="en-US"/>
              </w:rPr>
              <w:t>，N</w:t>
            </w:r>
            <w:r>
              <w:rPr>
                <w:rFonts w:hint="eastAsia" w:ascii="Times New Roman" w:hAnsi="Times New Roman" w:cs="Times New Roman"/>
                <w:color w:val="auto"/>
                <w:lang w:val="en-US"/>
              </w:rPr>
              <w:t>35°51'56.675"</w:t>
            </w:r>
            <w:r>
              <w:rPr>
                <w:rFonts w:ascii="Times New Roman" w:hAnsi="Times New Roman" w:cs="Times New Roman"/>
                <w:color w:val="auto"/>
                <w:lang w:val="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国民经济</w:t>
            </w:r>
          </w:p>
          <w:p>
            <w:pPr>
              <w:jc w:val="center"/>
              <w:rPr>
                <w:color w:val="auto"/>
              </w:rPr>
            </w:pPr>
            <w:r>
              <w:rPr>
                <w:color w:val="auto"/>
              </w:rPr>
              <w:t>行业类别</w:t>
            </w:r>
          </w:p>
        </w:tc>
        <w:tc>
          <w:tcPr>
            <w:tcW w:w="2814" w:type="dxa"/>
            <w:tcBorders>
              <w:tl2br w:val="nil"/>
              <w:tr2bl w:val="nil"/>
            </w:tcBorders>
            <w:vAlign w:val="center"/>
          </w:tcPr>
          <w:p>
            <w:pPr>
              <w:widowControl/>
              <w:jc w:val="center"/>
              <w:rPr>
                <w:color w:val="auto"/>
              </w:rPr>
            </w:pPr>
            <w:r>
              <w:rPr>
                <w:color w:val="auto"/>
              </w:rPr>
              <w:t>C2110</w:t>
            </w:r>
            <w:r>
              <w:rPr>
                <w:rFonts w:hint="eastAsia"/>
                <w:color w:val="auto"/>
                <w:lang w:val="en-US" w:eastAsia="zh-CN"/>
              </w:rPr>
              <w:t>木质</w:t>
            </w:r>
            <w:r>
              <w:rPr>
                <w:color w:val="auto"/>
              </w:rPr>
              <w:t>家具制造</w:t>
            </w:r>
          </w:p>
        </w:tc>
        <w:tc>
          <w:tcPr>
            <w:tcW w:w="2290" w:type="dxa"/>
            <w:tcBorders>
              <w:tl2br w:val="nil"/>
              <w:tr2bl w:val="nil"/>
            </w:tcBorders>
            <w:vAlign w:val="center"/>
          </w:tcPr>
          <w:p>
            <w:pPr>
              <w:jc w:val="center"/>
              <w:rPr>
                <w:color w:val="auto"/>
              </w:rPr>
            </w:pPr>
            <w:r>
              <w:rPr>
                <w:color w:val="auto"/>
              </w:rPr>
              <w:t>建设项</w:t>
            </w:r>
            <w:bookmarkStart w:id="13" w:name="_GoBack"/>
            <w:bookmarkEnd w:id="13"/>
            <w:r>
              <w:rPr>
                <w:color w:val="auto"/>
              </w:rPr>
              <w:t>目行业类别</w:t>
            </w:r>
          </w:p>
        </w:tc>
        <w:tc>
          <w:tcPr>
            <w:tcW w:w="3243" w:type="dxa"/>
            <w:gridSpan w:val="2"/>
            <w:tcBorders>
              <w:tl2br w:val="nil"/>
              <w:tr2bl w:val="nil"/>
            </w:tcBorders>
            <w:vAlign w:val="center"/>
          </w:tcPr>
          <w:p>
            <w:pPr>
              <w:widowControl/>
              <w:jc w:val="center"/>
              <w:rPr>
                <w:color w:val="auto"/>
              </w:rPr>
            </w:pPr>
            <w:r>
              <w:rPr>
                <w:color w:val="auto"/>
              </w:rPr>
              <w:t>十八、家具制造业21--36、木质家具制造211；竹、藤家具制造 212；金属家具制造213；塑料家具制造214；其他家具制造219”中“其他（仅分割、组装的除外；年用非溶剂型低VOCs含量涂料10吨以下的除外）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建设性质</w:t>
            </w:r>
          </w:p>
        </w:tc>
        <w:tc>
          <w:tcPr>
            <w:tcW w:w="2814" w:type="dxa"/>
            <w:tcBorders>
              <w:tl2br w:val="nil"/>
              <w:tr2bl w:val="nil"/>
            </w:tcBorders>
            <w:vAlign w:val="center"/>
          </w:tcPr>
          <w:p>
            <w:pPr>
              <w:pStyle w:val="25"/>
              <w:spacing w:before="1"/>
              <w:ind w:right="394"/>
              <w:jc w:val="both"/>
              <w:rPr>
                <w:rFonts w:ascii="Times New Roman" w:hAnsi="Times New Roman" w:cs="Times New Roman"/>
                <w:color w:val="auto"/>
              </w:rPr>
            </w:pPr>
            <w:r>
              <w:rPr>
                <w:rFonts w:ascii="Times New Roman" w:hAnsi="Times New Roman" w:cs="Times New Roman"/>
                <w:color w:val="auto"/>
                <w:szCs w:val="21"/>
              </w:rPr>
              <w:t>☑</w:t>
            </w:r>
            <w:r>
              <w:rPr>
                <w:rFonts w:ascii="Times New Roman" w:hAnsi="Times New Roman" w:cs="Times New Roman"/>
                <w:color w:val="auto"/>
              </w:rPr>
              <w:t>新建（迁建）</w:t>
            </w:r>
          </w:p>
          <w:p>
            <w:pPr>
              <w:pStyle w:val="25"/>
              <w:spacing w:before="1"/>
              <w:ind w:right="394"/>
              <w:jc w:val="both"/>
              <w:rPr>
                <w:rFonts w:ascii="Times New Roman" w:hAnsi="Times New Roman" w:cs="Times New Roman"/>
                <w:color w:val="auto"/>
              </w:rPr>
            </w:pPr>
            <w:r>
              <w:rPr>
                <w:rFonts w:hint="eastAsia" w:ascii="Times New Roman" w:hAnsi="Times New Roman" w:cs="Times New Roman"/>
                <w:color w:val="auto"/>
                <w:szCs w:val="21"/>
                <w:lang w:eastAsia="zh-CN"/>
              </w:rPr>
              <w:t>□</w:t>
            </w:r>
            <w:r>
              <w:rPr>
                <w:rFonts w:ascii="Times New Roman" w:hAnsi="Times New Roman" w:cs="Times New Roman"/>
                <w:color w:val="auto"/>
              </w:rPr>
              <w:t>改建</w:t>
            </w:r>
          </w:p>
          <w:p>
            <w:pPr>
              <w:pStyle w:val="25"/>
              <w:spacing w:before="1"/>
              <w:ind w:right="394"/>
              <w:jc w:val="both"/>
              <w:rPr>
                <w:rFonts w:ascii="Times New Roman" w:hAnsi="Times New Roman" w:cs="Times New Roman"/>
                <w:color w:val="auto"/>
              </w:rPr>
            </w:pPr>
            <w:r>
              <w:rPr>
                <w:rFonts w:hint="eastAsia" w:ascii="Times New Roman" w:hAnsi="Times New Roman" w:cs="Times New Roman"/>
                <w:color w:val="auto"/>
                <w:szCs w:val="21"/>
                <w:lang w:eastAsia="zh-CN"/>
              </w:rPr>
              <w:t>□</w:t>
            </w:r>
            <w:r>
              <w:rPr>
                <w:rFonts w:ascii="Times New Roman" w:hAnsi="Times New Roman" w:cs="Times New Roman"/>
                <w:color w:val="auto"/>
              </w:rPr>
              <w:t>扩建</w:t>
            </w:r>
          </w:p>
          <w:p>
            <w:pPr>
              <w:pStyle w:val="25"/>
              <w:spacing w:before="1"/>
              <w:ind w:right="394"/>
              <w:jc w:val="both"/>
              <w:rPr>
                <w:rFonts w:ascii="Times New Roman" w:hAnsi="Times New Roman" w:cs="Times New Roman"/>
                <w:color w:val="auto"/>
              </w:rPr>
            </w:pPr>
            <w:r>
              <w:rPr>
                <w:rFonts w:hint="eastAsia" w:ascii="Times New Roman" w:hAnsi="Times New Roman" w:cs="Times New Roman"/>
                <w:color w:val="auto"/>
                <w:szCs w:val="21"/>
                <w:lang w:eastAsia="zh-CN"/>
              </w:rPr>
              <w:t>□</w:t>
            </w:r>
            <w:r>
              <w:rPr>
                <w:rFonts w:ascii="Times New Roman" w:hAnsi="Times New Roman" w:cs="Times New Roman"/>
                <w:color w:val="auto"/>
              </w:rPr>
              <w:t>技术改造</w:t>
            </w:r>
          </w:p>
        </w:tc>
        <w:tc>
          <w:tcPr>
            <w:tcW w:w="2290" w:type="dxa"/>
            <w:tcBorders>
              <w:tl2br w:val="nil"/>
              <w:tr2bl w:val="nil"/>
            </w:tcBorders>
            <w:vAlign w:val="center"/>
          </w:tcPr>
          <w:p>
            <w:pPr>
              <w:pStyle w:val="25"/>
              <w:spacing w:before="1"/>
              <w:ind w:left="402" w:right="394"/>
              <w:rPr>
                <w:rFonts w:ascii="Times New Roman" w:hAnsi="Times New Roman" w:cs="Times New Roman"/>
                <w:color w:val="auto"/>
              </w:rPr>
            </w:pPr>
            <w:r>
              <w:rPr>
                <w:rFonts w:ascii="Times New Roman" w:hAnsi="Times New Roman" w:cs="Times New Roman"/>
                <w:color w:val="auto"/>
              </w:rPr>
              <w:t>建设项目申报情形</w:t>
            </w:r>
          </w:p>
        </w:tc>
        <w:tc>
          <w:tcPr>
            <w:tcW w:w="3243" w:type="dxa"/>
            <w:gridSpan w:val="2"/>
            <w:tcBorders>
              <w:tl2br w:val="nil"/>
              <w:tr2bl w:val="nil"/>
            </w:tcBorders>
            <w:vAlign w:val="center"/>
          </w:tcPr>
          <w:p>
            <w:pPr>
              <w:pStyle w:val="25"/>
              <w:jc w:val="both"/>
              <w:rPr>
                <w:rFonts w:ascii="Times New Roman" w:hAnsi="Times New Roman" w:cs="Times New Roman"/>
                <w:color w:val="auto"/>
              </w:rPr>
            </w:pPr>
            <w:r>
              <w:rPr>
                <w:rFonts w:ascii="Times New Roman" w:hAnsi="Times New Roman" w:cs="Times New Roman"/>
                <w:color w:val="auto"/>
                <w:szCs w:val="21"/>
              </w:rPr>
              <w:t>☑</w:t>
            </w:r>
            <w:r>
              <w:rPr>
                <w:rFonts w:ascii="Times New Roman" w:hAnsi="Times New Roman" w:cs="Times New Roman"/>
                <w:color w:val="auto"/>
              </w:rPr>
              <w:t>首次申报项目</w:t>
            </w:r>
          </w:p>
          <w:p>
            <w:pPr>
              <w:pStyle w:val="25"/>
              <w:jc w:val="both"/>
              <w:rPr>
                <w:rFonts w:ascii="Times New Roman" w:hAnsi="Times New Roman" w:cs="Times New Roman"/>
                <w:color w:val="auto"/>
              </w:rPr>
            </w:pPr>
            <w:r>
              <w:rPr>
                <w:rFonts w:hint="eastAsia" w:ascii="Times New Roman" w:hAnsi="Times New Roman" w:cs="Times New Roman"/>
                <w:color w:val="auto"/>
                <w:szCs w:val="21"/>
                <w:lang w:eastAsia="zh-CN"/>
              </w:rPr>
              <w:t>□</w:t>
            </w:r>
            <w:r>
              <w:rPr>
                <w:rFonts w:ascii="Times New Roman" w:hAnsi="Times New Roman" w:cs="Times New Roman"/>
                <w:color w:val="auto"/>
              </w:rPr>
              <w:t>不予批准后再次申报项目</w:t>
            </w:r>
          </w:p>
          <w:p>
            <w:pPr>
              <w:pStyle w:val="25"/>
              <w:jc w:val="both"/>
              <w:rPr>
                <w:rFonts w:ascii="Times New Roman" w:hAnsi="Times New Roman" w:cs="Times New Roman"/>
                <w:color w:val="auto"/>
              </w:rPr>
            </w:pPr>
            <w:r>
              <w:rPr>
                <w:rFonts w:hint="eastAsia" w:ascii="Times New Roman" w:hAnsi="Times New Roman" w:cs="Times New Roman"/>
                <w:color w:val="auto"/>
                <w:szCs w:val="21"/>
                <w:lang w:eastAsia="zh-CN"/>
              </w:rPr>
              <w:t>□</w:t>
            </w:r>
            <w:r>
              <w:rPr>
                <w:rFonts w:ascii="Times New Roman" w:hAnsi="Times New Roman" w:cs="Times New Roman"/>
                <w:color w:val="auto"/>
              </w:rPr>
              <w:t>超五年重新审核项目</w:t>
            </w:r>
          </w:p>
          <w:p>
            <w:pPr>
              <w:pStyle w:val="25"/>
              <w:jc w:val="both"/>
              <w:rPr>
                <w:rFonts w:ascii="Times New Roman" w:hAnsi="Times New Roman" w:cs="Times New Roman"/>
                <w:color w:val="auto"/>
              </w:rPr>
            </w:pPr>
            <w:r>
              <w:rPr>
                <w:rFonts w:hint="eastAsia" w:ascii="Times New Roman" w:hAnsi="Times New Roman" w:cs="Times New Roman"/>
                <w:color w:val="auto"/>
                <w:szCs w:val="21"/>
                <w:lang w:eastAsia="zh-CN"/>
              </w:rPr>
              <w:t>□</w:t>
            </w:r>
            <w:r>
              <w:rPr>
                <w:rFonts w:ascii="Times New Roman" w:hAnsi="Times New Roman" w:cs="Times New Roman"/>
                <w:color w:val="auto"/>
              </w:rPr>
              <w:t>重大变动重新报批项目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项目审批（核准/备案）部门（选填）</w:t>
            </w:r>
          </w:p>
        </w:tc>
        <w:tc>
          <w:tcPr>
            <w:tcW w:w="2814" w:type="dxa"/>
            <w:tcBorders>
              <w:tl2br w:val="nil"/>
              <w:tr2bl w:val="nil"/>
            </w:tcBorders>
            <w:vAlign w:val="center"/>
          </w:tcPr>
          <w:p>
            <w:pPr>
              <w:pStyle w:val="25"/>
              <w:rPr>
                <w:rFonts w:ascii="Times New Roman" w:hAnsi="Times New Roman" w:cs="Times New Roman"/>
                <w:color w:val="auto"/>
              </w:rPr>
            </w:pPr>
            <w:r>
              <w:rPr>
                <w:rFonts w:ascii="Times New Roman" w:hAnsi="Times New Roman" w:cs="Times New Roman"/>
                <w:color w:val="auto"/>
                <w:lang w:val="en-US"/>
              </w:rPr>
              <w:t>清丰县先进制造业开发区</w:t>
            </w:r>
          </w:p>
        </w:tc>
        <w:tc>
          <w:tcPr>
            <w:tcW w:w="2290" w:type="dxa"/>
            <w:tcBorders>
              <w:tl2br w:val="nil"/>
              <w:tr2bl w:val="nil"/>
            </w:tcBorders>
            <w:vAlign w:val="center"/>
          </w:tcPr>
          <w:p>
            <w:pPr>
              <w:jc w:val="center"/>
              <w:rPr>
                <w:color w:val="auto"/>
              </w:rPr>
            </w:pPr>
            <w:r>
              <w:rPr>
                <w:color w:val="auto"/>
              </w:rPr>
              <w:t>项目审批（核准/备案）文号（选填）</w:t>
            </w:r>
          </w:p>
        </w:tc>
        <w:tc>
          <w:tcPr>
            <w:tcW w:w="3243" w:type="dxa"/>
            <w:gridSpan w:val="2"/>
            <w:tcBorders>
              <w:tl2br w:val="nil"/>
              <w:tr2bl w:val="nil"/>
            </w:tcBorders>
            <w:vAlign w:val="center"/>
          </w:tcPr>
          <w:p>
            <w:pPr>
              <w:jc w:val="center"/>
              <w:rPr>
                <w:color w:val="auto"/>
              </w:rPr>
            </w:pPr>
            <w:r>
              <w:rPr>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总投资（万元）</w:t>
            </w:r>
          </w:p>
        </w:tc>
        <w:tc>
          <w:tcPr>
            <w:tcW w:w="2814" w:type="dxa"/>
            <w:tcBorders>
              <w:tl2br w:val="nil"/>
              <w:tr2bl w:val="nil"/>
            </w:tcBorders>
            <w:vAlign w:val="center"/>
          </w:tcPr>
          <w:p>
            <w:pPr>
              <w:pStyle w:val="25"/>
              <w:spacing w:line="360" w:lineRule="auto"/>
              <w:rPr>
                <w:rFonts w:ascii="Times New Roman" w:hAnsi="Times New Roman" w:cs="Times New Roman"/>
                <w:color w:val="auto"/>
                <w:lang w:val="en-US"/>
              </w:rPr>
            </w:pPr>
            <w:r>
              <w:rPr>
                <w:rFonts w:ascii="Times New Roman" w:hAnsi="Times New Roman" w:cs="Times New Roman"/>
                <w:color w:val="auto"/>
                <w:shd w:val="clear"/>
                <w:lang w:val="en-US"/>
              </w:rPr>
              <w:t>1000</w:t>
            </w:r>
          </w:p>
        </w:tc>
        <w:tc>
          <w:tcPr>
            <w:tcW w:w="2290" w:type="dxa"/>
            <w:tcBorders>
              <w:tl2br w:val="nil"/>
              <w:tr2bl w:val="nil"/>
            </w:tcBorders>
            <w:vAlign w:val="center"/>
          </w:tcPr>
          <w:p>
            <w:pPr>
              <w:spacing w:line="360" w:lineRule="auto"/>
              <w:jc w:val="center"/>
              <w:rPr>
                <w:color w:val="auto"/>
              </w:rPr>
            </w:pPr>
            <w:r>
              <w:rPr>
                <w:color w:val="auto"/>
              </w:rPr>
              <w:t>环保投资（万元）</w:t>
            </w:r>
          </w:p>
        </w:tc>
        <w:tc>
          <w:tcPr>
            <w:tcW w:w="3243" w:type="dxa"/>
            <w:gridSpan w:val="2"/>
            <w:tcBorders>
              <w:tl2br w:val="nil"/>
              <w:tr2bl w:val="nil"/>
            </w:tcBorders>
            <w:vAlign w:val="center"/>
          </w:tcPr>
          <w:p>
            <w:pPr>
              <w:pStyle w:val="25"/>
              <w:spacing w:line="360" w:lineRule="auto"/>
              <w:rPr>
                <w:rFonts w:hint="default" w:ascii="Times New Roman" w:hAnsi="Times New Roman" w:eastAsia="宋体" w:cs="Times New Roman"/>
                <w:color w:val="auto"/>
                <w:lang w:val="en-US" w:eastAsia="zh-CN"/>
              </w:rPr>
            </w:pPr>
            <w:r>
              <w:rPr>
                <w:rFonts w:hint="eastAsia" w:ascii="Times New Roman" w:hAnsi="Times New Roman" w:cs="Times New Roman"/>
                <w:color w:val="auto"/>
                <w:shd w:val="clear"/>
                <w:lang w:val="en-US" w:eastAsia="zh-CN"/>
              </w:rPr>
              <w:t>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环保投资占比（%）</w:t>
            </w:r>
          </w:p>
        </w:tc>
        <w:tc>
          <w:tcPr>
            <w:tcW w:w="2814" w:type="dxa"/>
            <w:tcBorders>
              <w:tl2br w:val="nil"/>
              <w:tr2bl w:val="nil"/>
            </w:tcBorders>
            <w:vAlign w:val="center"/>
          </w:tcPr>
          <w:p>
            <w:pPr>
              <w:pStyle w:val="25"/>
              <w:spacing w:line="360" w:lineRule="auto"/>
              <w:rPr>
                <w:rFonts w:ascii="Times New Roman" w:hAnsi="Times New Roman" w:cs="Times New Roman"/>
                <w:color w:val="auto"/>
              </w:rPr>
            </w:pPr>
            <w:r>
              <w:rPr>
                <w:rFonts w:hint="eastAsia" w:ascii="Times New Roman" w:hAnsi="Times New Roman" w:cs="Times New Roman"/>
                <w:color w:val="auto"/>
                <w:shd w:val="clear"/>
                <w:lang w:val="en-US" w:eastAsia="zh-CN"/>
              </w:rPr>
              <w:t>5.5</w:t>
            </w:r>
            <w:r>
              <w:rPr>
                <w:rFonts w:ascii="Times New Roman" w:hAnsi="Times New Roman" w:cs="Times New Roman"/>
                <w:color w:val="auto"/>
                <w:shd w:val="clear"/>
              </w:rPr>
              <w:t>%</w:t>
            </w:r>
          </w:p>
        </w:tc>
        <w:tc>
          <w:tcPr>
            <w:tcW w:w="2290" w:type="dxa"/>
            <w:tcBorders>
              <w:tl2br w:val="nil"/>
              <w:tr2bl w:val="nil"/>
            </w:tcBorders>
            <w:vAlign w:val="center"/>
          </w:tcPr>
          <w:p>
            <w:pPr>
              <w:spacing w:line="360" w:lineRule="auto"/>
              <w:jc w:val="center"/>
              <w:rPr>
                <w:color w:val="auto"/>
              </w:rPr>
            </w:pPr>
            <w:r>
              <w:rPr>
                <w:color w:val="auto"/>
              </w:rPr>
              <w:t>施工工期</w:t>
            </w:r>
          </w:p>
        </w:tc>
        <w:tc>
          <w:tcPr>
            <w:tcW w:w="3243" w:type="dxa"/>
            <w:gridSpan w:val="2"/>
            <w:tcBorders>
              <w:tl2br w:val="nil"/>
              <w:tr2bl w:val="nil"/>
            </w:tcBorders>
            <w:vAlign w:val="center"/>
          </w:tcPr>
          <w:p>
            <w:pPr>
              <w:pStyle w:val="25"/>
              <w:spacing w:line="360" w:lineRule="auto"/>
              <w:rPr>
                <w:rFonts w:ascii="Times New Roman" w:hAnsi="Times New Roman" w:cs="Times New Roman"/>
                <w:color w:val="auto"/>
                <w:lang w:val="en-US"/>
              </w:rPr>
            </w:pPr>
            <w:r>
              <w:rPr>
                <w:rFonts w:ascii="Times New Roman" w:hAnsi="Times New Roman" w:cs="Times New Roman"/>
                <w:color w:val="auto"/>
                <w:lang w:val="en-US"/>
              </w:rPr>
              <w:t>3个月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778" w:type="dxa"/>
            <w:gridSpan w:val="2"/>
            <w:tcBorders>
              <w:tl2br w:val="nil"/>
              <w:tr2bl w:val="nil"/>
            </w:tcBorders>
            <w:vAlign w:val="center"/>
          </w:tcPr>
          <w:p>
            <w:pPr>
              <w:jc w:val="center"/>
              <w:rPr>
                <w:color w:val="auto"/>
              </w:rPr>
            </w:pPr>
            <w:r>
              <w:rPr>
                <w:color w:val="auto"/>
              </w:rPr>
              <w:t>是否开工建设</w:t>
            </w:r>
          </w:p>
        </w:tc>
        <w:tc>
          <w:tcPr>
            <w:tcW w:w="2814" w:type="dxa"/>
            <w:tcBorders>
              <w:tl2br w:val="nil"/>
              <w:tr2bl w:val="nil"/>
            </w:tcBorders>
            <w:vAlign w:val="center"/>
          </w:tcPr>
          <w:p>
            <w:pPr>
              <w:pStyle w:val="25"/>
              <w:rPr>
                <w:rFonts w:ascii="Times New Roman" w:hAnsi="Times New Roman" w:cs="Times New Roman"/>
                <w:color w:val="auto"/>
              </w:rPr>
            </w:pPr>
            <w:r>
              <w:rPr>
                <w:rFonts w:ascii="Times New Roman" w:hAnsi="Times New Roman" w:cs="Times New Roman"/>
                <w:color w:val="auto"/>
                <w:szCs w:val="21"/>
              </w:rPr>
              <w:t>☑</w:t>
            </w:r>
            <w:r>
              <w:rPr>
                <w:rFonts w:ascii="Times New Roman" w:hAnsi="Times New Roman" w:cs="Times New Roman"/>
                <w:color w:val="auto"/>
              </w:rPr>
              <w:t>否</w:t>
            </w:r>
          </w:p>
          <w:p>
            <w:pPr>
              <w:pStyle w:val="25"/>
              <w:rPr>
                <w:rFonts w:ascii="Times New Roman" w:hAnsi="Times New Roman" w:cs="Times New Roman"/>
                <w:color w:val="auto"/>
              </w:rPr>
            </w:pPr>
            <w:r>
              <w:rPr>
                <w:rFonts w:hint="eastAsia" w:ascii="Times New Roman" w:hAnsi="Times New Roman" w:cs="Times New Roman"/>
                <w:color w:val="auto"/>
                <w:szCs w:val="21"/>
                <w:lang w:eastAsia="zh-CN"/>
              </w:rPr>
              <w:t>□</w:t>
            </w:r>
            <w:r>
              <w:rPr>
                <w:rFonts w:ascii="Times New Roman" w:hAnsi="Times New Roman" w:cs="Times New Roman"/>
                <w:color w:val="auto"/>
              </w:rPr>
              <w:t>是</w:t>
            </w:r>
          </w:p>
        </w:tc>
        <w:tc>
          <w:tcPr>
            <w:tcW w:w="2290" w:type="dxa"/>
            <w:tcBorders>
              <w:tl2br w:val="nil"/>
              <w:tr2bl w:val="nil"/>
            </w:tcBorders>
            <w:vAlign w:val="center"/>
          </w:tcPr>
          <w:p>
            <w:pPr>
              <w:jc w:val="center"/>
              <w:rPr>
                <w:color w:val="auto"/>
              </w:rPr>
            </w:pPr>
            <w:r>
              <w:rPr>
                <w:color w:val="auto"/>
              </w:rPr>
              <w:t>用地（用海）面积（m</w:t>
            </w:r>
            <w:r>
              <w:rPr>
                <w:color w:val="auto"/>
                <w:vertAlign w:val="superscript"/>
              </w:rPr>
              <w:t>2</w:t>
            </w:r>
            <w:r>
              <w:rPr>
                <w:color w:val="auto"/>
              </w:rPr>
              <w:t>）</w:t>
            </w:r>
          </w:p>
        </w:tc>
        <w:tc>
          <w:tcPr>
            <w:tcW w:w="3243" w:type="dxa"/>
            <w:gridSpan w:val="2"/>
            <w:tcBorders>
              <w:tl2br w:val="nil"/>
              <w:tr2bl w:val="nil"/>
            </w:tcBorders>
            <w:vAlign w:val="center"/>
          </w:tcPr>
          <w:p>
            <w:pPr>
              <w:pStyle w:val="25"/>
              <w:rPr>
                <w:rFonts w:ascii="Times New Roman" w:hAnsi="Times New Roman" w:cs="Times New Roman"/>
                <w:color w:val="auto"/>
                <w:lang w:val="en-US"/>
              </w:rPr>
            </w:pPr>
            <w:r>
              <w:rPr>
                <w:rFonts w:hint="eastAsia" w:ascii="Times New Roman" w:hAnsi="Times New Roman" w:cs="Times New Roman"/>
                <w:color w:val="auto"/>
                <w:lang w:val="en-US" w:eastAsia="zh-CN"/>
              </w:rPr>
              <w:t>98</w:t>
            </w:r>
            <w:r>
              <w:rPr>
                <w:rFonts w:ascii="Times New Roman" w:hAnsi="Times New Roman" w:cs="Times New Roman"/>
                <w:color w:val="auto"/>
                <w:lang w:val="en-US"/>
              </w:rPr>
              <w:t>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jc w:val="center"/>
        </w:trPr>
        <w:tc>
          <w:tcPr>
            <w:tcW w:w="1778" w:type="dxa"/>
            <w:gridSpan w:val="2"/>
            <w:tcBorders>
              <w:tl2br w:val="nil"/>
              <w:tr2bl w:val="nil"/>
            </w:tcBorders>
            <w:vAlign w:val="center"/>
          </w:tcPr>
          <w:p>
            <w:pPr>
              <w:pStyle w:val="25"/>
              <w:rPr>
                <w:rFonts w:ascii="Times New Roman" w:hAnsi="Times New Roman" w:cs="Times New Roman"/>
                <w:bCs/>
                <w:color w:val="auto"/>
                <w:sz w:val="21"/>
                <w:szCs w:val="21"/>
              </w:rPr>
            </w:pPr>
            <w:r>
              <w:rPr>
                <w:rFonts w:ascii="Times New Roman" w:hAnsi="Times New Roman" w:cs="Times New Roman"/>
                <w:color w:val="auto"/>
                <w:lang w:val="en-US" w:bidi="ar-SA"/>
              </w:rPr>
              <w:t>专项评价设置情况</w:t>
            </w:r>
          </w:p>
        </w:tc>
        <w:tc>
          <w:tcPr>
            <w:tcW w:w="8347" w:type="dxa"/>
            <w:gridSpan w:val="4"/>
            <w:tcBorders>
              <w:tl2br w:val="nil"/>
              <w:tr2bl w:val="nil"/>
            </w:tcBorders>
            <w:vAlign w:val="center"/>
          </w:tcPr>
          <w:p>
            <w:pPr>
              <w:pStyle w:val="25"/>
              <w:rPr>
                <w:rFonts w:ascii="Times New Roman" w:hAnsi="Times New Roman" w:cs="Times New Roman"/>
                <w:bCs/>
                <w:color w:val="auto"/>
                <w:sz w:val="21"/>
                <w:szCs w:val="21"/>
              </w:rPr>
            </w:pPr>
            <w:r>
              <w:rPr>
                <w:rFonts w:ascii="Times New Roman" w:hAnsi="Times New Roman" w:cs="Times New Roman"/>
                <w:color w:val="auto"/>
                <w:lang w:val="en-US"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283" w:hRule="atLeast"/>
          <w:jc w:val="center"/>
        </w:trPr>
        <w:tc>
          <w:tcPr>
            <w:tcW w:w="1778" w:type="dxa"/>
            <w:gridSpan w:val="2"/>
            <w:tcBorders>
              <w:tl2br w:val="nil"/>
              <w:tr2bl w:val="nil"/>
            </w:tcBorders>
            <w:vAlign w:val="center"/>
          </w:tcPr>
          <w:p>
            <w:pPr>
              <w:pStyle w:val="25"/>
              <w:rPr>
                <w:rFonts w:ascii="Times New Roman" w:hAnsi="Times New Roman" w:cs="Times New Roman"/>
                <w:color w:val="auto"/>
                <w:lang w:val="en-US" w:bidi="ar-SA"/>
              </w:rPr>
            </w:pPr>
            <w:r>
              <w:rPr>
                <w:rFonts w:ascii="Times New Roman" w:hAnsi="Times New Roman" w:cs="Times New Roman"/>
                <w:color w:val="auto"/>
                <w:lang w:val="en-US" w:bidi="ar-SA"/>
              </w:rPr>
              <w:t>规划情况</w:t>
            </w:r>
          </w:p>
        </w:tc>
        <w:tc>
          <w:tcPr>
            <w:tcW w:w="8347" w:type="dxa"/>
            <w:gridSpan w:val="4"/>
            <w:tcBorders>
              <w:tl2br w:val="nil"/>
              <w:tr2bl w:val="nil"/>
            </w:tcBorders>
            <w:vAlign w:val="center"/>
          </w:tcPr>
          <w:p>
            <w:pPr>
              <w:widowControl/>
              <w:spacing w:line="360" w:lineRule="auto"/>
              <w:ind w:firstLine="480" w:firstLineChars="200"/>
              <w:jc w:val="left"/>
              <w:rPr>
                <w:color w:val="auto"/>
              </w:rPr>
            </w:pPr>
            <w:r>
              <w:rPr>
                <w:color w:val="auto"/>
              </w:rPr>
              <w:t>规划名称：</w:t>
            </w:r>
            <w:r>
              <w:rPr>
                <w:rFonts w:hint="eastAsia"/>
                <w:b w:val="0"/>
                <w:bCs w:val="0"/>
                <w:color w:val="auto"/>
                <w:u w:val="none"/>
              </w:rPr>
              <w:t>《清丰县先进制造业开发区发展规划（2022-2035）》</w:t>
            </w:r>
          </w:p>
          <w:p>
            <w:pPr>
              <w:widowControl/>
              <w:spacing w:line="360" w:lineRule="auto"/>
              <w:ind w:firstLine="480" w:firstLineChars="200"/>
              <w:jc w:val="left"/>
              <w:rPr>
                <w:rFonts w:hint="eastAsia"/>
                <w:color w:val="auto"/>
                <w:lang w:val="en-US" w:eastAsia="zh-CN"/>
              </w:rPr>
            </w:pPr>
            <w:r>
              <w:rPr>
                <w:rFonts w:hint="eastAsia"/>
                <w:color w:val="auto"/>
                <w:lang w:val="en-US" w:eastAsia="zh-CN"/>
              </w:rPr>
              <w:t>编制单位：河南省城乡规划设计研究总院股份有限公司</w:t>
            </w:r>
          </w:p>
          <w:p>
            <w:pPr>
              <w:widowControl/>
              <w:spacing w:line="360" w:lineRule="auto"/>
              <w:ind w:firstLine="480" w:firstLineChars="200"/>
              <w:jc w:val="left"/>
              <w:rPr>
                <w:color w:val="auto"/>
              </w:rPr>
            </w:pPr>
            <w:r>
              <w:rPr>
                <w:color w:val="auto"/>
              </w:rPr>
              <w:t>审批机关：河南省发展和改革委员会</w:t>
            </w:r>
          </w:p>
          <w:p>
            <w:pPr>
              <w:widowControl/>
              <w:spacing w:line="360" w:lineRule="auto"/>
              <w:ind w:firstLine="480" w:firstLineChars="200"/>
              <w:jc w:val="left"/>
              <w:rPr>
                <w:rFonts w:hint="eastAsia" w:eastAsia="宋体"/>
                <w:color w:va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701" w:hRule="atLeast"/>
          <w:jc w:val="center"/>
        </w:trPr>
        <w:tc>
          <w:tcPr>
            <w:tcW w:w="1382" w:type="dxa"/>
            <w:tcBorders>
              <w:tl2br w:val="nil"/>
              <w:tr2bl w:val="nil"/>
            </w:tcBorders>
            <w:vAlign w:val="center"/>
          </w:tcPr>
          <w:p>
            <w:pPr>
              <w:pStyle w:val="25"/>
              <w:rPr>
                <w:rFonts w:ascii="Times New Roman" w:hAnsi="Times New Roman" w:cs="Times New Roman"/>
                <w:color w:val="auto"/>
                <w:lang w:val="en-US" w:bidi="ar-SA"/>
              </w:rPr>
            </w:pPr>
            <w:r>
              <w:rPr>
                <w:rFonts w:ascii="Times New Roman" w:hAnsi="Times New Roman" w:cs="Times New Roman"/>
                <w:color w:val="auto"/>
                <w:lang w:val="en-US" w:bidi="ar-SA"/>
              </w:rPr>
              <w:t>规划环境影响评价情况</w:t>
            </w:r>
          </w:p>
        </w:tc>
        <w:tc>
          <w:tcPr>
            <w:tcW w:w="8743" w:type="dxa"/>
            <w:gridSpan w:val="5"/>
            <w:tcBorders>
              <w:tl2br w:val="nil"/>
              <w:tr2bl w:val="nil"/>
            </w:tcBorders>
            <w:vAlign w:val="center"/>
          </w:tcPr>
          <w:p>
            <w:pPr>
              <w:widowControl/>
              <w:spacing w:line="360" w:lineRule="auto"/>
              <w:ind w:firstLine="480" w:firstLineChars="200"/>
              <w:jc w:val="left"/>
              <w:rPr>
                <w:rFonts w:hint="eastAsia"/>
                <w:color w:val="auto"/>
              </w:rPr>
            </w:pPr>
            <w:r>
              <w:rPr>
                <w:rFonts w:hint="eastAsia"/>
                <w:color w:val="auto"/>
              </w:rPr>
              <w:t>环境影响评价文件名称：《清丰县先进制造业开发区发展规划（2022-2035）环境影响报告书》</w:t>
            </w:r>
          </w:p>
          <w:p>
            <w:pPr>
              <w:widowControl/>
              <w:spacing w:line="360" w:lineRule="auto"/>
              <w:ind w:firstLine="480" w:firstLineChars="200"/>
              <w:jc w:val="left"/>
              <w:rPr>
                <w:rFonts w:hint="eastAsia"/>
                <w:color w:val="auto"/>
              </w:rPr>
            </w:pPr>
            <w:r>
              <w:rPr>
                <w:rFonts w:hint="eastAsia"/>
                <w:color w:val="auto"/>
              </w:rPr>
              <w:t>审查机关：濮阳市生态环境局</w:t>
            </w:r>
          </w:p>
          <w:p>
            <w:pPr>
              <w:widowControl/>
              <w:spacing w:line="360" w:lineRule="auto"/>
              <w:ind w:firstLine="480" w:firstLineChars="200"/>
              <w:jc w:val="left"/>
              <w:rPr>
                <w:color w:val="auto"/>
              </w:rPr>
            </w:pPr>
            <w:r>
              <w:rPr>
                <w:rFonts w:hint="eastAsia"/>
                <w:color w:val="auto"/>
              </w:rPr>
              <w:t>批复文号：濮环审〔2025〕2号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1382" w:type="dxa"/>
            <w:tcBorders>
              <w:tl2br w:val="nil"/>
              <w:tr2bl w:val="nil"/>
            </w:tcBorders>
            <w:vAlign w:val="center"/>
          </w:tcPr>
          <w:p>
            <w:pPr>
              <w:pStyle w:val="25"/>
              <w:rPr>
                <w:rFonts w:ascii="Times New Roman" w:hAnsi="Times New Roman" w:cs="Times New Roman"/>
                <w:color w:val="auto"/>
                <w:lang w:val="en-US" w:bidi="ar-SA"/>
              </w:rPr>
            </w:pPr>
            <w:r>
              <w:rPr>
                <w:rFonts w:ascii="Times New Roman" w:hAnsi="Times New Roman" w:cs="Times New Roman"/>
                <w:color w:val="auto"/>
                <w:lang w:val="en-US" w:bidi="ar-SA"/>
              </w:rPr>
              <w:t>规划及规划环境影响评价符合性分析</w:t>
            </w:r>
          </w:p>
        </w:tc>
        <w:tc>
          <w:tcPr>
            <w:tcW w:w="8743" w:type="dxa"/>
            <w:gridSpan w:val="5"/>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2" w:firstLineChars="200"/>
              <w:jc w:val="both"/>
              <w:textAlignment w:val="auto"/>
              <w:rPr>
                <w:rFonts w:hint="eastAsia" w:cs="Times New Roman"/>
                <w:color w:val="auto"/>
                <w:kern w:val="0"/>
                <w:sz w:val="24"/>
                <w:szCs w:val="24"/>
                <w:highlight w:val="none"/>
                <w:lang w:val="en-US" w:eastAsia="zh-CN"/>
              </w:rPr>
            </w:pPr>
            <w:r>
              <w:rPr>
                <w:rFonts w:hint="eastAsia" w:cs="Times New Roman"/>
                <w:b/>
                <w:bCs/>
                <w:color w:val="auto"/>
                <w:kern w:val="0"/>
                <w:sz w:val="24"/>
                <w:szCs w:val="24"/>
                <w:highlight w:val="none"/>
                <w:lang w:val="en-US" w:eastAsia="zh-CN"/>
              </w:rPr>
              <w:t>1、《清丰县先进制造业开发区发展规划》（2022-2035）相符性分析</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近年来集聚区得到了较快发展，目前上轮规划《清丰县产业集聚区发展规划（2013-2020）》实施年限已满，随着社会经济高质量发展进程的推进，各项建设与基础设施不断完善，城乡面貌正在发生着较为明显的变化，上版规划也体现出一定的局限性。按照《中共河南省委河南省人民政府关于推动河南省开发区高质量发展的指导意见》（豫发〔2021〕21号）等工作部署和要求，清丰县开发区管委会委托河南省城市规划设计研究总院有限公司编制了《清丰县先进制造业开发区发展规划（2022-2035年）》规划内容如下：</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（1）规划范围</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清丰县先进制造业开发区共分为三个片区，分别为城区综合制造产业园、马庄桥商贸物流产业园和六塔工业园，总规划面积为24.75平方公里。</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城区综合制造产业园前身为清丰县产业集聚区，规划面积为17.93平方公里，东至龙乡路、北至潴泷河、西至晓月路、南至柳格大道；</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马庄桥商贸物流园分成东西两个区域，总规划面积4.06平方公里，位于城镇开发边界内用地面积为3.14平方公里。</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六塔工业园位于六塔乡东南部，西接濮阳市华龙区、东邻范县，南靠濮阳县，是一区三县的交汇处，规划总用地面积2.76平方公里。</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本项目位于城区综合制造产业园东南侧，在规划范围内。</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（2）规划年限</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规划期限为2022-2035年，其中近期到2022年，远期到2035年。</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（3）主导产业</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以家居制造及贸易、食品加工及贸易、节能环保为主导产业，相关配套产业为辅助产业。</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4）发展定位：开发区是先进产业集中区、改革创新试验区、现代化城市功能区和科学发展示范区，是优化经济结构、转变发展方式、实现节约集约发展的基础工程，是我省推动工业化、城镇化快速发展和对外开放的重要平台。“十四五”时期，围绕“三主”战略定位，把握发展趋势、发挥特色优势，结合开发区实际，立足清丰县、濮阳市、辐射豫鲁冀省际交汇区域，引导先进制造业向开发区集聚发展，将开发区努力打造成为：建成中国中部地区绿色家居基地；建成豫北地区重要的特色食品加工新高地；建设濮阳市现代化产业体系发展示范区；建设低碳绿色发展的生态强区。</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2" w:firstLineChars="200"/>
              <w:jc w:val="both"/>
              <w:textAlignment w:val="auto"/>
              <w:rPr>
                <w:rFonts w:hint="eastAsia" w:ascii="Times New Roman" w:hAnsi="Times New Roman" w:eastAsia="宋体" w:cs="Times New Roman"/>
                <w:b/>
                <w:bCs/>
                <w:color w:val="auto"/>
                <w:kern w:val="0"/>
                <w:sz w:val="24"/>
                <w:szCs w:val="24"/>
                <w:highlight w:val="none"/>
                <w:u w:val="single"/>
                <w:lang w:val="en-US" w:eastAsia="zh-CN"/>
              </w:rPr>
            </w:pPr>
            <w:r>
              <w:rPr>
                <w:rFonts w:hint="eastAsia" w:ascii="Times New Roman" w:hAnsi="Times New Roman" w:eastAsia="宋体" w:cs="Times New Roman"/>
                <w:b/>
                <w:bCs/>
                <w:color w:val="auto"/>
                <w:kern w:val="0"/>
                <w:sz w:val="24"/>
                <w:szCs w:val="24"/>
                <w:highlight w:val="none"/>
                <w:u w:val="single"/>
                <w:lang w:val="en-US" w:eastAsia="zh-CN"/>
              </w:rPr>
              <w:t>（5）产业布局</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2" w:firstLineChars="200"/>
              <w:jc w:val="both"/>
              <w:textAlignment w:val="auto"/>
              <w:rPr>
                <w:rFonts w:hint="eastAsia" w:ascii="Times New Roman" w:hAnsi="Times New Roman" w:eastAsia="宋体" w:cs="Times New Roman"/>
                <w:b/>
                <w:bCs/>
                <w:color w:val="auto"/>
                <w:kern w:val="0"/>
                <w:sz w:val="24"/>
                <w:szCs w:val="24"/>
                <w:highlight w:val="none"/>
                <w:u w:val="single"/>
                <w:lang w:val="en-US" w:eastAsia="zh-CN"/>
              </w:rPr>
            </w:pPr>
            <w:r>
              <w:rPr>
                <w:rFonts w:hint="eastAsia" w:ascii="Times New Roman" w:hAnsi="Times New Roman" w:eastAsia="宋体" w:cs="Times New Roman"/>
                <w:b/>
                <w:bCs/>
                <w:color w:val="auto"/>
                <w:kern w:val="0"/>
                <w:sz w:val="24"/>
                <w:szCs w:val="24"/>
                <w:highlight w:val="none"/>
                <w:u w:val="single"/>
                <w:lang w:val="en-US" w:eastAsia="zh-CN"/>
              </w:rPr>
              <w:t>1）空间布局</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2" w:firstLineChars="200"/>
              <w:jc w:val="both"/>
              <w:textAlignment w:val="auto"/>
              <w:rPr>
                <w:rFonts w:hint="eastAsia" w:ascii="Times New Roman" w:hAnsi="Times New Roman" w:eastAsia="宋体" w:cs="Times New Roman"/>
                <w:b/>
                <w:bCs/>
                <w:color w:val="auto"/>
                <w:kern w:val="0"/>
                <w:sz w:val="24"/>
                <w:szCs w:val="24"/>
                <w:highlight w:val="none"/>
                <w:u w:val="single"/>
                <w:lang w:val="en-US" w:eastAsia="zh-CN"/>
              </w:rPr>
            </w:pPr>
            <w:r>
              <w:rPr>
                <w:rFonts w:hint="eastAsia" w:ascii="Times New Roman" w:hAnsi="Times New Roman" w:eastAsia="宋体" w:cs="Times New Roman"/>
                <w:b/>
                <w:bCs/>
                <w:color w:val="auto"/>
                <w:kern w:val="0"/>
                <w:sz w:val="24"/>
                <w:szCs w:val="24"/>
                <w:highlight w:val="none"/>
                <w:u w:val="single"/>
                <w:lang w:val="en-US" w:eastAsia="zh-CN"/>
              </w:rPr>
              <w:t>城区综合制造产业园为原清丰县产业集聚区，重点推动绿色家具及贸易、食品加工及贸易、节能环保三大产业提质增效；</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2" w:firstLineChars="200"/>
              <w:jc w:val="both"/>
              <w:textAlignment w:val="auto"/>
              <w:rPr>
                <w:rFonts w:hint="eastAsia" w:ascii="Times New Roman" w:hAnsi="Times New Roman" w:eastAsia="宋体" w:cs="Times New Roman"/>
                <w:b/>
                <w:bCs/>
                <w:color w:val="auto"/>
                <w:kern w:val="0"/>
                <w:sz w:val="24"/>
                <w:szCs w:val="24"/>
                <w:highlight w:val="none"/>
                <w:u w:val="single"/>
                <w:lang w:val="en-US" w:eastAsia="zh-CN"/>
              </w:rPr>
            </w:pPr>
            <w:r>
              <w:rPr>
                <w:rFonts w:hint="eastAsia" w:ascii="Times New Roman" w:hAnsi="Times New Roman" w:eastAsia="宋体" w:cs="Times New Roman"/>
                <w:b/>
                <w:bCs/>
                <w:color w:val="auto"/>
                <w:kern w:val="0"/>
                <w:sz w:val="24"/>
                <w:szCs w:val="24"/>
                <w:highlight w:val="none"/>
                <w:u w:val="single"/>
                <w:lang w:val="en-US" w:eastAsia="zh-CN"/>
              </w:rPr>
              <w:t>马庄桥现代商贸物流园重点发展农副产品物流、家具物流、电商物流、中央厨房、总部经济等生产性服务业，打造冀鲁豫三省省际物流中心；</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2" w:firstLineChars="200"/>
              <w:jc w:val="both"/>
              <w:textAlignment w:val="auto"/>
              <w:rPr>
                <w:rFonts w:hint="eastAsia" w:ascii="Times New Roman" w:hAnsi="Times New Roman" w:eastAsia="宋体" w:cs="Times New Roman"/>
                <w:b/>
                <w:bCs/>
                <w:color w:val="auto"/>
                <w:kern w:val="0"/>
                <w:sz w:val="24"/>
                <w:szCs w:val="24"/>
                <w:highlight w:val="none"/>
                <w:u w:val="single"/>
                <w:lang w:val="en-US" w:eastAsia="zh-CN"/>
              </w:rPr>
            </w:pPr>
            <w:r>
              <w:rPr>
                <w:rFonts w:hint="eastAsia" w:ascii="Times New Roman" w:hAnsi="Times New Roman" w:eastAsia="宋体" w:cs="Times New Roman"/>
                <w:b/>
                <w:bCs/>
                <w:color w:val="auto"/>
                <w:kern w:val="0"/>
                <w:sz w:val="24"/>
                <w:szCs w:val="24"/>
                <w:highlight w:val="none"/>
                <w:u w:val="single"/>
                <w:lang w:val="en-US" w:eastAsia="zh-CN"/>
              </w:rPr>
              <w:t>六塔工业园重点发展节能环保、生物发酵、轻工、新能源等新兴产业，培育新的经济增长点。</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2" w:firstLineChars="200"/>
              <w:jc w:val="both"/>
              <w:textAlignment w:val="auto"/>
              <w:rPr>
                <w:rFonts w:hint="eastAsia" w:ascii="Times New Roman" w:hAnsi="Times New Roman" w:eastAsia="宋体" w:cs="Times New Roman"/>
                <w:b/>
                <w:bCs/>
                <w:color w:val="auto"/>
                <w:kern w:val="0"/>
                <w:sz w:val="24"/>
                <w:szCs w:val="24"/>
                <w:highlight w:val="none"/>
                <w:u w:val="single"/>
                <w:lang w:val="en-US" w:eastAsia="zh-CN"/>
              </w:rPr>
            </w:pPr>
            <w:r>
              <w:rPr>
                <w:rFonts w:hint="eastAsia" w:ascii="Times New Roman" w:hAnsi="Times New Roman" w:eastAsia="宋体" w:cs="Times New Roman"/>
                <w:b/>
                <w:bCs/>
                <w:color w:val="auto"/>
                <w:kern w:val="0"/>
                <w:sz w:val="24"/>
                <w:szCs w:val="24"/>
                <w:highlight w:val="none"/>
                <w:u w:val="single"/>
                <w:lang w:val="en-US" w:eastAsia="zh-CN"/>
              </w:rPr>
              <w:t>2）产业优化布局</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2" w:firstLineChars="200"/>
              <w:jc w:val="both"/>
              <w:textAlignment w:val="auto"/>
              <w:rPr>
                <w:rFonts w:hint="eastAsia" w:ascii="Times New Roman" w:hAnsi="Times New Roman" w:eastAsia="宋体" w:cs="Times New Roman"/>
                <w:b/>
                <w:bCs/>
                <w:color w:val="auto"/>
                <w:kern w:val="0"/>
                <w:sz w:val="24"/>
                <w:szCs w:val="24"/>
                <w:highlight w:val="none"/>
                <w:u w:val="single"/>
                <w:lang w:val="en-US" w:eastAsia="zh-CN"/>
              </w:rPr>
            </w:pPr>
            <w:r>
              <w:rPr>
                <w:rFonts w:hint="eastAsia" w:ascii="Times New Roman" w:hAnsi="Times New Roman" w:eastAsia="宋体" w:cs="Times New Roman"/>
                <w:b/>
                <w:bCs/>
                <w:color w:val="auto"/>
                <w:kern w:val="0"/>
                <w:sz w:val="24"/>
                <w:szCs w:val="24"/>
                <w:highlight w:val="none"/>
                <w:u w:val="single"/>
                <w:lang w:val="en-US" w:eastAsia="zh-CN"/>
              </w:rPr>
              <w:t>在开发区土地空间资源较为有限的情况下，必须坚持集聚节约发展的原则，充分发挥服务业发展趋势和开发区产业基础，做优做强家具制造及贸易产业，做特做精食品加工及贸易产业，积极培育节能环保战略新兴产业，大力发展商贸物流生产性服务业，把推动制造业高质量发展作为主攻方向，按照产业禁止和限制目录进一步推动传统制造业有机疏解和低效制造业有序退出，提升产业链供应链现代化水平，构建以先进制造业和现代服务业融合发展为支撑的现代特色产业体系。</w:t>
            </w:r>
          </w:p>
          <w:p>
            <w:pPr>
              <w:keepNext w:val="0"/>
              <w:keepLines w:val="0"/>
              <w:pageBreakBefore w:val="0"/>
              <w:widowControl w:val="0"/>
              <w:kinsoku/>
              <w:wordWrap/>
              <w:overflowPunct/>
              <w:topLinePunct w:val="0"/>
              <w:autoSpaceDE w:val="0"/>
              <w:autoSpaceDN w:val="0"/>
              <w:bidi w:val="0"/>
              <w:adjustRightInd w:val="0"/>
              <w:snapToGrid w:val="0"/>
              <w:spacing w:line="520" w:lineRule="atLeast"/>
              <w:ind w:right="0" w:firstLine="482" w:firstLineChars="200"/>
              <w:jc w:val="both"/>
              <w:textAlignment w:val="auto"/>
              <w:rPr>
                <w:rFonts w:hint="eastAsia" w:ascii="Times New Roman" w:hAnsi="Times New Roman" w:eastAsia="宋体" w:cs="Times New Roman"/>
                <w:b/>
                <w:bCs/>
                <w:color w:val="auto"/>
                <w:kern w:val="0"/>
                <w:sz w:val="24"/>
                <w:szCs w:val="24"/>
                <w:highlight w:val="none"/>
                <w:u w:val="single"/>
                <w:lang w:val="en-US" w:eastAsia="zh-CN"/>
              </w:rPr>
            </w:pPr>
            <w:r>
              <w:rPr>
                <w:rFonts w:hint="eastAsia" w:ascii="Times New Roman" w:hAnsi="Times New Roman" w:eastAsia="宋体" w:cs="Times New Roman"/>
                <w:b/>
                <w:bCs/>
                <w:color w:val="auto"/>
                <w:kern w:val="0"/>
                <w:sz w:val="24"/>
                <w:szCs w:val="24"/>
                <w:highlight w:val="none"/>
                <w:u w:val="single"/>
                <w:lang w:val="en-US" w:eastAsia="zh-CN"/>
              </w:rPr>
              <w:t>本项目位于河南省濮阳市清丰县先进制造业开发区东环路东侧、兴园路，属于规划中的城区综合制造产业园，本项目属于木质家具制造C2110，属于城区综合制造产业园相关产业，符合园区产业定位。且根据清丰县先进制造业开发区提供的入驻证明可知本项目入驻符合清丰县先进制造业开发区的规划，不在园区禁止、限制类之列。</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atLeast"/>
              <w:ind w:right="0" w:rightChars="0" w:firstLine="240" w:firstLineChars="1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cs="Times New Roman"/>
                <w:color w:val="auto"/>
                <w:kern w:val="0"/>
                <w:sz w:val="24"/>
                <w:szCs w:val="24"/>
                <w:u w:val="none"/>
                <w:lang w:val="en-US" w:eastAsia="zh-CN" w:bidi="ar-SA"/>
              </w:rPr>
              <w:t>（6）基础设施规划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atLeas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cs="Times New Roman"/>
                <w:color w:val="auto"/>
                <w:kern w:val="0"/>
                <w:sz w:val="24"/>
                <w:szCs w:val="24"/>
                <w:u w:val="none"/>
                <w:lang w:val="en-US" w:eastAsia="zh-CN" w:bidi="ar-SA"/>
              </w:rPr>
              <w:t>①</w:t>
            </w:r>
            <w:r>
              <w:rPr>
                <w:rFonts w:hint="eastAsia" w:ascii="Times New Roman" w:hAnsi="Times New Roman" w:eastAsia="宋体" w:cs="Times New Roman"/>
                <w:color w:val="auto"/>
                <w:kern w:val="0"/>
                <w:sz w:val="24"/>
                <w:szCs w:val="24"/>
                <w:u w:val="none"/>
                <w:lang w:val="en-US" w:eastAsia="zh-CN" w:bidi="ar-SA"/>
              </w:rPr>
              <w:t>给水工程规划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ascii="Times New Roman" w:hAnsi="Times New Roman" w:eastAsia="宋体" w:cs="Times New Roman"/>
                <w:color w:val="auto"/>
                <w:kern w:val="0"/>
                <w:sz w:val="24"/>
                <w:szCs w:val="24"/>
                <w:u w:val="none"/>
                <w:lang w:val="en-US" w:eastAsia="zh-CN" w:bidi="ar-SA"/>
              </w:rPr>
              <w:t>近期城区综合制造产业园供水保持现状水厂供水规模为3.0万吨/日，水源地位于八里庄，水厂供水能力不能满足开发区长远发展的需要，远期提高水厂供水能力达到供水规模为13万吨/日。马庄桥现代商贸物流园供水采用马庄桥水厂，供水规模为3.0万吨/日，六塔工业园供水采用六塔乡供水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cs="Times New Roman"/>
                <w:color w:val="auto"/>
                <w:kern w:val="0"/>
                <w:sz w:val="24"/>
                <w:szCs w:val="24"/>
                <w:u w:val="none"/>
                <w:lang w:val="en-US" w:eastAsia="zh-CN" w:bidi="ar-SA"/>
              </w:rPr>
              <w:t>②</w:t>
            </w:r>
            <w:r>
              <w:rPr>
                <w:rFonts w:hint="eastAsia" w:ascii="Times New Roman" w:hAnsi="Times New Roman" w:eastAsia="宋体" w:cs="Times New Roman"/>
                <w:color w:val="auto"/>
                <w:kern w:val="0"/>
                <w:sz w:val="24"/>
                <w:szCs w:val="24"/>
                <w:u w:val="none"/>
                <w:lang w:val="en-US" w:eastAsia="zh-CN" w:bidi="ar-SA"/>
              </w:rPr>
              <w:t>污水工程规划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ascii="Times New Roman" w:hAnsi="Times New Roman" w:eastAsia="宋体" w:cs="Times New Roman"/>
                <w:color w:val="auto"/>
                <w:kern w:val="0"/>
                <w:sz w:val="24"/>
                <w:szCs w:val="24"/>
                <w:u w:val="none"/>
                <w:lang w:val="en-US" w:eastAsia="zh-CN" w:bidi="ar-SA"/>
              </w:rPr>
              <w:t>规划区北部建有清丰县第二污水处理厂，处理规模2万吨/日，位于开发区北部潴泷河南岸，占地面积为4.0公顷。马庄桥污水处理厂位于镇区东北侧，处理规模为3万吨/日。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ascii="Times New Roman" w:hAnsi="Times New Roman" w:eastAsia="宋体" w:cs="Times New Roman"/>
                <w:color w:val="auto"/>
                <w:kern w:val="0"/>
                <w:sz w:val="24"/>
                <w:szCs w:val="24"/>
                <w:u w:val="none"/>
                <w:lang w:val="en-US" w:eastAsia="zh-CN" w:bidi="ar-SA"/>
              </w:rPr>
              <w:t>考虑到城区综合制造产业园的污水排放至清丰县第二污水处理厂（姚庄污水处理厂）和第三污水处理厂（城东污水处理厂），其处理规模分别为2万吨/日和5万吨/日，马庄桥商贸物流园污水排放至马庄桥镇区西部龙山北污水处理厂，清丰县和义路、晓月南路以东的生活污水处理排入姚庄污水处理厂，处理规模分别为1.5万吨/日，六塔工业园排入园区东南部规划污水处理厂处理，处理规模为6万吨/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cs="Times New Roman"/>
                <w:color w:val="auto"/>
                <w:kern w:val="0"/>
                <w:sz w:val="24"/>
                <w:szCs w:val="24"/>
                <w:u w:val="none"/>
                <w:lang w:val="en-US" w:eastAsia="zh-CN" w:bidi="ar-SA"/>
              </w:rPr>
              <w:t>③</w:t>
            </w:r>
            <w:r>
              <w:rPr>
                <w:rFonts w:hint="eastAsia" w:ascii="Times New Roman" w:hAnsi="Times New Roman" w:eastAsia="宋体" w:cs="Times New Roman"/>
                <w:color w:val="auto"/>
                <w:kern w:val="0"/>
                <w:sz w:val="24"/>
                <w:szCs w:val="24"/>
                <w:u w:val="none"/>
                <w:lang w:val="en-US" w:eastAsia="zh-CN" w:bidi="ar-SA"/>
              </w:rPr>
              <w:t>雨水工程规划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ascii="Times New Roman" w:hAnsi="Times New Roman" w:eastAsia="宋体" w:cs="Times New Roman"/>
                <w:color w:val="auto"/>
                <w:kern w:val="0"/>
                <w:sz w:val="24"/>
                <w:szCs w:val="24"/>
                <w:u w:val="none"/>
                <w:lang w:val="en-US" w:eastAsia="zh-CN" w:bidi="ar-SA"/>
              </w:rPr>
              <w:t>现状雨水管主要集中在人和大道、孟德大道、朝阳路、康王路、文化路、行理路、人民路、安康路、霁云大道、祥业东路、兴业路、创业东路、建设路和东环路。商贸物流园和六塔工业园现状无雨水管。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ascii="Times New Roman" w:hAnsi="Times New Roman" w:eastAsia="宋体" w:cs="Times New Roman"/>
                <w:color w:val="auto"/>
                <w:kern w:val="0"/>
                <w:sz w:val="24"/>
                <w:szCs w:val="24"/>
                <w:u w:val="none"/>
                <w:lang w:val="en-US" w:eastAsia="zh-CN" w:bidi="ar-SA"/>
              </w:rPr>
              <w:t>规划开发区雨水以排入潴泷河为主，规划沿固双路建设排水明渠汇入潴泷河，人民路以南区域直接或通过固双路排水明渠向东排入潴泷河，人民路以北区域向北、向西排入潴泷河。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ascii="Times New Roman" w:hAnsi="Times New Roman" w:eastAsia="宋体" w:cs="Times New Roman"/>
                <w:color w:val="auto"/>
                <w:kern w:val="0"/>
                <w:sz w:val="24"/>
                <w:szCs w:val="24"/>
                <w:u w:val="none"/>
                <w:lang w:val="en-US" w:eastAsia="zh-CN" w:bidi="ar-SA"/>
              </w:rPr>
              <w:t>商贸物流园分别排入第三濮清南干渠和马庄桥镇区雨水管网。六塔工业园排入附近潴泷河和第二濮清南干渠。</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eastAsia" w:ascii="Times New Roman" w:hAnsi="Times New Roman" w:eastAsia="宋体" w:cs="Times New Roman"/>
                <w:color w:val="auto"/>
                <w:kern w:val="0"/>
                <w:sz w:val="24"/>
                <w:szCs w:val="24"/>
                <w:u w:val="none"/>
                <w:lang w:val="en-US" w:eastAsia="zh-CN" w:bidi="ar-SA"/>
              </w:rPr>
            </w:pPr>
            <w:r>
              <w:rPr>
                <w:rFonts w:hint="eastAsia" w:cs="Times New Roman"/>
                <w:color w:val="auto"/>
                <w:kern w:val="0"/>
                <w:sz w:val="24"/>
                <w:szCs w:val="24"/>
                <w:u w:val="none"/>
                <w:lang w:val="en-US" w:eastAsia="zh-CN" w:bidi="ar-SA"/>
              </w:rPr>
              <w:t>④</w:t>
            </w:r>
            <w:r>
              <w:rPr>
                <w:rFonts w:hint="eastAsia" w:ascii="Times New Roman" w:hAnsi="Times New Roman" w:eastAsia="宋体" w:cs="Times New Roman"/>
                <w:color w:val="auto"/>
                <w:kern w:val="0"/>
                <w:sz w:val="24"/>
                <w:szCs w:val="24"/>
                <w:u w:val="none"/>
                <w:lang w:val="en-US" w:eastAsia="zh-CN" w:bidi="ar-SA"/>
              </w:rPr>
              <w:t>电力工程规划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宋体" w:cs="Times New Roman"/>
                <w:color w:val="auto"/>
                <w:kern w:val="0"/>
                <w:sz w:val="24"/>
                <w:szCs w:val="24"/>
                <w:u w:val="none"/>
                <w:lang w:val="en-US" w:eastAsia="zh-CN" w:bidi="ar-SA"/>
              </w:rPr>
              <w:t>规划建立的电压等级：建立由110千伏高压送电、10千伏中压配电、380/220伏低压配电构成的供电体系。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宋体" w:cs="Times New Roman"/>
                <w:color w:val="auto"/>
                <w:kern w:val="0"/>
                <w:sz w:val="24"/>
                <w:szCs w:val="24"/>
                <w:u w:val="none"/>
                <w:lang w:val="en-US" w:eastAsia="zh-CN" w:bidi="ar-SA"/>
              </w:rPr>
              <w:t>电源规划：至2035年，规划区保留现状3×50MVA的110kV孟德变；新建110kV变电站2座，分别为城北110KV变和城南110KV变，容量为3×50MVA。</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宋体" w:cs="Times New Roman"/>
                <w:color w:val="auto"/>
                <w:kern w:val="0"/>
                <w:sz w:val="24"/>
                <w:szCs w:val="24"/>
                <w:u w:val="none"/>
                <w:lang w:val="en-US" w:eastAsia="zh-CN" w:bidi="ar-SA"/>
              </w:rPr>
              <w:t>商贸物流园采用马庄桥110KV变电站供电，六塔工业园以齐云变电站、晓月变电站为园区电源，在六塔工业园区中部新建10千伏开闭所2座。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eastAsia" w:ascii="Times New Roman" w:hAnsi="Times New Roman" w:cs="Times New Roman"/>
                <w:color w:val="auto"/>
                <w:kern w:val="0"/>
                <w:sz w:val="24"/>
                <w:szCs w:val="24"/>
                <w:u w:val="none"/>
                <w:lang w:val="en-US" w:eastAsia="zh-CN" w:bidi="ar-SA"/>
              </w:rPr>
              <w:t>⑤</w:t>
            </w:r>
            <w:r>
              <w:rPr>
                <w:rFonts w:hint="default" w:ascii="Times New Roman" w:hAnsi="Times New Roman" w:eastAsia="宋体" w:cs="Times New Roman"/>
                <w:color w:val="auto"/>
                <w:kern w:val="0"/>
                <w:sz w:val="24"/>
                <w:szCs w:val="24"/>
                <w:u w:val="none"/>
                <w:lang w:val="en-US" w:eastAsia="zh-CN" w:bidi="ar-SA"/>
              </w:rPr>
              <w:t>燃气工程规划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宋体" w:cs="Times New Roman"/>
                <w:color w:val="auto"/>
                <w:kern w:val="0"/>
                <w:sz w:val="24"/>
                <w:szCs w:val="24"/>
                <w:u w:val="none"/>
                <w:lang w:val="en-US" w:eastAsia="zh-CN" w:bidi="ar-SA"/>
              </w:rPr>
              <w:t>气源规划：城区综合制造产业园规划天然气管道由榆—济线天然气和中原油田天然气管道接入；规划一处天然气门站，位于人和大道和濮阳市北环路交叉口东北侧，占地面积1.2公顷，门站设计供气能力为60万m</w:t>
            </w:r>
            <w:r>
              <w:rPr>
                <w:rFonts w:hint="default" w:ascii="Times New Roman" w:hAnsi="Times New Roman" w:eastAsia="宋体" w:cs="Times New Roman"/>
                <w:color w:val="auto"/>
                <w:kern w:val="0"/>
                <w:sz w:val="24"/>
                <w:szCs w:val="24"/>
                <w:u w:val="none"/>
                <w:vertAlign w:val="superscript"/>
                <w:lang w:val="en-US" w:eastAsia="zh-CN" w:bidi="ar-SA"/>
              </w:rPr>
              <w:t>3</w:t>
            </w:r>
            <w:r>
              <w:rPr>
                <w:rFonts w:hint="default" w:ascii="Times New Roman" w:hAnsi="Times New Roman" w:eastAsia="宋体" w:cs="Times New Roman"/>
                <w:color w:val="auto"/>
                <w:kern w:val="0"/>
                <w:sz w:val="24"/>
                <w:szCs w:val="24"/>
                <w:u w:val="none"/>
                <w:lang w:val="en-US" w:eastAsia="zh-CN" w:bidi="ar-SA"/>
              </w:rPr>
              <w:t>/d。马庄桥镇燃气引入镇区燃气市政管网，六塔工业园规划燃气分输站一座。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eastAsia" w:ascii="Times New Roman" w:hAnsi="Times New Roman" w:cs="Times New Roman"/>
                <w:color w:val="auto"/>
                <w:kern w:val="0"/>
                <w:sz w:val="24"/>
                <w:szCs w:val="24"/>
                <w:u w:val="none"/>
                <w:lang w:val="en-US" w:eastAsia="zh-CN" w:bidi="ar-SA"/>
              </w:rPr>
              <w:t>⑥</w:t>
            </w:r>
            <w:r>
              <w:rPr>
                <w:rFonts w:hint="default" w:ascii="Times New Roman" w:hAnsi="Times New Roman" w:eastAsia="宋体" w:cs="Times New Roman"/>
                <w:color w:val="auto"/>
                <w:kern w:val="0"/>
                <w:sz w:val="24"/>
                <w:szCs w:val="24"/>
                <w:u w:val="none"/>
                <w:lang w:val="en-US" w:eastAsia="zh-CN" w:bidi="ar-SA"/>
              </w:rPr>
              <w:t>环卫工程规划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宋体" w:cs="Times New Roman"/>
                <w:color w:val="auto"/>
                <w:kern w:val="0"/>
                <w:sz w:val="24"/>
                <w:szCs w:val="24"/>
                <w:u w:val="none"/>
                <w:lang w:val="en-US" w:eastAsia="zh-CN" w:bidi="ar-SA"/>
              </w:rPr>
              <w:t>现状有一处垃圾填埋场，位于开发区北部，人和大道东500米处，于2008年投入使用，占地面积155.25亩，日处理能力220吨，共规划4个作业分区，配建一处垃圾渗透液处理厂，用于进一步处理产生的垃圾渗透液。</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宋体" w:cs="Times New Roman"/>
                <w:color w:val="auto"/>
                <w:kern w:val="0"/>
                <w:sz w:val="24"/>
                <w:szCs w:val="24"/>
                <w:u w:val="none"/>
                <w:lang w:val="en-US" w:eastAsia="zh-CN" w:bidi="ar-SA"/>
              </w:rPr>
              <w:t>垃圾中转站规划：规划中型垃圾中转站6处，服务半径3-5平方公里，用地面积控制3000-5000平方米之间。新建垃圾收集转运站尽量和公共厕所、环卫工人休息点合并设置。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宋体" w:cs="Times New Roman"/>
                <w:color w:val="auto"/>
                <w:kern w:val="0"/>
                <w:sz w:val="24"/>
                <w:szCs w:val="24"/>
                <w:u w:val="none"/>
                <w:lang w:val="en-US" w:eastAsia="zh-CN" w:bidi="ar-SA"/>
              </w:rPr>
              <w:t>工业垃圾由环保部门协同城管部门统一管理，制定处理措施。建筑垃圾由环卫部门协同城管部门统一管理、收运利用。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宋体" w:cs="Times New Roman"/>
                <w:color w:val="auto"/>
                <w:kern w:val="0"/>
                <w:sz w:val="24"/>
                <w:szCs w:val="24"/>
                <w:u w:val="none"/>
                <w:lang w:val="en-US" w:eastAsia="zh-CN" w:bidi="ar-SA"/>
              </w:rPr>
              <w:t>本项目生活污水经化粪池处理后排至清丰中州水务有限公司第二污水处理厂。根据现场踏勘情况，项目所在位置基础设施完善，供水、供电可接入，雨污管网已铺设至厂区北侧道路，项目投入运行前可满足项目依托需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2" w:firstLineChars="200"/>
              <w:jc w:val="both"/>
              <w:textAlignment w:val="auto"/>
              <w:rPr>
                <w:rFonts w:hint="default" w:cs="Times New Roman"/>
                <w:b/>
                <w:bCs/>
                <w:color w:val="auto"/>
                <w:kern w:val="0"/>
                <w:sz w:val="24"/>
                <w:szCs w:val="24"/>
                <w:highlight w:val="none"/>
                <w:u w:val="none"/>
                <w:lang w:val="en-US" w:eastAsia="zh-CN"/>
              </w:rPr>
            </w:pPr>
            <w:r>
              <w:rPr>
                <w:rFonts w:hint="eastAsia" w:cs="Times New Roman"/>
                <w:b/>
                <w:bCs/>
                <w:color w:val="auto"/>
                <w:kern w:val="0"/>
                <w:sz w:val="24"/>
                <w:szCs w:val="24"/>
                <w:highlight w:val="none"/>
                <w:u w:val="none"/>
                <w:lang w:val="en-US" w:eastAsia="zh-CN"/>
              </w:rPr>
              <w:t>2、与《清丰县先进制造业开发区发展规划（2022-2035）环境影响报告书》相符性分析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2" w:firstLineChars="200"/>
              <w:jc w:val="both"/>
              <w:textAlignment w:val="auto"/>
              <w:rPr>
                <w:rFonts w:hint="default" w:ascii="Times New Roman" w:hAnsi="Times New Roman" w:eastAsia="宋体" w:cs="Times New Roman"/>
                <w:b/>
                <w:bCs/>
                <w:color w:val="auto"/>
                <w:kern w:val="0"/>
                <w:sz w:val="24"/>
                <w:szCs w:val="24"/>
                <w:u w:val="none"/>
                <w:lang w:val="en-US" w:eastAsia="zh-CN" w:bidi="ar-SA"/>
              </w:rPr>
            </w:pPr>
            <w:r>
              <w:rPr>
                <w:rFonts w:hint="eastAsia" w:cs="Times New Roman"/>
                <w:b/>
                <w:bCs/>
                <w:color w:val="auto"/>
                <w:kern w:val="0"/>
                <w:sz w:val="24"/>
                <w:szCs w:val="24"/>
                <w:u w:val="none"/>
                <w:lang w:val="en-US" w:eastAsia="zh-CN" w:bidi="ar-SA"/>
              </w:rPr>
              <w:t>2.1与清丰县先进制造业开发区生态环境准入清单相符性分析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right="0" w:rightChars="0"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宋体" w:cs="Times New Roman"/>
                <w:color w:val="auto"/>
                <w:kern w:val="0"/>
                <w:sz w:val="24"/>
                <w:szCs w:val="24"/>
                <w:u w:val="none"/>
                <w:lang w:val="en-US" w:eastAsia="zh-CN" w:bidi="ar-SA"/>
              </w:rPr>
              <w:t>根据《清丰县先进制造业开发区发展规划（2022-2035）</w:t>
            </w:r>
            <w:r>
              <w:rPr>
                <w:rFonts w:hint="eastAsia" w:ascii="Times New Roman" w:hAnsi="Times New Roman" w:eastAsia="宋体" w:cs="Times New Roman"/>
                <w:color w:val="auto"/>
                <w:kern w:val="0"/>
                <w:sz w:val="24"/>
                <w:szCs w:val="24"/>
                <w:u w:val="none"/>
                <w:lang w:val="en-US" w:eastAsia="zh-CN" w:bidi="ar-SA"/>
              </w:rPr>
              <w:t>环境影响报告书</w:t>
            </w:r>
            <w:r>
              <w:rPr>
                <w:rFonts w:hint="default" w:ascii="Times New Roman" w:hAnsi="Times New Roman" w:eastAsia="宋体" w:cs="Times New Roman"/>
                <w:color w:val="auto"/>
                <w:kern w:val="0"/>
                <w:sz w:val="24"/>
                <w:szCs w:val="24"/>
                <w:u w:val="none"/>
                <w:lang w:val="en-US" w:eastAsia="zh-CN" w:bidi="ar-SA"/>
              </w:rPr>
              <w:t>》</w:t>
            </w:r>
            <w:r>
              <w:rPr>
                <w:rFonts w:hint="eastAsia" w:ascii="Times New Roman" w:hAnsi="Times New Roman" w:eastAsia="宋体" w:cs="Times New Roman"/>
                <w:color w:val="auto"/>
                <w:kern w:val="0"/>
                <w:sz w:val="24"/>
                <w:szCs w:val="24"/>
                <w:u w:val="none"/>
                <w:lang w:val="en-US" w:eastAsia="zh-CN" w:bidi="ar-SA"/>
              </w:rPr>
              <w:t>，</w:t>
            </w:r>
            <w:r>
              <w:rPr>
                <w:rFonts w:hint="default" w:ascii="Times New Roman" w:hAnsi="Times New Roman" w:eastAsia="宋体" w:cs="Times New Roman"/>
                <w:color w:val="auto"/>
                <w:kern w:val="0"/>
                <w:sz w:val="24"/>
                <w:szCs w:val="24"/>
                <w:u w:val="none"/>
                <w:lang w:val="en-US" w:eastAsia="zh-CN" w:bidi="ar-SA"/>
              </w:rPr>
              <w:t>本项目与清丰县先进制造业开发区规划</w:t>
            </w:r>
            <w:r>
              <w:rPr>
                <w:rFonts w:hint="eastAsia" w:ascii="Times New Roman" w:hAnsi="Times New Roman" w:eastAsia="宋体" w:cs="Times New Roman"/>
                <w:color w:val="auto"/>
                <w:kern w:val="0"/>
                <w:sz w:val="24"/>
                <w:szCs w:val="24"/>
                <w:u w:val="none"/>
                <w:lang w:val="en-US" w:eastAsia="zh-CN" w:bidi="ar-SA"/>
              </w:rPr>
              <w:t>及其</w:t>
            </w:r>
            <w:r>
              <w:rPr>
                <w:rFonts w:hint="default" w:ascii="Times New Roman" w:hAnsi="Times New Roman" w:eastAsia="宋体" w:cs="Times New Roman"/>
                <w:color w:val="auto"/>
                <w:kern w:val="0"/>
                <w:sz w:val="24"/>
                <w:szCs w:val="24"/>
                <w:u w:val="none"/>
                <w:lang w:val="en-US" w:eastAsia="zh-CN" w:bidi="ar-SA"/>
              </w:rPr>
              <w:t>环评相符性分析见下表。</w:t>
            </w:r>
          </w:p>
          <w:p>
            <w:pPr>
              <w:pStyle w:val="10"/>
              <w:rPr>
                <w:rFonts w:hint="eastAsia" w:eastAsia="宋体"/>
                <w:b/>
                <w:bCs/>
                <w:color w:val="auto"/>
                <w:u w:val="none"/>
                <w:lang w:val="en-US" w:eastAsia="zh-CN"/>
              </w:rPr>
            </w:pPr>
            <w:r>
              <w:rPr>
                <w:rFonts w:eastAsia="宋体"/>
                <w:b/>
                <w:bCs/>
                <w:color w:val="auto"/>
                <w:u w:val="none"/>
              </w:rPr>
              <w:t>表1-</w:t>
            </w:r>
            <w:r>
              <w:rPr>
                <w:rFonts w:eastAsia="宋体"/>
                <w:b/>
                <w:bCs/>
                <w:color w:val="auto"/>
                <w:u w:val="none"/>
              </w:rPr>
              <w:fldChar w:fldCharType="begin"/>
            </w:r>
            <w:r>
              <w:rPr>
                <w:rFonts w:eastAsia="宋体"/>
                <w:b/>
                <w:bCs/>
                <w:color w:val="auto"/>
                <w:u w:val="none"/>
              </w:rPr>
              <w:instrText xml:space="preserve"> SEQ 表 \* ARABIC </w:instrText>
            </w:r>
            <w:r>
              <w:rPr>
                <w:rFonts w:eastAsia="宋体"/>
                <w:b/>
                <w:bCs/>
                <w:color w:val="auto"/>
                <w:u w:val="none"/>
              </w:rPr>
              <w:fldChar w:fldCharType="separate"/>
            </w:r>
            <w:r>
              <w:rPr>
                <w:rFonts w:eastAsia="宋体"/>
                <w:b/>
                <w:bCs/>
                <w:color w:val="auto"/>
                <w:u w:val="none"/>
              </w:rPr>
              <w:t>1</w:t>
            </w:r>
            <w:r>
              <w:rPr>
                <w:rFonts w:eastAsia="宋体"/>
                <w:b/>
                <w:bCs/>
                <w:color w:val="auto"/>
                <w:u w:val="none"/>
              </w:rPr>
              <w:fldChar w:fldCharType="end"/>
            </w:r>
            <w:r>
              <w:rPr>
                <w:rFonts w:hint="eastAsia" w:eastAsia="宋体"/>
                <w:b/>
                <w:bCs/>
                <w:color w:val="auto"/>
                <w:u w:val="none"/>
                <w:lang w:val="en-US" w:eastAsia="zh-CN"/>
              </w:rPr>
              <w:t xml:space="preserve"> </w:t>
            </w:r>
            <w:r>
              <w:rPr>
                <w:rFonts w:eastAsia="宋体"/>
                <w:b/>
                <w:bCs/>
                <w:color w:val="auto"/>
                <w:u w:val="none"/>
              </w:rPr>
              <w:t xml:space="preserve"> 项目</w:t>
            </w:r>
            <w:r>
              <w:rPr>
                <w:rFonts w:hint="eastAsia" w:eastAsia="宋体"/>
                <w:b/>
                <w:bCs/>
                <w:color w:val="auto"/>
                <w:u w:val="none"/>
                <w:lang w:val="en-US" w:eastAsia="zh-CN"/>
              </w:rPr>
              <w:t>与清丰县先进制造业开发区发展规划（2022-2035年）生态环境准入清单相符性分析</w:t>
            </w:r>
          </w:p>
          <w:tbl>
            <w:tblPr>
              <w:tblStyle w:val="23"/>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310"/>
              <w:gridCol w:w="2776"/>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4"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类别</w:t>
                  </w:r>
                </w:p>
              </w:tc>
              <w:tc>
                <w:tcPr>
                  <w:tcW w:w="4310"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环境准入清单</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本项目</w:t>
                  </w:r>
                </w:p>
              </w:tc>
              <w:tc>
                <w:tcPr>
                  <w:tcW w:w="905"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restart"/>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产业发展要求</w:t>
                  </w:r>
                </w:p>
              </w:tc>
              <w:tc>
                <w:tcPr>
                  <w:tcW w:w="4310"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入驻项目应符合园区规划或规划环评的要求，禁止发展用排水量较大或污染严重风险较大的化学原料、医药中间体等化工项目，按照用排水量控制屠宰项目</w:t>
                  </w:r>
                </w:p>
              </w:tc>
              <w:tc>
                <w:tcPr>
                  <w:tcW w:w="2776" w:type="dxa"/>
                  <w:vAlign w:val="center"/>
                </w:tcPr>
                <w:p>
                  <w:pPr>
                    <w:spacing w:before="78" w:line="220" w:lineRule="auto"/>
                    <w:ind w:left="168"/>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kern w:val="2"/>
                      <w:sz w:val="21"/>
                      <w:szCs w:val="21"/>
                      <w:highlight w:val="none"/>
                      <w:u w:val="single"/>
                      <w:lang w:val="en-US" w:eastAsia="zh-CN" w:bidi="ar-SA"/>
                    </w:rPr>
                    <w:t>本项目</w:t>
                  </w:r>
                  <w:r>
                    <w:rPr>
                      <w:rFonts w:hint="eastAsia" w:cs="Times New Roman"/>
                      <w:b/>
                      <w:bCs/>
                      <w:color w:val="auto"/>
                      <w:kern w:val="2"/>
                      <w:sz w:val="21"/>
                      <w:szCs w:val="21"/>
                      <w:highlight w:val="none"/>
                      <w:u w:val="single"/>
                      <w:lang w:val="en-US" w:eastAsia="zh-CN" w:bidi="ar-SA"/>
                    </w:rPr>
                    <w:t>木质</w:t>
                  </w:r>
                  <w:r>
                    <w:rPr>
                      <w:rFonts w:hint="eastAsia" w:ascii="Times New Roman" w:hAnsi="Times New Roman" w:eastAsia="宋体" w:cs="Times New Roman"/>
                      <w:b/>
                      <w:bCs/>
                      <w:color w:val="auto"/>
                      <w:kern w:val="2"/>
                      <w:sz w:val="21"/>
                      <w:szCs w:val="21"/>
                      <w:highlight w:val="none"/>
                      <w:u w:val="single"/>
                      <w:lang w:val="en-US" w:eastAsia="zh-CN" w:bidi="ar-SA"/>
                    </w:rPr>
                    <w:t>家具制造C2110，不属于用排水量较大或污染严重风险较大的化学原料、医药中间体等化工项目</w:t>
                  </w:r>
                </w:p>
              </w:tc>
              <w:tc>
                <w:tcPr>
                  <w:tcW w:w="905"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禁止《产业结构调整指导目录（2024年本）》限制类和淘汰类落后生产工艺装备和产品项目入驻</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经查阅《产业结构调整指导目录（2024年本）》项目属于允许类</w:t>
                  </w:r>
                </w:p>
              </w:tc>
              <w:tc>
                <w:tcPr>
                  <w:tcW w:w="905"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禁止入驻不符合行业准入条件及相关管理要求的项目</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本项目不属于</w:t>
                  </w:r>
                  <w:r>
                    <w:rPr>
                      <w:rFonts w:hint="eastAsia" w:ascii="Times New Roman" w:hAnsi="Times New Roman" w:eastAsia="宋体" w:cs="Times New Roman"/>
                      <w:b/>
                      <w:bCs/>
                      <w:color w:val="auto"/>
                      <w:sz w:val="21"/>
                      <w:szCs w:val="21"/>
                      <w:highlight w:val="none"/>
                      <w:u w:val="single"/>
                      <w:lang w:val="en-US" w:eastAsia="zh-CN"/>
                    </w:rPr>
                    <w:t>不符合行业准入条件及相关管理要求的项目</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禁止《高污染、高环境风险产品名录》中产品项目入驻</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经查阅《环境保护综合名录》</w:t>
                  </w:r>
                  <w:r>
                    <w:rPr>
                      <w:rFonts w:hint="eastAsia" w:cs="Times New Roman"/>
                      <w:b/>
                      <w:bCs/>
                      <w:color w:val="auto"/>
                      <w:sz w:val="21"/>
                      <w:szCs w:val="21"/>
                      <w:highlight w:val="none"/>
                      <w:u w:val="single"/>
                      <w:lang w:val="en-US" w:eastAsia="zh-CN"/>
                    </w:rPr>
                    <w:t>本项目不涉及</w:t>
                  </w:r>
                  <w:r>
                    <w:rPr>
                      <w:rFonts w:hint="eastAsia" w:ascii="Times New Roman" w:hAnsi="Times New Roman" w:eastAsia="宋体" w:cs="Times New Roman"/>
                      <w:b/>
                      <w:bCs/>
                      <w:color w:val="auto"/>
                      <w:sz w:val="21"/>
                      <w:szCs w:val="21"/>
                      <w:highlight w:val="none"/>
                      <w:u w:val="single"/>
                      <w:lang w:val="en-US" w:eastAsia="zh-CN"/>
                    </w:rPr>
                    <w:t>高污染、高环境风险产品项目</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禁止化工（与主导产业配套的辅助工程除外）、皮毛鞣制、造纸、印染等污染重的项目入驻。</w:t>
                  </w:r>
                </w:p>
              </w:tc>
              <w:tc>
                <w:tcPr>
                  <w:tcW w:w="2776"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本项目不</w:t>
                  </w:r>
                  <w:r>
                    <w:rPr>
                      <w:rFonts w:hint="eastAsia" w:cs="Times New Roman"/>
                      <w:b/>
                      <w:bCs/>
                      <w:color w:val="auto"/>
                      <w:sz w:val="21"/>
                      <w:szCs w:val="21"/>
                      <w:highlight w:val="none"/>
                      <w:u w:val="single"/>
                      <w:lang w:val="en-US" w:eastAsia="zh-CN"/>
                    </w:rPr>
                    <w:t>属于</w:t>
                  </w:r>
                  <w:r>
                    <w:rPr>
                      <w:rFonts w:hint="default" w:ascii="Times New Roman" w:hAnsi="Times New Roman" w:eastAsia="宋体" w:cs="Times New Roman"/>
                      <w:b/>
                      <w:bCs/>
                      <w:color w:val="auto"/>
                      <w:sz w:val="21"/>
                      <w:szCs w:val="21"/>
                      <w:highlight w:val="none"/>
                      <w:u w:val="single"/>
                      <w:lang w:val="en-US" w:eastAsia="zh-CN"/>
                    </w:rPr>
                    <w:t>化工（与主导产业配套的辅助工程除外）、皮毛鞣制、造纸、印染等污染重的项目</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禁止建设投资强度不符合《河南省人民政府关于进一步加强节约集约用地的意见》（豫政</w:t>
                  </w:r>
                  <w:r>
                    <w:rPr>
                      <w:rFonts w:hint="eastAsia" w:ascii="仿宋" w:hAnsi="仿宋" w:eastAsia="仿宋" w:cs="仿宋"/>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2015</w:t>
                  </w:r>
                  <w:r>
                    <w:rPr>
                      <w:rFonts w:hint="eastAsia" w:ascii="仿宋" w:hAnsi="仿宋" w:eastAsia="仿宋" w:cs="仿宋"/>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66号）文件要求的项目</w:t>
                  </w:r>
                </w:p>
              </w:tc>
              <w:tc>
                <w:tcPr>
                  <w:tcW w:w="2776"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ascii="Times New Roman" w:hAnsi="Times New Roman" w:eastAsia="宋体" w:cs="Times New Roman"/>
                      <w:b/>
                      <w:bCs/>
                      <w:color w:val="auto"/>
                      <w:sz w:val="21"/>
                      <w:szCs w:val="21"/>
                      <w:highlight w:val="none"/>
                      <w:u w:val="single"/>
                    </w:rPr>
                    <w:t>本项目总投资</w:t>
                  </w:r>
                  <w:r>
                    <w:rPr>
                      <w:rFonts w:hint="default" w:ascii="Times New Roman" w:hAnsi="Times New Roman" w:eastAsia="宋体" w:cs="Times New Roman"/>
                      <w:b/>
                      <w:bCs/>
                      <w:color w:val="auto"/>
                      <w:sz w:val="21"/>
                      <w:szCs w:val="21"/>
                      <w:highlight w:val="none"/>
                      <w:u w:val="single"/>
                      <w:lang w:val="en-US" w:eastAsia="zh-CN"/>
                    </w:rPr>
                    <w:t>1000</w:t>
                  </w:r>
                  <w:r>
                    <w:rPr>
                      <w:rFonts w:ascii="Times New Roman" w:hAnsi="Times New Roman" w:eastAsia="宋体" w:cs="Times New Roman"/>
                      <w:b/>
                      <w:bCs/>
                      <w:color w:val="auto"/>
                      <w:sz w:val="21"/>
                      <w:szCs w:val="21"/>
                      <w:highlight w:val="none"/>
                      <w:u w:val="single"/>
                    </w:rPr>
                    <w:t>万元，用地面积</w:t>
                  </w:r>
                  <w:r>
                    <w:rPr>
                      <w:rFonts w:hint="eastAsia" w:cs="Times New Roman"/>
                      <w:b/>
                      <w:bCs/>
                      <w:color w:val="auto"/>
                      <w:sz w:val="21"/>
                      <w:szCs w:val="21"/>
                      <w:highlight w:val="none"/>
                      <w:u w:val="single"/>
                      <w:lang w:val="en-US" w:eastAsia="zh-CN"/>
                    </w:rPr>
                    <w:t>9800</w:t>
                  </w:r>
                  <w:r>
                    <w:rPr>
                      <w:rFonts w:ascii="Times New Roman" w:hAnsi="Times New Roman" w:eastAsia="宋体" w:cs="Times New Roman"/>
                      <w:b/>
                      <w:bCs/>
                      <w:color w:val="auto"/>
                      <w:sz w:val="21"/>
                      <w:szCs w:val="21"/>
                      <w:highlight w:val="none"/>
                      <w:u w:val="single"/>
                    </w:rPr>
                    <w:t>㎡</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入驻企业的生产工艺、设备、污染治理技术、清洁生产水平均需达到同行业国内先进水平</w:t>
                  </w:r>
                </w:p>
              </w:tc>
              <w:tc>
                <w:tcPr>
                  <w:tcW w:w="2776"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本项目生产工艺、设备、污染治理技术、清洁生产水平均达到同行业国内先进水平</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从严控制高耗能、高排放项目建设，原则上禁止新建、扩建单纯新增产能的钢铁、电解铝、水泥、平板玻璃、传统煤化工（甲醇、合成氨）、焦化、铝用碳素、铅锌冶炼（含再生铅）、砖瓦窑（有烧结工序的）、耐火材料制品（有烧结工序的）项目</w:t>
                  </w:r>
                </w:p>
              </w:tc>
              <w:tc>
                <w:tcPr>
                  <w:tcW w:w="2776"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本项目不属于高耗能、高排放项目以及所列举禁止建设项目</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鼓励发展家具制造、食品加工和节能环保产业，鼓励能够延长开发区产业链条的，符合开发区功能定位的项目入驻</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本项目为</w:t>
                  </w:r>
                  <w:r>
                    <w:rPr>
                      <w:rFonts w:hint="eastAsia" w:cs="Times New Roman"/>
                      <w:b/>
                      <w:bCs/>
                      <w:color w:val="auto"/>
                      <w:sz w:val="21"/>
                      <w:szCs w:val="21"/>
                      <w:highlight w:val="none"/>
                      <w:u w:val="single"/>
                      <w:lang w:val="en-US" w:eastAsia="zh-CN"/>
                    </w:rPr>
                    <w:t>家具制造</w:t>
                  </w:r>
                  <w:r>
                    <w:rPr>
                      <w:rFonts w:hint="eastAsia" w:ascii="Times New Roman" w:hAnsi="Times New Roman" w:eastAsia="宋体" w:cs="Times New Roman"/>
                      <w:b/>
                      <w:bCs/>
                      <w:color w:val="auto"/>
                      <w:sz w:val="21"/>
                      <w:szCs w:val="21"/>
                      <w:highlight w:val="none"/>
                      <w:u w:val="single"/>
                      <w:lang w:val="en-US" w:eastAsia="zh-CN"/>
                    </w:rPr>
                    <w:t>，</w:t>
                  </w:r>
                  <w:r>
                    <w:rPr>
                      <w:rFonts w:hint="eastAsia" w:cs="Times New Roman"/>
                      <w:b/>
                      <w:bCs/>
                      <w:color w:val="auto"/>
                      <w:sz w:val="21"/>
                      <w:szCs w:val="21"/>
                      <w:highlight w:val="none"/>
                      <w:u w:val="single"/>
                      <w:lang w:val="en-US" w:eastAsia="zh-CN"/>
                    </w:rPr>
                    <w:t>属于鼓励类</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鼓励开发区内建设集中的喷涂中心，禁止露天和敞开式喷漆项目</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kern w:val="2"/>
                      <w:sz w:val="21"/>
                      <w:szCs w:val="21"/>
                      <w:highlight w:val="none"/>
                      <w:u w:val="single"/>
                      <w:lang w:val="en-US" w:eastAsia="zh-CN" w:bidi="ar-SA"/>
                    </w:rPr>
                    <w:t>本项目不涉及喷漆。</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在园区实现集中供热之前，禁止新建燃煤、重油及高污染燃料的锅炉项目。在园区实现集中供热之后，在保障各企业工业用蒸汽的等级、压力及用汽的连续性的基础上，原则上不再新增分散式燃气锅炉项目，原有的分散锅炉应逐步取缔</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kern w:val="2"/>
                      <w:sz w:val="21"/>
                      <w:szCs w:val="21"/>
                      <w:highlight w:val="none"/>
                      <w:u w:val="single"/>
                      <w:lang w:val="en-US" w:eastAsia="zh-CN" w:bidi="ar-SA"/>
                    </w:rPr>
                    <w:t>本项目不涉及锅炉</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鼓励中水回用、污水深度治理等基础设施项目入驻</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项目生活污水</w:t>
                  </w:r>
                  <w:r>
                    <w:rPr>
                      <w:rFonts w:hint="eastAsia" w:cs="Times New Roman"/>
                      <w:b/>
                      <w:bCs/>
                      <w:color w:val="auto"/>
                      <w:sz w:val="21"/>
                      <w:szCs w:val="21"/>
                      <w:highlight w:val="none"/>
                      <w:u w:val="single"/>
                      <w:lang w:val="en-US" w:eastAsia="zh-CN"/>
                    </w:rPr>
                    <w:t>经</w:t>
                  </w:r>
                  <w:r>
                    <w:rPr>
                      <w:rFonts w:hint="eastAsia" w:ascii="Times New Roman" w:hAnsi="Times New Roman" w:eastAsia="宋体" w:cs="Times New Roman"/>
                      <w:b/>
                      <w:bCs/>
                      <w:color w:val="auto"/>
                      <w:sz w:val="21"/>
                      <w:szCs w:val="21"/>
                      <w:highlight w:val="none"/>
                      <w:u w:val="single"/>
                      <w:lang w:val="en-US" w:eastAsia="zh-CN"/>
                    </w:rPr>
                    <w:t>化粪池处理后排入</w:t>
                  </w:r>
                  <w:r>
                    <w:rPr>
                      <w:rFonts w:hint="default" w:ascii="Times New Roman" w:hAnsi="Times New Roman" w:eastAsia="宋体" w:cs="Times New Roman"/>
                      <w:b/>
                      <w:bCs/>
                      <w:color w:val="auto"/>
                      <w:kern w:val="2"/>
                      <w:sz w:val="21"/>
                      <w:szCs w:val="21"/>
                      <w:highlight w:val="none"/>
                      <w:u w:val="single"/>
                      <w:lang w:val="en-US" w:eastAsia="zh-CN" w:bidi="ar-SA"/>
                    </w:rPr>
                    <w:t>清丰中州水务有限公司第二污水处理</w:t>
                  </w:r>
                  <w:r>
                    <w:rPr>
                      <w:rFonts w:hint="eastAsia" w:ascii="Times New Roman" w:hAnsi="Times New Roman" w:eastAsia="宋体" w:cs="Times New Roman"/>
                      <w:b/>
                      <w:bCs/>
                      <w:color w:val="auto"/>
                      <w:sz w:val="21"/>
                      <w:szCs w:val="21"/>
                      <w:highlight w:val="none"/>
                      <w:u w:val="single"/>
                      <w:lang w:val="en-US" w:eastAsia="zh-CN"/>
                    </w:rPr>
                    <w:t>集中处理</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4" w:type="dxa"/>
                  <w:vMerge w:val="restart"/>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空间布局约束</w:t>
                  </w: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禁止新建选址不符合“三线一单”和规划环评空间管控要求的项目入驻</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本项目建设符合河南省“三线一单”相关要求</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禁止在黄河干支流岸线管控范围内新建、扩建化工项目；禁止在黄河干流岸线和重要支流岸线的管控范围内新建、改建、扩建尾矿库，但是以提升安全水平、生态环境保护水平为目的的改建除外</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b/>
                      <w:bCs/>
                      <w:color w:val="auto"/>
                      <w:spacing w:val="0"/>
                      <w:sz w:val="21"/>
                      <w:szCs w:val="21"/>
                      <w:u w:val="single"/>
                      <w:lang w:val="en-US" w:eastAsia="zh-CN"/>
                    </w:rPr>
                    <w:t>本项目位于清丰县先进制造业开发区，不属于</w:t>
                  </w:r>
                  <w:r>
                    <w:rPr>
                      <w:rFonts w:hint="eastAsia"/>
                      <w:b/>
                      <w:bCs/>
                      <w:color w:val="auto"/>
                      <w:spacing w:val="0"/>
                      <w:sz w:val="21"/>
                      <w:szCs w:val="21"/>
                      <w:u w:val="single"/>
                    </w:rPr>
                    <w:t>黄河干支流岸线管控范围</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禁止大气环境防护距离和环境风险防护距离范围涉及规划教育、医疗等用地的项目入驻</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本项目周边未规划教育、医疗等用地的项目入驻，周边均为机加工企业</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被列入建设用地土壤污染风险管控和修复名录的地块，不得作为住宅、公共管理和公共服务设施用地</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本项目所占地块未被列入建设用地土壤污染风险管控和修复名录的地块</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按照当地主导风向，从南至北依次布设家具制造、食品加工、机械加工，同时考虑到区内现有居民点的整合，布设综合服务带贯通三个产业片区</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本项目为</w:t>
                  </w:r>
                  <w:r>
                    <w:rPr>
                      <w:rFonts w:hint="eastAsia" w:cs="Times New Roman"/>
                      <w:b/>
                      <w:bCs/>
                      <w:color w:val="auto"/>
                      <w:sz w:val="21"/>
                      <w:szCs w:val="21"/>
                      <w:highlight w:val="none"/>
                      <w:u w:val="single"/>
                      <w:lang w:val="en-US" w:eastAsia="zh-CN"/>
                    </w:rPr>
                    <w:t>家具制造</w:t>
                  </w:r>
                  <w:r>
                    <w:rPr>
                      <w:rFonts w:hint="eastAsia" w:ascii="Times New Roman" w:hAnsi="Times New Roman" w:eastAsia="宋体" w:cs="Times New Roman"/>
                      <w:b/>
                      <w:bCs/>
                      <w:color w:val="auto"/>
                      <w:sz w:val="21"/>
                      <w:szCs w:val="21"/>
                      <w:highlight w:val="none"/>
                      <w:u w:val="single"/>
                      <w:lang w:val="en-US" w:eastAsia="zh-CN"/>
                    </w:rPr>
                    <w:t>项目，位于清丰县先进制造业开发区，根据入驻证明，符合规划要求</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restart"/>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污染物排放管控</w:t>
                  </w: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新建项目的大气和水污染物排放指标必须在提高区域内现有工业污染负荷削减量或城市污染负荷削减量中调剂；入驻集聚区项目单位产品污染物排放必须满足行业污染物排放标准。新改扩建设项目主要污染物排放应满足总量减排要求</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本项目各污染物经处理后均达标排放</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国家、省级绩效分级重点行业的新建、改建、扩建项目应达到B级及以上要求</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本项目将严格按照绩效分级</w:t>
                  </w:r>
                  <w:r>
                    <w:rPr>
                      <w:rFonts w:hint="eastAsia" w:cs="Times New Roman"/>
                      <w:b/>
                      <w:bCs/>
                      <w:color w:val="auto"/>
                      <w:sz w:val="21"/>
                      <w:szCs w:val="21"/>
                      <w:highlight w:val="none"/>
                      <w:u w:val="single"/>
                      <w:lang w:val="en-US" w:eastAsia="zh-CN"/>
                    </w:rPr>
                    <w:t>A级</w:t>
                  </w:r>
                  <w:r>
                    <w:rPr>
                      <w:rFonts w:hint="eastAsia" w:ascii="Times New Roman" w:hAnsi="Times New Roman" w:eastAsia="宋体" w:cs="Times New Roman"/>
                      <w:b/>
                      <w:bCs/>
                      <w:color w:val="auto"/>
                      <w:sz w:val="21"/>
                      <w:szCs w:val="21"/>
                      <w:highlight w:val="none"/>
                      <w:u w:val="single"/>
                      <w:lang w:val="en-US" w:eastAsia="zh-CN"/>
                    </w:rPr>
                    <w:t>企业要求进行建设</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对于废水水量较大、水质浓度较高，对开发区污水处理厂易造成冲击，影响污水处理厂稳定运行达标排放的项目，禁止入驻</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b/>
                      <w:bCs/>
                      <w:color w:val="auto"/>
                      <w:spacing w:val="0"/>
                      <w:sz w:val="21"/>
                      <w:szCs w:val="21"/>
                      <w:u w:val="single"/>
                      <w:lang w:val="en-US" w:eastAsia="zh-CN"/>
                    </w:rPr>
                    <w:t>项目废水仅生活污水，经处理后不会对</w:t>
                  </w:r>
                  <w:r>
                    <w:rPr>
                      <w:rFonts w:hint="eastAsia"/>
                      <w:b/>
                      <w:bCs/>
                      <w:color w:val="auto"/>
                      <w:spacing w:val="0"/>
                      <w:sz w:val="21"/>
                      <w:szCs w:val="21"/>
                      <w:u w:val="single"/>
                    </w:rPr>
                    <w:t>污水处理厂</w:t>
                  </w:r>
                  <w:r>
                    <w:rPr>
                      <w:rFonts w:hint="eastAsia"/>
                      <w:b/>
                      <w:bCs/>
                      <w:color w:val="auto"/>
                      <w:spacing w:val="0"/>
                      <w:sz w:val="21"/>
                      <w:szCs w:val="21"/>
                      <w:u w:val="single"/>
                      <w:lang w:val="en-US" w:eastAsia="zh-CN"/>
                    </w:rPr>
                    <w:t>造成冲击</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新、改、扩建城镇污水处理厂按所在区域其尾水排放达到或优于《河南省黄河流域水污染物排放标准》（DB41/2087-2021）表1、《城镇污水处理厂污染物排放标准》（GB18918-2002）一级A标准要求</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本项目不属于城镇污水处理厂建设项目</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新建、改建、扩建涉VOCs排放项目应加强废气收集，安装适宜高效治理设施</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w:t>
                  </w:r>
                  <w:r>
                    <w:rPr>
                      <w:rFonts w:hint="eastAsia" w:cs="Times New Roman"/>
                      <w:b/>
                      <w:bCs/>
                      <w:color w:val="auto"/>
                      <w:sz w:val="21"/>
                      <w:szCs w:val="21"/>
                      <w:highlight w:val="none"/>
                      <w:u w:val="single"/>
                      <w:lang w:val="en-US" w:eastAsia="zh-CN"/>
                    </w:rPr>
                    <w:t>封边、粘贴产生的有机废气经两级活性炭吸附处理后通过15m排气筒排放（DA002</w:t>
                  </w:r>
                  <w:r>
                    <w:rPr>
                      <w:rFonts w:hint="eastAsia" w:cs="Times New Roman"/>
                      <w:b/>
                      <w:bCs/>
                      <w:color w:val="FF0000"/>
                      <w:sz w:val="21"/>
                      <w:szCs w:val="21"/>
                      <w:highlight w:val="none"/>
                      <w:u w:val="single"/>
                      <w:lang w:val="en-US" w:eastAsia="zh-CN"/>
                    </w:rPr>
                    <w:t>）</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新建项目VOCs排放需实行区域内等量或倍量削减替代。开发区内涉及VOCs废气排放的企业废气治理措施采用低温等离子体技术、UV光催化氧化技术、活性炭吸附技术等两种或两种以上组合工艺，禁止使用单一吸附、催化氧化等处理技术</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本项目VOCs实施区域内倍量消减替代，</w:t>
                  </w:r>
                  <w:r>
                    <w:rPr>
                      <w:rFonts w:hint="eastAsia" w:cs="Times New Roman"/>
                      <w:b/>
                      <w:bCs/>
                      <w:color w:val="auto"/>
                      <w:sz w:val="21"/>
                      <w:szCs w:val="21"/>
                      <w:highlight w:val="none"/>
                      <w:u w:val="single"/>
                      <w:lang w:val="en-US" w:eastAsia="zh-CN"/>
                    </w:rPr>
                    <w:t>VOCs收集后引入两级活性炭吸附</w:t>
                  </w:r>
                  <w:r>
                    <w:rPr>
                      <w:rFonts w:hint="eastAsia" w:ascii="Times New Roman" w:hAnsi="Times New Roman" w:eastAsia="宋体" w:cs="Times New Roman"/>
                      <w:b/>
                      <w:bCs/>
                      <w:color w:val="auto"/>
                      <w:sz w:val="21"/>
                      <w:szCs w:val="21"/>
                      <w:highlight w:val="none"/>
                      <w:u w:val="single"/>
                      <w:lang w:val="en-US" w:eastAsia="zh-CN"/>
                    </w:rPr>
                    <w:t>，不属于单一吸附、催化氧化等处理技术</w:t>
                  </w:r>
                </w:p>
              </w:tc>
              <w:tc>
                <w:tcPr>
                  <w:tcW w:w="905"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新、改、扩建重点行业涉重点重金属（铅、汞、镉、铬、砷）项目，需实行重金属污染物排放“减量替代原则”，减量替代比例不低于1:1:1</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本项目不涉及重金属污染物排放</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强化煤炭消费总量管控，原则上不再新增非电行业耗煤项目，确因产业和民生需要新上的热电联产项目燃煤需减量替代，明确煤炭消减来源</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本项目不涉及煤炭消耗</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改善能源结构，推广使用天然气、电力等清洁能源；条件成熟时对入区企业实施集中供热；严格控制入区工业项目的类别</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本项目生活供暖采用空调解决供暖需求</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加强对工业喷涂项目挥发性有机物的治理工作，严格按照行业标准、治理方案，加强源头控制、过程控制和末端治理，提升清洁化生产水平</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本项目不涉及</w:t>
                  </w:r>
                  <w:r>
                    <w:rPr>
                      <w:rFonts w:hint="eastAsia" w:cs="Times New Roman"/>
                      <w:b/>
                      <w:bCs/>
                      <w:color w:val="auto"/>
                      <w:sz w:val="21"/>
                      <w:szCs w:val="21"/>
                      <w:highlight w:val="none"/>
                      <w:u w:val="single"/>
                      <w:lang w:val="en-US" w:eastAsia="zh-CN"/>
                    </w:rPr>
                    <w:t>喷涂工艺。</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完善雨水、污水收集系统和排放系统，污水和生产物料输送管线需保证密封；不得建设地下或半地下式储罐设施。禁止含重金属废水进入城市生活污水处理厂</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项目生活污水不涉及重金属，生活污水经化粪池处理后由污水管网排入清丰县</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禁止填埋场渗滤液直排或超标排放</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本项目不属于填埋场项目</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restart"/>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环境风险防控</w:t>
                  </w: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大气防护距离范围和大气毒性终点浓度-1范围超越园区边界且涉及居民区、学校、医院等环境敏感点的项目，禁止新建。</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w:t>
                  </w:r>
                  <w:r>
                    <w:rPr>
                      <w:rFonts w:hint="eastAsia" w:cs="Times New Roman"/>
                      <w:b/>
                      <w:bCs/>
                      <w:color w:val="auto"/>
                      <w:sz w:val="21"/>
                      <w:szCs w:val="21"/>
                      <w:highlight w:val="none"/>
                      <w:u w:val="single"/>
                      <w:lang w:val="en-US" w:eastAsia="zh-CN"/>
                    </w:rPr>
                    <w:t>大气污染物排放量较小，不涉及设置大气防护距离的设置</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项目环境风险防范措施未严格按照环境影响评价文件要求落实的，应停产整改。</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本项目将严格按照环评文件要求进行建设</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涉及危险化学品、危险废物及可能发生突发环境事件的污染物排放企业，应按照突发环境事件应急预案备案管理办法的要求，制定完善的环境应急预案，并报环境管理部门备案管理。未落实有关要求的，应停产整改。</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本项目建设完成后将按照相关要求制定环境应急预案，并报环境管理部门备案管理</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加强环境应急保障体系建设，园内企业应制定环境应急预案，明确环境风险防范措施。</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w:t>
                  </w:r>
                  <w:r>
                    <w:rPr>
                      <w:rFonts w:hint="eastAsia" w:cs="Times New Roman"/>
                      <w:b/>
                      <w:bCs/>
                      <w:color w:val="auto"/>
                      <w:sz w:val="21"/>
                      <w:szCs w:val="21"/>
                      <w:highlight w:val="none"/>
                      <w:u w:val="single"/>
                      <w:lang w:val="en-US" w:eastAsia="zh-CN"/>
                    </w:rPr>
                    <w:t>按照要求</w:t>
                  </w:r>
                  <w:r>
                    <w:rPr>
                      <w:rFonts w:hint="default" w:ascii="Times New Roman" w:hAnsi="Times New Roman" w:eastAsia="宋体" w:cs="Times New Roman"/>
                      <w:b/>
                      <w:bCs/>
                      <w:color w:val="auto"/>
                      <w:sz w:val="21"/>
                      <w:szCs w:val="21"/>
                      <w:highlight w:val="none"/>
                      <w:u w:val="single"/>
                      <w:lang w:val="en-US" w:eastAsia="zh-CN"/>
                    </w:rPr>
                    <w:t>制定环境应急预案，明确环境风险防范措施</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铅酸蓄电池、石油加工、化工和危险化学品生产、储存、使用等企业在拆除生产设施设备、污染治理设施时，要事先制定企业拆除活动污染防</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本项目不属于铅酸蓄电池、石油加工、化工和危险化学品生产、储存、使用等项目</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充分利用企业用地调查成果和注销、撤销排污许可的信息，考虑行业、生产年限等因素，确定环境准入清单优先监管地块，并按要求采取污染管控措施</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项目用地现状为空地，</w:t>
                  </w:r>
                </w:p>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不存在污染</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restart"/>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资源开发利用</w:t>
                  </w: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新建企业的生产工艺、设备、污染治理技术、清洁生产水平均需达到同行业国内先进水平</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本项目生产工艺、设备、污染治理技术、清洁生产水平均</w:t>
                  </w:r>
                  <w:r>
                    <w:rPr>
                      <w:rFonts w:hint="eastAsia" w:cs="Times New Roman"/>
                      <w:b/>
                      <w:bCs/>
                      <w:color w:val="auto"/>
                      <w:sz w:val="21"/>
                      <w:szCs w:val="21"/>
                      <w:highlight w:val="none"/>
                      <w:u w:val="single"/>
                      <w:lang w:val="en-US" w:eastAsia="zh-CN"/>
                    </w:rPr>
                    <w:t>按照</w:t>
                  </w:r>
                  <w:r>
                    <w:rPr>
                      <w:rFonts w:hint="eastAsia" w:ascii="Times New Roman" w:hAnsi="Times New Roman" w:eastAsia="宋体" w:cs="Times New Roman"/>
                      <w:b/>
                      <w:bCs/>
                      <w:color w:val="auto"/>
                      <w:sz w:val="21"/>
                      <w:szCs w:val="21"/>
                      <w:highlight w:val="none"/>
                      <w:u w:val="single"/>
                      <w:lang w:val="en-US" w:eastAsia="zh-CN"/>
                    </w:rPr>
                    <w:t>同行业国内先进水平</w:t>
                  </w:r>
                  <w:r>
                    <w:rPr>
                      <w:rFonts w:hint="eastAsia" w:cs="Times New Roman"/>
                      <w:b/>
                      <w:bCs/>
                      <w:color w:val="auto"/>
                      <w:sz w:val="21"/>
                      <w:szCs w:val="21"/>
                      <w:highlight w:val="none"/>
                      <w:u w:val="single"/>
                      <w:lang w:val="en-US" w:eastAsia="zh-CN"/>
                    </w:rPr>
                    <w:t>建设</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禁止工艺落后，生产水平过低导致资源能源消耗量大的项目入驻</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本项目采用先进生产工艺，不属于资源消耗量大的项目。</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加强水资源开发利用效率，提高再生水利用率，再生水回用率达到30%</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本项目</w:t>
                  </w:r>
                  <w:r>
                    <w:rPr>
                      <w:rFonts w:hint="eastAsia" w:ascii="Times New Roman" w:hAnsi="Times New Roman" w:eastAsia="宋体" w:cs="Times New Roman"/>
                      <w:b/>
                      <w:bCs/>
                      <w:color w:val="auto"/>
                      <w:sz w:val="21"/>
                      <w:szCs w:val="21"/>
                      <w:highlight w:val="none"/>
                      <w:u w:val="single"/>
                      <w:lang w:val="en-US" w:eastAsia="zh-CN"/>
                    </w:rPr>
                    <w:t>生产过程不涉及废水排放</w:t>
                  </w:r>
                  <w:r>
                    <w:rPr>
                      <w:rFonts w:hint="default" w:ascii="Times New Roman" w:hAnsi="Times New Roman" w:eastAsia="宋体"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生活污水经化粪池处理后排入</w:t>
                  </w:r>
                  <w:r>
                    <w:rPr>
                      <w:rFonts w:hint="default" w:ascii="Times New Roman" w:hAnsi="Times New Roman" w:eastAsia="宋体" w:cs="Times New Roman"/>
                      <w:b/>
                      <w:bCs/>
                      <w:color w:val="auto"/>
                      <w:kern w:val="2"/>
                      <w:sz w:val="21"/>
                      <w:szCs w:val="21"/>
                      <w:highlight w:val="none"/>
                      <w:u w:val="single"/>
                      <w:lang w:val="en-US" w:eastAsia="zh-CN" w:bidi="ar-SA"/>
                    </w:rPr>
                    <w:t>清丰中州水务有限公司第二污水处理</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严格地下水管理，加强取水许可和计划用水管理，严格实行产业准入制度，严格控制新建、扩建、改建高耗水项目</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本项目由先进制造工业园区统一供水</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vMerge w:val="continue"/>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ascii="Times New Roman" w:hAnsi="Times New Roman" w:eastAsia="宋体" w:cs="Times New Roman"/>
                      <w:b/>
                      <w:bCs/>
                      <w:color w:val="auto"/>
                      <w:sz w:val="21"/>
                      <w:szCs w:val="21"/>
                      <w:highlight w:val="none"/>
                      <w:u w:val="single"/>
                      <w:lang w:val="en-US" w:eastAsia="zh-CN"/>
                    </w:rPr>
                  </w:pPr>
                </w:p>
              </w:tc>
              <w:tc>
                <w:tcPr>
                  <w:tcW w:w="4310" w:type="dxa"/>
                  <w:shd w:val="clear" w:color="auto" w:fill="auto"/>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地下水超采地区，控制高耗水新建、改建、扩建项目，推进高耗水企业向水资源条件允许的工业园区集中</w:t>
                  </w:r>
                </w:p>
              </w:tc>
              <w:tc>
                <w:tcPr>
                  <w:tcW w:w="2776"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本项目采用自来水供给，不涉及地下水采用。</w:t>
                  </w:r>
                </w:p>
              </w:tc>
              <w:tc>
                <w:tcPr>
                  <w:tcW w:w="905" w:type="dxa"/>
                  <w:vAlign w:val="center"/>
                </w:tcPr>
                <w:p>
                  <w:pPr>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center"/>
                    <w:textAlignment w:val="auto"/>
                    <w:rPr>
                      <w:rFonts w:hint="eastAsia" w:cs="Times New Roman"/>
                      <w:b/>
                      <w:bCs/>
                      <w:color w:val="auto"/>
                      <w:sz w:val="21"/>
                      <w:szCs w:val="21"/>
                      <w:highlight w:val="none"/>
                      <w:u w:val="single"/>
                      <w:lang w:val="en-US" w:eastAsia="zh-CN"/>
                    </w:rPr>
                  </w:pPr>
                  <w:r>
                    <w:rPr>
                      <w:rFonts w:hint="eastAsia" w:cs="Times New Roman"/>
                      <w:b/>
                      <w:bCs/>
                      <w:color w:val="auto"/>
                      <w:sz w:val="21"/>
                      <w:szCs w:val="21"/>
                      <w:highlight w:val="none"/>
                      <w:u w:val="single"/>
                      <w:lang w:val="en-US" w:eastAsia="zh-CN"/>
                    </w:rPr>
                    <w:t>相符</w:t>
                  </w:r>
                </w:p>
              </w:tc>
            </w:tr>
          </w:tbl>
          <w:p>
            <w:pPr>
              <w:keepNext w:val="0"/>
              <w:keepLines w:val="0"/>
              <w:pageBreakBefore w:val="0"/>
              <w:kinsoku/>
              <w:wordWrap/>
              <w:overflowPunct/>
              <w:topLinePunct w:val="0"/>
              <w:autoSpaceDE w:val="0"/>
              <w:autoSpaceDN w:val="0"/>
              <w:bidi w:val="0"/>
              <w:adjustRightInd w:val="0"/>
              <w:snapToGrid w:val="0"/>
              <w:spacing w:line="520" w:lineRule="atLeast"/>
              <w:ind w:right="0" w:firstLine="480" w:firstLineChars="200"/>
              <w:jc w:val="both"/>
              <w:textAlignment w:val="auto"/>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由上表可知，本项目符合清丰县先进制造业开发区发展规划（2022-2035年）生态环境准入条件，不在其环境负面清单内。</w:t>
            </w:r>
          </w:p>
          <w:p>
            <w:pPr>
              <w:keepNext w:val="0"/>
              <w:keepLines w:val="0"/>
              <w:pageBreakBefore w:val="0"/>
              <w:kinsoku/>
              <w:wordWrap/>
              <w:overflowPunct/>
              <w:topLinePunct w:val="0"/>
              <w:autoSpaceDE w:val="0"/>
              <w:autoSpaceDN w:val="0"/>
              <w:bidi w:val="0"/>
              <w:adjustRightInd w:val="0"/>
              <w:snapToGrid w:val="0"/>
              <w:spacing w:line="520" w:lineRule="atLeast"/>
              <w:ind w:right="0"/>
              <w:jc w:val="both"/>
              <w:textAlignment w:val="auto"/>
              <w:rPr>
                <w:rFonts w:hint="eastAsia"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2.2</w:t>
            </w:r>
            <w:r>
              <w:rPr>
                <w:rFonts w:hint="default" w:ascii="Times New Roman" w:hAnsi="Times New Roman" w:eastAsia="宋体" w:cs="Times New Roman"/>
                <w:b/>
                <w:bCs/>
                <w:color w:val="auto"/>
                <w:kern w:val="0"/>
                <w:sz w:val="24"/>
                <w:szCs w:val="24"/>
                <w:highlight w:val="none"/>
                <w:lang w:val="en-US" w:eastAsia="zh-CN"/>
              </w:rPr>
              <w:t>本项目与濮阳市生态环境局《关于清丰县限值制造业开发区发展规划（2022-2035）环境影响报告书的审查意见》的相符性分析</w:t>
            </w:r>
          </w:p>
          <w:p>
            <w:pPr>
              <w:pStyle w:val="10"/>
              <w:rPr>
                <w:rFonts w:eastAsia="宋体"/>
                <w:b/>
                <w:bCs/>
                <w:color w:val="auto"/>
                <w:szCs w:val="24"/>
              </w:rPr>
            </w:pPr>
            <w:r>
              <w:rPr>
                <w:rFonts w:eastAsia="宋体"/>
                <w:b/>
                <w:bCs/>
                <w:color w:val="auto"/>
                <w:szCs w:val="24"/>
              </w:rPr>
              <w:t>表1-</w:t>
            </w:r>
            <w:r>
              <w:rPr>
                <w:rFonts w:eastAsia="宋体"/>
                <w:b/>
                <w:bCs/>
                <w:color w:val="auto"/>
                <w:szCs w:val="24"/>
              </w:rPr>
              <w:fldChar w:fldCharType="begin"/>
            </w:r>
            <w:r>
              <w:rPr>
                <w:rFonts w:eastAsia="宋体"/>
                <w:b/>
                <w:bCs/>
                <w:color w:val="auto"/>
                <w:szCs w:val="24"/>
              </w:rPr>
              <w:instrText xml:space="preserve"> SEQ 表 \* ARABIC </w:instrText>
            </w:r>
            <w:r>
              <w:rPr>
                <w:rFonts w:eastAsia="宋体"/>
                <w:b/>
                <w:bCs/>
                <w:color w:val="auto"/>
                <w:szCs w:val="24"/>
              </w:rPr>
              <w:fldChar w:fldCharType="separate"/>
            </w:r>
            <w:r>
              <w:rPr>
                <w:rFonts w:eastAsia="宋体"/>
                <w:b/>
                <w:bCs/>
                <w:color w:val="auto"/>
                <w:szCs w:val="24"/>
              </w:rPr>
              <w:t>2</w:t>
            </w:r>
            <w:r>
              <w:rPr>
                <w:rFonts w:eastAsia="宋体"/>
                <w:b/>
                <w:bCs/>
                <w:color w:val="auto"/>
                <w:szCs w:val="24"/>
              </w:rPr>
              <w:fldChar w:fldCharType="end"/>
            </w:r>
            <w:r>
              <w:rPr>
                <w:rFonts w:hint="eastAsia" w:eastAsia="宋体"/>
                <w:b/>
                <w:bCs/>
                <w:color w:val="auto"/>
                <w:szCs w:val="24"/>
                <w:lang w:val="en-US" w:eastAsia="zh-CN"/>
              </w:rPr>
              <w:t xml:space="preserve"> </w:t>
            </w:r>
            <w:r>
              <w:rPr>
                <w:rFonts w:eastAsia="宋体"/>
                <w:b/>
                <w:bCs/>
                <w:color w:val="auto"/>
                <w:szCs w:val="24"/>
              </w:rPr>
              <w:t xml:space="preserve"> 本项目</w:t>
            </w:r>
            <w:r>
              <w:rPr>
                <w:rFonts w:hint="eastAsia" w:eastAsia="宋体"/>
                <w:b/>
                <w:bCs/>
                <w:color w:val="auto"/>
                <w:szCs w:val="24"/>
              </w:rPr>
              <w:t>与清丰县先进制造业开发区发展规划（2022-2035年</w:t>
            </w:r>
            <w:r>
              <w:rPr>
                <w:rFonts w:hint="eastAsia" w:eastAsia="宋体"/>
                <w:b/>
                <w:bCs/>
                <w:color w:val="auto"/>
                <w:szCs w:val="24"/>
                <w:lang w:eastAsia="zh-CN"/>
              </w:rPr>
              <w:t>）环</w:t>
            </w:r>
            <w:r>
              <w:rPr>
                <w:rFonts w:hint="eastAsia" w:eastAsia="宋体"/>
                <w:b/>
                <w:bCs/>
                <w:color w:val="auto"/>
                <w:szCs w:val="24"/>
              </w:rPr>
              <w:t>境影响报告书的审查意见相符性分析</w:t>
            </w:r>
          </w:p>
          <w:tbl>
            <w:tblPr>
              <w:tblStyle w:val="32"/>
              <w:tblW w:w="870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1088"/>
              <w:gridCol w:w="4643"/>
              <w:gridCol w:w="157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1" w:hRule="atLeast"/>
              </w:trPr>
              <w:tc>
                <w:tcPr>
                  <w:tcW w:w="589" w:type="dxa"/>
                  <w:vAlign w:val="center"/>
                </w:tcPr>
                <w:p>
                  <w:pPr>
                    <w:bidi w:val="0"/>
                    <w:jc w:val="center"/>
                    <w:rPr>
                      <w:color w:val="auto"/>
                      <w:sz w:val="21"/>
                      <w:szCs w:val="21"/>
                    </w:rPr>
                  </w:pPr>
                  <w:r>
                    <w:rPr>
                      <w:color w:val="auto"/>
                      <w:sz w:val="21"/>
                      <w:szCs w:val="21"/>
                    </w:rPr>
                    <w:t>序号</w:t>
                  </w:r>
                </w:p>
              </w:tc>
              <w:tc>
                <w:tcPr>
                  <w:tcW w:w="1088" w:type="dxa"/>
                  <w:vAlign w:val="center"/>
                </w:tcPr>
                <w:p>
                  <w:pPr>
                    <w:bidi w:val="0"/>
                    <w:jc w:val="center"/>
                    <w:rPr>
                      <w:color w:val="auto"/>
                      <w:sz w:val="21"/>
                      <w:szCs w:val="21"/>
                    </w:rPr>
                  </w:pPr>
                  <w:r>
                    <w:rPr>
                      <w:color w:val="auto"/>
                      <w:sz w:val="21"/>
                      <w:szCs w:val="21"/>
                    </w:rPr>
                    <w:t>项目</w:t>
                  </w:r>
                </w:p>
              </w:tc>
              <w:tc>
                <w:tcPr>
                  <w:tcW w:w="4643" w:type="dxa"/>
                  <w:vAlign w:val="center"/>
                </w:tcPr>
                <w:p>
                  <w:pPr>
                    <w:bidi w:val="0"/>
                    <w:jc w:val="center"/>
                    <w:rPr>
                      <w:color w:val="auto"/>
                      <w:sz w:val="21"/>
                      <w:szCs w:val="21"/>
                    </w:rPr>
                  </w:pPr>
                  <w:r>
                    <w:rPr>
                      <w:color w:val="auto"/>
                      <w:sz w:val="21"/>
                      <w:szCs w:val="21"/>
                    </w:rPr>
                    <w:t>审查意见内容</w:t>
                  </w:r>
                </w:p>
              </w:tc>
              <w:tc>
                <w:tcPr>
                  <w:tcW w:w="1572" w:type="dxa"/>
                  <w:vAlign w:val="center"/>
                </w:tcPr>
                <w:p>
                  <w:pPr>
                    <w:bidi w:val="0"/>
                    <w:jc w:val="center"/>
                    <w:rPr>
                      <w:color w:val="auto"/>
                      <w:sz w:val="21"/>
                      <w:szCs w:val="21"/>
                    </w:rPr>
                  </w:pPr>
                  <w:r>
                    <w:rPr>
                      <w:color w:val="auto"/>
                      <w:sz w:val="21"/>
                      <w:szCs w:val="21"/>
                    </w:rPr>
                    <w:t>项目情况</w:t>
                  </w:r>
                </w:p>
              </w:tc>
              <w:tc>
                <w:tcPr>
                  <w:tcW w:w="812" w:type="dxa"/>
                  <w:vAlign w:val="center"/>
                </w:tcPr>
                <w:p>
                  <w:pPr>
                    <w:bidi w:val="0"/>
                    <w:jc w:val="center"/>
                    <w:rPr>
                      <w:color w:val="auto"/>
                      <w:sz w:val="21"/>
                      <w:szCs w:val="21"/>
                    </w:rPr>
                  </w:pPr>
                  <w:r>
                    <w:rPr>
                      <w:color w:val="auto"/>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63" w:hRule="atLeast"/>
              </w:trPr>
              <w:tc>
                <w:tcPr>
                  <w:tcW w:w="589" w:type="dxa"/>
                  <w:vAlign w:val="center"/>
                </w:tcPr>
                <w:p>
                  <w:pPr>
                    <w:bidi w:val="0"/>
                    <w:jc w:val="center"/>
                    <w:rPr>
                      <w:color w:val="auto"/>
                      <w:sz w:val="21"/>
                      <w:szCs w:val="21"/>
                    </w:rPr>
                  </w:pPr>
                  <w:r>
                    <w:rPr>
                      <w:color w:val="auto"/>
                      <w:sz w:val="21"/>
                      <w:szCs w:val="21"/>
                    </w:rPr>
                    <w:t>1</w:t>
                  </w:r>
                </w:p>
              </w:tc>
              <w:tc>
                <w:tcPr>
                  <w:tcW w:w="1088" w:type="dxa"/>
                  <w:vAlign w:val="center"/>
                </w:tcPr>
                <w:p>
                  <w:pPr>
                    <w:bidi w:val="0"/>
                    <w:jc w:val="center"/>
                    <w:rPr>
                      <w:color w:val="auto"/>
                      <w:sz w:val="21"/>
                      <w:szCs w:val="21"/>
                    </w:rPr>
                  </w:pPr>
                  <w:r>
                    <w:rPr>
                      <w:color w:val="auto"/>
                      <w:sz w:val="21"/>
                      <w:szCs w:val="21"/>
                    </w:rPr>
                    <w:t>坚持绿色低碳高质量发展</w:t>
                  </w:r>
                </w:p>
              </w:tc>
              <w:tc>
                <w:tcPr>
                  <w:tcW w:w="4643" w:type="dxa"/>
                  <w:vAlign w:val="center"/>
                </w:tcPr>
                <w:p>
                  <w:pPr>
                    <w:bidi w:val="0"/>
                    <w:jc w:val="left"/>
                    <w:rPr>
                      <w:rFonts w:hint="eastAsia" w:eastAsia="宋体"/>
                      <w:color w:val="auto"/>
                      <w:sz w:val="21"/>
                      <w:szCs w:val="21"/>
                      <w:lang w:val="en-US" w:eastAsia="zh-CN"/>
                    </w:rPr>
                  </w:pPr>
                  <w:r>
                    <w:rPr>
                      <w:color w:val="auto"/>
                      <w:sz w:val="21"/>
                      <w:szCs w:val="21"/>
                    </w:rPr>
                    <w:t>规划应贯彻生态优先、绿色低碳、集约高效的绿色发展、协调发展理念，根据国家、省发展战略，以环境质量改善为核心，进一步优化产业园区的产业结构、发展规模、用地布局等，做好与区域“三线一单”成果的协调衔接，实现园区绿色低碳高质量发展</w:t>
                  </w:r>
                  <w:r>
                    <w:rPr>
                      <w:rFonts w:hint="eastAsia"/>
                      <w:color w:val="auto"/>
                      <w:sz w:val="21"/>
                      <w:szCs w:val="21"/>
                      <w:lang w:val="en-US" w:eastAsia="zh-CN"/>
                    </w:rPr>
                    <w:t>目标。</w:t>
                  </w:r>
                </w:p>
              </w:tc>
              <w:tc>
                <w:tcPr>
                  <w:tcW w:w="1572" w:type="dxa"/>
                  <w:vAlign w:val="center"/>
                </w:tcPr>
                <w:p>
                  <w:pPr>
                    <w:bidi w:val="0"/>
                    <w:jc w:val="left"/>
                    <w:rPr>
                      <w:color w:val="auto"/>
                      <w:sz w:val="21"/>
                      <w:szCs w:val="21"/>
                    </w:rPr>
                  </w:pPr>
                  <w:r>
                    <w:rPr>
                      <w:color w:val="auto"/>
                      <w:sz w:val="21"/>
                      <w:szCs w:val="21"/>
                    </w:rPr>
                    <w:t>本项目建设符合濮阳市清丰县“三线一单”生态环境分区管控的</w:t>
                  </w:r>
                  <w:r>
                    <w:rPr>
                      <w:rFonts w:hint="eastAsia"/>
                      <w:color w:val="auto"/>
                      <w:sz w:val="21"/>
                      <w:szCs w:val="21"/>
                      <w:lang w:eastAsia="zh-CN"/>
                    </w:rPr>
                    <w:t>意见</w:t>
                  </w:r>
                  <w:r>
                    <w:rPr>
                      <w:color w:val="auto"/>
                      <w:sz w:val="21"/>
                      <w:szCs w:val="21"/>
                    </w:rPr>
                    <w:t>要求。</w:t>
                  </w:r>
                </w:p>
              </w:tc>
              <w:tc>
                <w:tcPr>
                  <w:tcW w:w="812" w:type="dxa"/>
                  <w:vAlign w:val="center"/>
                </w:tcPr>
                <w:p>
                  <w:pPr>
                    <w:bidi w:val="0"/>
                    <w:jc w:val="center"/>
                    <w:rPr>
                      <w:color w:val="auto"/>
                      <w:sz w:val="21"/>
                      <w:szCs w:val="21"/>
                    </w:rPr>
                  </w:pPr>
                  <w:r>
                    <w:rPr>
                      <w:color w:val="auto"/>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4" w:hRule="atLeast"/>
              </w:trPr>
              <w:tc>
                <w:tcPr>
                  <w:tcW w:w="589" w:type="dxa"/>
                  <w:vMerge w:val="restart"/>
                  <w:vAlign w:val="center"/>
                </w:tcPr>
                <w:p>
                  <w:pPr>
                    <w:bidi w:val="0"/>
                    <w:jc w:val="center"/>
                    <w:rPr>
                      <w:color w:val="auto"/>
                      <w:sz w:val="21"/>
                      <w:szCs w:val="21"/>
                    </w:rPr>
                  </w:pPr>
                  <w:r>
                    <w:rPr>
                      <w:color w:val="auto"/>
                      <w:sz w:val="21"/>
                      <w:szCs w:val="21"/>
                    </w:rPr>
                    <w:t>2</w:t>
                  </w:r>
                </w:p>
              </w:tc>
              <w:tc>
                <w:tcPr>
                  <w:tcW w:w="1088" w:type="dxa"/>
                  <w:vMerge w:val="restart"/>
                  <w:vAlign w:val="center"/>
                </w:tcPr>
                <w:p>
                  <w:pPr>
                    <w:bidi w:val="0"/>
                    <w:jc w:val="center"/>
                    <w:rPr>
                      <w:color w:val="auto"/>
                      <w:sz w:val="21"/>
                      <w:szCs w:val="21"/>
                    </w:rPr>
                  </w:pPr>
                  <w:r>
                    <w:rPr>
                      <w:color w:val="auto"/>
                      <w:sz w:val="21"/>
                      <w:szCs w:val="21"/>
                    </w:rPr>
                    <w:t>加快推进产业转型</w:t>
                  </w:r>
                </w:p>
              </w:tc>
              <w:tc>
                <w:tcPr>
                  <w:tcW w:w="4643" w:type="dxa"/>
                  <w:vMerge w:val="restart"/>
                  <w:vAlign w:val="center"/>
                </w:tcPr>
                <w:p>
                  <w:pPr>
                    <w:bidi w:val="0"/>
                    <w:jc w:val="left"/>
                    <w:rPr>
                      <w:color w:val="auto"/>
                      <w:sz w:val="21"/>
                      <w:szCs w:val="21"/>
                    </w:rPr>
                  </w:pPr>
                  <w:r>
                    <w:rPr>
                      <w:color w:val="auto"/>
                      <w:sz w:val="21"/>
                      <w:szCs w:val="21"/>
                    </w:rPr>
                    <w:t>产业园区应遵循循环经济理念，积极推进产业技术进步和园区循环化改造，坚持减污降碳协同发展。家居产业发展依托清丰县家居产业集聚，推动传统家居向智能家居、定制家居、生态家居转变。</w:t>
                  </w:r>
                </w:p>
              </w:tc>
              <w:tc>
                <w:tcPr>
                  <w:tcW w:w="1572" w:type="dxa"/>
                  <w:vMerge w:val="restart"/>
                  <w:vAlign w:val="center"/>
                </w:tcPr>
                <w:p>
                  <w:pPr>
                    <w:bidi w:val="0"/>
                    <w:jc w:val="left"/>
                    <w:rPr>
                      <w:color w:val="auto"/>
                      <w:sz w:val="21"/>
                      <w:szCs w:val="21"/>
                    </w:rPr>
                  </w:pPr>
                  <w:r>
                    <w:rPr>
                      <w:color w:val="auto"/>
                      <w:sz w:val="21"/>
                      <w:szCs w:val="21"/>
                    </w:rPr>
                    <w:t>项目属于家具制造项目，位于规划的家居制造产业园区</w:t>
                  </w:r>
                </w:p>
              </w:tc>
              <w:tc>
                <w:tcPr>
                  <w:tcW w:w="812" w:type="dxa"/>
                  <w:vAlign w:val="center"/>
                </w:tcPr>
                <w:p>
                  <w:pPr>
                    <w:bidi w:val="0"/>
                    <w:jc w:val="center"/>
                    <w:rPr>
                      <w:color w:val="auto"/>
                      <w:sz w:val="21"/>
                      <w:szCs w:val="21"/>
                    </w:rPr>
                  </w:pPr>
                  <w:r>
                    <w:rPr>
                      <w:color w:val="auto"/>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5" w:hRule="atLeast"/>
              </w:trPr>
              <w:tc>
                <w:tcPr>
                  <w:tcW w:w="589" w:type="dxa"/>
                  <w:vMerge w:val="restart"/>
                  <w:vAlign w:val="center"/>
                </w:tcPr>
                <w:p>
                  <w:pPr>
                    <w:bidi w:val="0"/>
                    <w:jc w:val="center"/>
                    <w:rPr>
                      <w:color w:val="auto"/>
                      <w:sz w:val="21"/>
                      <w:szCs w:val="21"/>
                    </w:rPr>
                  </w:pPr>
                  <w:r>
                    <w:rPr>
                      <w:color w:val="auto"/>
                      <w:sz w:val="21"/>
                      <w:szCs w:val="21"/>
                    </w:rPr>
                    <w:t>3</w:t>
                  </w:r>
                </w:p>
              </w:tc>
              <w:tc>
                <w:tcPr>
                  <w:tcW w:w="1088" w:type="dxa"/>
                  <w:vMerge w:val="restart"/>
                  <w:vAlign w:val="center"/>
                </w:tcPr>
                <w:p>
                  <w:pPr>
                    <w:bidi w:val="0"/>
                    <w:jc w:val="center"/>
                    <w:rPr>
                      <w:color w:val="auto"/>
                      <w:sz w:val="21"/>
                      <w:szCs w:val="21"/>
                    </w:rPr>
                  </w:pPr>
                  <w:r>
                    <w:rPr>
                      <w:color w:val="auto"/>
                      <w:sz w:val="21"/>
                      <w:szCs w:val="21"/>
                    </w:rPr>
                    <w:t>优化空间布局严格空间管控</w:t>
                  </w:r>
                </w:p>
              </w:tc>
              <w:tc>
                <w:tcPr>
                  <w:tcW w:w="4643" w:type="dxa"/>
                  <w:vMerge w:val="restart"/>
                  <w:vAlign w:val="center"/>
                </w:tcPr>
                <w:p>
                  <w:pPr>
                    <w:bidi w:val="0"/>
                    <w:jc w:val="left"/>
                    <w:rPr>
                      <w:color w:val="auto"/>
                      <w:sz w:val="21"/>
                      <w:szCs w:val="21"/>
                    </w:rPr>
                  </w:pPr>
                  <w:r>
                    <w:rPr>
                      <w:color w:val="auto"/>
                      <w:sz w:val="21"/>
                      <w:szCs w:val="21"/>
                    </w:rPr>
                    <w:t>进一步加强与国土空间规划的</w:t>
                  </w:r>
                  <w:r>
                    <w:rPr>
                      <w:rFonts w:hint="eastAsia"/>
                      <w:color w:val="auto"/>
                      <w:sz w:val="21"/>
                      <w:szCs w:val="21"/>
                      <w:lang w:eastAsia="zh-CN"/>
                    </w:rPr>
                    <w:t>衔接</w:t>
                  </w:r>
                  <w:r>
                    <w:rPr>
                      <w:color w:val="auto"/>
                      <w:sz w:val="21"/>
                      <w:szCs w:val="21"/>
                    </w:rPr>
                    <w:t>，保持规划之间协调一致；加强对产业园区及周边生活区的防护，确保园区产业布局与生态环境保护、人居环境安全相协调。</w:t>
                  </w:r>
                </w:p>
              </w:tc>
              <w:tc>
                <w:tcPr>
                  <w:tcW w:w="1572" w:type="dxa"/>
                  <w:vMerge w:val="restart"/>
                  <w:vAlign w:val="center"/>
                </w:tcPr>
                <w:p>
                  <w:pPr>
                    <w:bidi w:val="0"/>
                    <w:jc w:val="left"/>
                    <w:rPr>
                      <w:color w:val="auto"/>
                      <w:sz w:val="21"/>
                      <w:szCs w:val="21"/>
                    </w:rPr>
                  </w:pPr>
                  <w:r>
                    <w:rPr>
                      <w:color w:val="auto"/>
                      <w:sz w:val="21"/>
                      <w:szCs w:val="21"/>
                    </w:rPr>
                    <w:t>本项目位于清丰县先进制造业开发区，满足国土空间规划相关要求</w:t>
                  </w:r>
                </w:p>
              </w:tc>
              <w:tc>
                <w:tcPr>
                  <w:tcW w:w="812" w:type="dxa"/>
                  <w:vAlign w:val="center"/>
                </w:tcPr>
                <w:p>
                  <w:pPr>
                    <w:bidi w:val="0"/>
                    <w:jc w:val="center"/>
                    <w:rPr>
                      <w:color w:val="auto"/>
                      <w:sz w:val="21"/>
                      <w:szCs w:val="21"/>
                    </w:rPr>
                  </w:pPr>
                  <w:r>
                    <w:rPr>
                      <w:color w:val="auto"/>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90" w:hRule="atLeast"/>
              </w:trPr>
              <w:tc>
                <w:tcPr>
                  <w:tcW w:w="589" w:type="dxa"/>
                  <w:vAlign w:val="center"/>
                </w:tcPr>
                <w:p>
                  <w:pPr>
                    <w:bidi w:val="0"/>
                    <w:jc w:val="center"/>
                    <w:rPr>
                      <w:color w:val="auto"/>
                      <w:sz w:val="21"/>
                      <w:szCs w:val="21"/>
                    </w:rPr>
                  </w:pPr>
                  <w:r>
                    <w:rPr>
                      <w:color w:val="auto"/>
                      <w:sz w:val="21"/>
                      <w:szCs w:val="21"/>
                    </w:rPr>
                    <w:t>4</w:t>
                  </w:r>
                </w:p>
              </w:tc>
              <w:tc>
                <w:tcPr>
                  <w:tcW w:w="1088" w:type="dxa"/>
                  <w:vAlign w:val="center"/>
                </w:tcPr>
                <w:p>
                  <w:pPr>
                    <w:bidi w:val="0"/>
                    <w:jc w:val="center"/>
                    <w:rPr>
                      <w:color w:val="auto"/>
                      <w:sz w:val="21"/>
                      <w:szCs w:val="21"/>
                    </w:rPr>
                  </w:pPr>
                  <w:r>
                    <w:rPr>
                      <w:color w:val="auto"/>
                      <w:sz w:val="21"/>
                      <w:szCs w:val="21"/>
                    </w:rPr>
                    <w:t>严格项目准入</w:t>
                  </w:r>
                </w:p>
              </w:tc>
              <w:tc>
                <w:tcPr>
                  <w:tcW w:w="4643" w:type="dxa"/>
                  <w:vAlign w:val="center"/>
                </w:tcPr>
                <w:p>
                  <w:pPr>
                    <w:bidi w:val="0"/>
                    <w:jc w:val="left"/>
                    <w:rPr>
                      <w:color w:val="auto"/>
                      <w:sz w:val="21"/>
                      <w:szCs w:val="21"/>
                    </w:rPr>
                  </w:pPr>
                  <w:r>
                    <w:rPr>
                      <w:color w:val="auto"/>
                      <w:sz w:val="21"/>
                      <w:szCs w:val="21"/>
                    </w:rPr>
                    <w:t>园区管理部门应按照规划环评报告提出的项目负面清单及准入条件，优化产业定位，把好项目准入关。优先发展符合园区主导产业要求、有利于园区总体产业链条延伸的项目，列入园区限制类的项目应限制入驻，列入</w:t>
                  </w:r>
                  <w:r>
                    <w:rPr>
                      <w:rFonts w:hint="eastAsia"/>
                      <w:color w:val="auto"/>
                      <w:sz w:val="21"/>
                      <w:szCs w:val="21"/>
                      <w:lang w:eastAsia="zh-CN"/>
                    </w:rPr>
                    <w:t>园区</w:t>
                  </w:r>
                  <w:r>
                    <w:rPr>
                      <w:color w:val="auto"/>
                      <w:sz w:val="21"/>
                      <w:szCs w:val="21"/>
                    </w:rPr>
                    <w:t>负面清单</w:t>
                  </w:r>
                  <w:r>
                    <w:rPr>
                      <w:rFonts w:hint="eastAsia"/>
                      <w:color w:val="auto"/>
                      <w:sz w:val="21"/>
                      <w:szCs w:val="21"/>
                      <w:lang w:eastAsia="zh-CN"/>
                    </w:rPr>
                    <w:t>的</w:t>
                  </w:r>
                  <w:r>
                    <w:rPr>
                      <w:color w:val="auto"/>
                      <w:sz w:val="21"/>
                      <w:szCs w:val="21"/>
                    </w:rPr>
                    <w:t>项目禁止入驻，通过实施差别化环境准入，逐步优化产业结构，构筑园区循环经济产业链。</w:t>
                  </w:r>
                </w:p>
              </w:tc>
              <w:tc>
                <w:tcPr>
                  <w:tcW w:w="1572" w:type="dxa"/>
                  <w:vAlign w:val="center"/>
                </w:tcPr>
                <w:p>
                  <w:pPr>
                    <w:bidi w:val="0"/>
                    <w:jc w:val="left"/>
                    <w:rPr>
                      <w:color w:val="auto"/>
                      <w:sz w:val="21"/>
                      <w:szCs w:val="21"/>
                    </w:rPr>
                  </w:pPr>
                  <w:r>
                    <w:rPr>
                      <w:color w:val="auto"/>
                      <w:sz w:val="21"/>
                      <w:szCs w:val="21"/>
                    </w:rPr>
                    <w:t>本项目为家具制造项目，符合负面清单及准入条件要求，不属于限制类和禁止类项目。</w:t>
                  </w:r>
                </w:p>
              </w:tc>
              <w:tc>
                <w:tcPr>
                  <w:tcW w:w="812" w:type="dxa"/>
                  <w:vAlign w:val="center"/>
                </w:tcPr>
                <w:p>
                  <w:pPr>
                    <w:bidi w:val="0"/>
                    <w:jc w:val="center"/>
                    <w:rPr>
                      <w:color w:val="auto"/>
                      <w:sz w:val="21"/>
                      <w:szCs w:val="21"/>
                    </w:rPr>
                  </w:pPr>
                  <w:r>
                    <w:rPr>
                      <w:color w:val="auto"/>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94" w:hRule="atLeast"/>
              </w:trPr>
              <w:tc>
                <w:tcPr>
                  <w:tcW w:w="589" w:type="dxa"/>
                  <w:vAlign w:val="center"/>
                </w:tcPr>
                <w:p>
                  <w:pPr>
                    <w:bidi w:val="0"/>
                    <w:jc w:val="center"/>
                    <w:rPr>
                      <w:color w:val="auto"/>
                      <w:sz w:val="21"/>
                      <w:szCs w:val="21"/>
                    </w:rPr>
                  </w:pPr>
                  <w:r>
                    <w:rPr>
                      <w:color w:val="auto"/>
                      <w:sz w:val="21"/>
                      <w:szCs w:val="21"/>
                    </w:rPr>
                    <w:t>5</w:t>
                  </w:r>
                </w:p>
              </w:tc>
              <w:tc>
                <w:tcPr>
                  <w:tcW w:w="1088" w:type="dxa"/>
                  <w:vAlign w:val="center"/>
                </w:tcPr>
                <w:p>
                  <w:pPr>
                    <w:bidi w:val="0"/>
                    <w:jc w:val="center"/>
                    <w:rPr>
                      <w:color w:val="auto"/>
                      <w:sz w:val="21"/>
                      <w:szCs w:val="21"/>
                    </w:rPr>
                  </w:pPr>
                  <w:r>
                    <w:rPr>
                      <w:color w:val="auto"/>
                      <w:sz w:val="21"/>
                      <w:szCs w:val="21"/>
                    </w:rPr>
                    <w:t>同步建设基础设施</w:t>
                  </w:r>
                </w:p>
              </w:tc>
              <w:tc>
                <w:tcPr>
                  <w:tcW w:w="4643" w:type="dxa"/>
                  <w:vAlign w:val="center"/>
                </w:tcPr>
                <w:p>
                  <w:pPr>
                    <w:bidi w:val="0"/>
                    <w:jc w:val="left"/>
                    <w:rPr>
                      <w:color w:val="auto"/>
                      <w:sz w:val="21"/>
                      <w:szCs w:val="21"/>
                    </w:rPr>
                  </w:pPr>
                  <w:r>
                    <w:rPr>
                      <w:color w:val="auto"/>
                      <w:sz w:val="21"/>
                      <w:szCs w:val="21"/>
                    </w:rPr>
                    <w:t>产业园区应实施道路、给水、排水、供热。按照园区建设规划，完善产业园区供水设施及管网建设；加快园区配套污水集中处理设施及配套管网等基础设施的建设工作。园区固体废弃物应有安全可行的处理处置措施，不得随意弃置危险固废严格按照有关规定收集、贮存、转运、处置，确保100%安全处置。</w:t>
                  </w:r>
                </w:p>
              </w:tc>
              <w:tc>
                <w:tcPr>
                  <w:tcW w:w="1572" w:type="dxa"/>
                  <w:vAlign w:val="center"/>
                </w:tcPr>
                <w:p>
                  <w:pPr>
                    <w:bidi w:val="0"/>
                    <w:jc w:val="center"/>
                    <w:rPr>
                      <w:color w:val="auto"/>
                      <w:sz w:val="21"/>
                      <w:szCs w:val="21"/>
                    </w:rPr>
                  </w:pPr>
                  <w:r>
                    <w:rPr>
                      <w:color w:val="auto"/>
                      <w:sz w:val="21"/>
                      <w:szCs w:val="21"/>
                    </w:rPr>
                    <w:t>/</w:t>
                  </w:r>
                </w:p>
              </w:tc>
              <w:tc>
                <w:tcPr>
                  <w:tcW w:w="812" w:type="dxa"/>
                  <w:vAlign w:val="center"/>
                </w:tcPr>
                <w:p>
                  <w:pPr>
                    <w:bidi w:val="0"/>
                    <w:jc w:val="center"/>
                    <w:rPr>
                      <w:color w:val="auto"/>
                      <w:sz w:val="21"/>
                      <w:szCs w:val="21"/>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8" w:hRule="atLeast"/>
              </w:trPr>
              <w:tc>
                <w:tcPr>
                  <w:tcW w:w="589" w:type="dxa"/>
                  <w:vAlign w:val="center"/>
                </w:tcPr>
                <w:p>
                  <w:pPr>
                    <w:bidi w:val="0"/>
                    <w:jc w:val="center"/>
                    <w:rPr>
                      <w:color w:val="auto"/>
                      <w:sz w:val="21"/>
                      <w:szCs w:val="21"/>
                    </w:rPr>
                  </w:pPr>
                  <w:r>
                    <w:rPr>
                      <w:color w:val="auto"/>
                      <w:sz w:val="21"/>
                      <w:szCs w:val="21"/>
                    </w:rPr>
                    <w:t>6</w:t>
                  </w:r>
                </w:p>
              </w:tc>
              <w:tc>
                <w:tcPr>
                  <w:tcW w:w="1088" w:type="dxa"/>
                  <w:vAlign w:val="center"/>
                </w:tcPr>
                <w:p>
                  <w:pPr>
                    <w:bidi w:val="0"/>
                    <w:jc w:val="center"/>
                    <w:rPr>
                      <w:color w:val="auto"/>
                      <w:sz w:val="21"/>
                      <w:szCs w:val="21"/>
                    </w:rPr>
                  </w:pPr>
                  <w:r>
                    <w:rPr>
                      <w:color w:val="auto"/>
                      <w:sz w:val="21"/>
                      <w:szCs w:val="21"/>
                    </w:rPr>
                    <w:t>严格落实各项规划环评措施</w:t>
                  </w:r>
                </w:p>
              </w:tc>
              <w:tc>
                <w:tcPr>
                  <w:tcW w:w="4643" w:type="dxa"/>
                  <w:vAlign w:val="center"/>
                </w:tcPr>
                <w:p>
                  <w:pPr>
                    <w:bidi w:val="0"/>
                    <w:jc w:val="left"/>
                    <w:rPr>
                      <w:color w:val="auto"/>
                      <w:sz w:val="21"/>
                      <w:szCs w:val="21"/>
                    </w:rPr>
                  </w:pPr>
                  <w:r>
                    <w:rPr>
                      <w:color w:val="auto"/>
                      <w:sz w:val="21"/>
                      <w:szCs w:val="21"/>
                    </w:rPr>
                    <w:t>规划批准后，应严格按照规划要求推动产业园区高质量发展，严守生态保护红线、环境质量底线、资源利用上线，落实《报告书》提出的各项措施，在实施范围、适用期限、规模、结构和布局等方面进行重大调整或者修订的，应当重新或者补充进行环境影响评价。</w:t>
                  </w:r>
                </w:p>
              </w:tc>
              <w:tc>
                <w:tcPr>
                  <w:tcW w:w="1572" w:type="dxa"/>
                  <w:vAlign w:val="center"/>
                </w:tcPr>
                <w:p>
                  <w:pPr>
                    <w:bidi w:val="0"/>
                    <w:jc w:val="center"/>
                    <w:rPr>
                      <w:color w:val="auto"/>
                      <w:sz w:val="21"/>
                      <w:szCs w:val="21"/>
                    </w:rPr>
                  </w:pPr>
                  <w:r>
                    <w:rPr>
                      <w:rFonts w:hint="default" w:ascii="Times New Roman" w:hAnsi="Times New Roman" w:eastAsia="宋体" w:cs="Times New Roman"/>
                      <w:b w:val="0"/>
                      <w:bCs w:val="0"/>
                      <w:color w:val="auto"/>
                      <w:sz w:val="21"/>
                      <w:szCs w:val="21"/>
                      <w:highlight w:val="none"/>
                      <w:u w:val="none"/>
                      <w:lang w:val="en-US" w:eastAsia="zh-CN"/>
                    </w:rPr>
                    <w:t>本项目位于先进制</w:t>
                  </w:r>
                  <w:r>
                    <w:rPr>
                      <w:rFonts w:hint="eastAsia" w:cs="Times New Roman"/>
                      <w:b w:val="0"/>
                      <w:bCs w:val="0"/>
                      <w:color w:val="auto"/>
                      <w:sz w:val="21"/>
                      <w:szCs w:val="21"/>
                      <w:highlight w:val="none"/>
                      <w:u w:val="none"/>
                      <w:lang w:val="en-US" w:eastAsia="zh-CN"/>
                    </w:rPr>
                    <w:t>造业</w:t>
                  </w:r>
                  <w:r>
                    <w:rPr>
                      <w:rFonts w:hint="default" w:ascii="Times New Roman" w:hAnsi="Times New Roman" w:eastAsia="宋体" w:cs="Times New Roman"/>
                      <w:b w:val="0"/>
                      <w:bCs w:val="0"/>
                      <w:color w:val="auto"/>
                      <w:sz w:val="21"/>
                      <w:szCs w:val="21"/>
                      <w:highlight w:val="none"/>
                      <w:u w:val="none"/>
                      <w:lang w:val="en-US" w:eastAsia="zh-CN"/>
                    </w:rPr>
                    <w:t>开发区规划范围内，对照“河南省“三线一单”生态环境分区管控更新成果（2023年版）”本项目属于河南省濮阳市清丰县重点管控单元—清丰县先进制造业开发区（环境管控单元编码：ZH41092220001），符合</w:t>
                  </w:r>
                  <w:r>
                    <w:rPr>
                      <w:rFonts w:hint="eastAsia" w:cs="Times New Roman"/>
                      <w:b w:val="0"/>
                      <w:bCs w:val="0"/>
                      <w:color w:val="auto"/>
                      <w:sz w:val="21"/>
                      <w:szCs w:val="21"/>
                      <w:highlight w:val="none"/>
                      <w:u w:val="none"/>
                      <w:lang w:val="en-US" w:eastAsia="zh-CN"/>
                    </w:rPr>
                    <w:t>“三线一单”</w:t>
                  </w:r>
                  <w:r>
                    <w:rPr>
                      <w:rFonts w:hint="default" w:ascii="Times New Roman" w:hAnsi="Times New Roman" w:eastAsia="宋体" w:cs="Times New Roman"/>
                      <w:b w:val="0"/>
                      <w:bCs w:val="0"/>
                      <w:color w:val="auto"/>
                      <w:sz w:val="21"/>
                      <w:szCs w:val="21"/>
                      <w:highlight w:val="none"/>
                      <w:u w:val="none"/>
                      <w:lang w:val="en-US" w:eastAsia="zh-CN"/>
                    </w:rPr>
                    <w:t>的要求</w:t>
                  </w:r>
                </w:p>
              </w:tc>
              <w:tc>
                <w:tcPr>
                  <w:tcW w:w="812" w:type="dxa"/>
                  <w:vAlign w:val="center"/>
                </w:tcPr>
                <w:p>
                  <w:pPr>
                    <w:bidi w:val="0"/>
                    <w:jc w:val="center"/>
                    <w:rPr>
                      <w:color w:val="auto"/>
                      <w:sz w:val="21"/>
                      <w:szCs w:val="21"/>
                    </w:rPr>
                  </w:pPr>
                  <w:r>
                    <w:rPr>
                      <w:color w:val="auto"/>
                      <w:sz w:val="21"/>
                      <w:szCs w:val="21"/>
                    </w:rPr>
                    <w:t>/</w:t>
                  </w:r>
                </w:p>
              </w:tc>
            </w:tr>
          </w:tbl>
          <w:p>
            <w:pPr>
              <w:widowControl/>
              <w:spacing w:line="360" w:lineRule="auto"/>
              <w:ind w:firstLine="480" w:firstLineChars="200"/>
              <w:jc w:val="left"/>
              <w:rPr>
                <w:rFonts w:ascii="Times New Roman" w:hAnsi="Times New Roman" w:eastAsia="宋体" w:cs="Times New Roman"/>
                <w:color w:val="auto"/>
                <w:kern w:val="0"/>
                <w:lang w:bidi="ar"/>
              </w:rPr>
            </w:pPr>
            <w:r>
              <w:rPr>
                <w:rFonts w:hint="eastAsia" w:ascii="Times New Roman" w:hAnsi="Times New Roman" w:eastAsia="宋体" w:cs="Times New Roman"/>
                <w:color w:val="auto"/>
                <w:kern w:val="0"/>
                <w:lang w:val="en-US" w:eastAsia="zh-CN" w:bidi="ar"/>
              </w:rPr>
              <w:t>由上</w:t>
            </w:r>
            <w:r>
              <w:rPr>
                <w:rFonts w:hint="eastAsia" w:cs="Times New Roman"/>
                <w:color w:val="auto"/>
                <w:kern w:val="0"/>
                <w:lang w:val="en-US" w:eastAsia="zh-CN" w:bidi="ar"/>
              </w:rPr>
              <w:t>表可</w:t>
            </w:r>
            <w:r>
              <w:rPr>
                <w:rFonts w:hint="eastAsia" w:ascii="Times New Roman" w:hAnsi="Times New Roman" w:eastAsia="宋体" w:cs="Times New Roman"/>
                <w:color w:val="auto"/>
                <w:kern w:val="0"/>
                <w:lang w:val="en-US" w:eastAsia="zh-CN" w:bidi="ar"/>
              </w:rPr>
              <w:t>知，本项目符合濮阳市生态环境局《关于清丰县限值制造业开发区发展规划（2022-2035）环境影响报告书的审查意见》中的相关要求。</w:t>
            </w:r>
          </w:p>
          <w:p>
            <w:pPr>
              <w:rPr>
                <w:rFonts w:eastAsia="宋体"/>
                <w:color w:val="auto"/>
                <w:szCs w:val="24"/>
              </w:rPr>
            </w:pPr>
          </w:p>
          <w:p>
            <w:pPr>
              <w:bidi w:val="0"/>
            </w:pPr>
          </w:p>
          <w:p>
            <w:pPr>
              <w:bidi w:val="0"/>
            </w:pPr>
          </w:p>
          <w:p>
            <w:pPr>
              <w:bidi w:val="0"/>
            </w:pPr>
          </w:p>
          <w:p>
            <w:pPr>
              <w:pStyle w:val="3"/>
              <w:keepNext/>
              <w:keepLines/>
              <w:pageBreakBefore w:val="0"/>
              <w:widowControl w:val="0"/>
              <w:kinsoku/>
              <w:wordWrap/>
              <w:overflowPunct/>
              <w:topLinePunct w:val="0"/>
              <w:autoSpaceDE/>
              <w:autoSpaceDN/>
              <w:bidi w:val="0"/>
              <w:adjustRightInd/>
              <w:snapToGrid/>
              <w:spacing w:before="0" w:after="0" w:line="240" w:lineRule="exact"/>
              <w:textAlignment w:val="auto"/>
              <w:rPr>
                <w:rFonts w:ascii="Times New Roman" w:hAnsi="Times New Roman" w:eastAsia="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701" w:hRule="atLeast"/>
          <w:jc w:val="center"/>
        </w:trPr>
        <w:tc>
          <w:tcPr>
            <w:tcW w:w="1382" w:type="dxa"/>
            <w:tcBorders>
              <w:tl2br w:val="nil"/>
              <w:tr2bl w:val="nil"/>
            </w:tcBorders>
            <w:vAlign w:val="center"/>
          </w:tcPr>
          <w:p>
            <w:pPr>
              <w:pStyle w:val="25"/>
              <w:rPr>
                <w:rFonts w:ascii="Times New Roman" w:hAnsi="Times New Roman" w:cs="Times New Roman"/>
                <w:color w:val="auto"/>
                <w:lang w:val="en-US" w:bidi="ar-SA"/>
              </w:rPr>
            </w:pPr>
            <w:r>
              <w:rPr>
                <w:rFonts w:ascii="Times New Roman" w:hAnsi="Times New Roman" w:cs="Times New Roman"/>
                <w:color w:val="auto"/>
                <w:lang w:val="en-US" w:bidi="ar-SA"/>
              </w:rPr>
              <w:t>其他符合性分析</w:t>
            </w:r>
          </w:p>
        </w:tc>
        <w:tc>
          <w:tcPr>
            <w:tcW w:w="8743" w:type="dxa"/>
            <w:gridSpan w:val="5"/>
            <w:tcBorders>
              <w:tl2br w:val="nil"/>
              <w:tr2bl w:val="nil"/>
            </w:tcBorders>
            <w:vAlign w:val="center"/>
          </w:tcPr>
          <w:p>
            <w:pPr>
              <w:pStyle w:val="3"/>
              <w:spacing w:before="0" w:after="0" w:line="360" w:lineRule="auto"/>
              <w:rPr>
                <w:rFonts w:ascii="Times New Roman" w:hAnsi="Times New Roman" w:eastAsia="宋体"/>
                <w:color w:val="auto"/>
                <w:sz w:val="24"/>
                <w:szCs w:val="24"/>
              </w:rPr>
            </w:pPr>
            <w:r>
              <w:rPr>
                <w:rFonts w:ascii="Times New Roman" w:hAnsi="Times New Roman" w:eastAsia="宋体"/>
                <w:color w:val="auto"/>
                <w:sz w:val="24"/>
                <w:szCs w:val="24"/>
              </w:rPr>
              <w:t>1、政策相符性分析</w:t>
            </w:r>
          </w:p>
          <w:p>
            <w:pPr>
              <w:widowControl/>
              <w:spacing w:line="360" w:lineRule="auto"/>
              <w:ind w:firstLine="482" w:firstLineChars="200"/>
              <w:jc w:val="left"/>
              <w:rPr>
                <w:color w:val="auto"/>
              </w:rPr>
            </w:pPr>
            <w:r>
              <w:rPr>
                <w:b/>
                <w:bCs/>
                <w:color w:val="auto"/>
                <w:kern w:val="0"/>
                <w:lang w:bidi="ar"/>
              </w:rPr>
              <w:t>1.1《市场准入负面清单（2022年版）》（发改体改规〔2022〕397号）</w:t>
            </w:r>
          </w:p>
          <w:p>
            <w:pPr>
              <w:widowControl/>
              <w:spacing w:line="360" w:lineRule="auto"/>
              <w:ind w:firstLine="480" w:firstLineChars="200"/>
              <w:jc w:val="left"/>
              <w:rPr>
                <w:color w:val="auto"/>
              </w:rPr>
            </w:pPr>
            <w:r>
              <w:rPr>
                <w:color w:val="auto"/>
                <w:kern w:val="0"/>
                <w:lang w:bidi="ar"/>
              </w:rPr>
              <w:t>经对照《市场准入负面清单（2022年版）》，项目不在禁止准入类和许可准入类之列，按照《市场准入负面清单（2022年版）》中“一、对市场准入负面清单以外的行业、领域、业务等，各类市场主体皆可依法平等进入。”的规定，本项目可进入市场。</w:t>
            </w:r>
          </w:p>
          <w:p>
            <w:pPr>
              <w:widowControl/>
              <w:spacing w:line="360" w:lineRule="auto"/>
              <w:ind w:firstLine="482" w:firstLineChars="200"/>
              <w:jc w:val="left"/>
              <w:rPr>
                <w:color w:val="auto"/>
              </w:rPr>
            </w:pPr>
            <w:r>
              <w:rPr>
                <w:b/>
                <w:bCs/>
                <w:color w:val="auto"/>
                <w:kern w:val="0"/>
                <w:lang w:bidi="ar"/>
              </w:rPr>
              <w:t>1.2与《产业结构调整指导目录（2024年本）》相符性分析</w:t>
            </w:r>
          </w:p>
          <w:p>
            <w:pPr>
              <w:widowControl/>
              <w:spacing w:line="360" w:lineRule="auto"/>
              <w:ind w:firstLine="480" w:firstLineChars="200"/>
              <w:jc w:val="left"/>
              <w:rPr>
                <w:color w:val="auto"/>
              </w:rPr>
            </w:pPr>
            <w:r>
              <w:rPr>
                <w:color w:val="auto"/>
                <w:kern w:val="0"/>
                <w:lang w:bidi="ar"/>
              </w:rPr>
              <w:t>根据《产业结构调整指导目录（2024年本）》，</w:t>
            </w:r>
            <w:r>
              <w:rPr>
                <w:rFonts w:hint="eastAsia" w:cs="Times New Roman"/>
                <w:b w:val="0"/>
                <w:bCs w:val="0"/>
                <w:color w:val="auto"/>
                <w:sz w:val="24"/>
                <w:szCs w:val="24"/>
                <w:highlight w:val="none"/>
                <w:lang w:val="en-US" w:eastAsia="zh-CN"/>
              </w:rPr>
              <w:t>本项目不属于“鼓励类、</w:t>
            </w:r>
            <w:r>
              <w:rPr>
                <w:rFonts w:hint="default" w:ascii="Times New Roman" w:hAnsi="Times New Roman" w:eastAsia="宋体" w:cs="Times New Roman"/>
                <w:b w:val="0"/>
                <w:bCs w:val="0"/>
                <w:color w:val="auto"/>
                <w:sz w:val="24"/>
                <w:szCs w:val="24"/>
                <w:highlight w:val="none"/>
                <w:lang w:val="en-US" w:eastAsia="zh-CN"/>
              </w:rPr>
              <w:t>淘汰类、限制类</w:t>
            </w:r>
            <w:r>
              <w:rPr>
                <w:rFonts w:hint="eastAsia"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建设项目，</w:t>
            </w:r>
            <w:r>
              <w:rPr>
                <w:color w:val="auto"/>
                <w:kern w:val="0"/>
                <w:lang w:bidi="ar"/>
              </w:rPr>
              <w:t>属于允许类，且项目已在清丰县先进制造业开发区管理委员会备案（见附件2），备案文号为：</w:t>
            </w:r>
            <w:r>
              <w:rPr>
                <w:rFonts w:hint="eastAsia"/>
                <w:color w:val="auto"/>
                <w:kern w:val="0"/>
                <w:shd w:val="clear"/>
                <w:lang w:eastAsia="zh-CN" w:bidi="ar"/>
              </w:rPr>
              <w:t>2507-410922-04-01-628185</w:t>
            </w:r>
            <w:r>
              <w:rPr>
                <w:color w:val="auto"/>
                <w:kern w:val="0"/>
                <w:shd w:val="clear"/>
                <w:lang w:bidi="ar"/>
              </w:rPr>
              <w:t>，</w:t>
            </w:r>
            <w:r>
              <w:rPr>
                <w:color w:val="auto"/>
                <w:kern w:val="0"/>
                <w:lang w:bidi="ar"/>
              </w:rPr>
              <w:t>本项目的建设符合国家当前的相关产业政策。</w:t>
            </w:r>
          </w:p>
          <w:p>
            <w:pPr>
              <w:widowControl/>
              <w:spacing w:line="360" w:lineRule="auto"/>
              <w:jc w:val="left"/>
              <w:rPr>
                <w:color w:val="auto"/>
              </w:rPr>
            </w:pPr>
            <w:r>
              <w:rPr>
                <w:b/>
                <w:bCs/>
                <w:color w:val="auto"/>
                <w:kern w:val="0"/>
                <w:lang w:bidi="ar"/>
              </w:rPr>
              <w:t>2、“三线一单”符合性分析</w:t>
            </w:r>
          </w:p>
          <w:p>
            <w:pPr>
              <w:widowControl/>
              <w:spacing w:line="360" w:lineRule="auto"/>
              <w:ind w:firstLine="480" w:firstLineChars="200"/>
              <w:jc w:val="left"/>
              <w:rPr>
                <w:color w:val="auto"/>
              </w:rPr>
            </w:pPr>
            <w:r>
              <w:rPr>
                <w:color w:val="auto"/>
                <w:kern w:val="0"/>
                <w:lang w:bidi="ar"/>
              </w:rPr>
              <w:t>（1）生态保护红线</w:t>
            </w:r>
          </w:p>
          <w:p>
            <w:pPr>
              <w:widowControl/>
              <w:spacing w:line="360" w:lineRule="auto"/>
              <w:ind w:firstLine="480" w:firstLineChars="200"/>
              <w:jc w:val="left"/>
              <w:rPr>
                <w:color w:val="auto"/>
                <w:kern w:val="0"/>
                <w:lang w:bidi="ar"/>
              </w:rPr>
            </w:pPr>
            <w:r>
              <w:rPr>
                <w:color w:val="auto"/>
                <w:kern w:val="0"/>
                <w:lang w:bidi="ar"/>
              </w:rPr>
              <w:t>根据《河南省生态环境准入清单》中河南省生态空间总体管控要求，生态保护红线总体要求如下：除国家重大战略项目外，仅允许对生态功能不造成破坏的有限人为活动，主要包括：零星的原住民在不扩大现有建设用地和耕地规模前提下，修缮生产生活设施，保留生活必需的少量种植、放牧、捕捞、养殖；因国家重大能源资源安全需要开展的战略性能源资源勘查，公益性自然资源调查和地质勘查；自然资源、生态环境监测和执法包括水文水资源监测及涉水违法事件的查处等，灾害防治和应急抢险活动；经依法批准进行的非破坏性科学研究观测、标本采集；经依法批准的考古调查发掘和文物保护活动；不破坏生态功能的适度参观旅游和相关的必要公共设施建设；必须且无法避让、符合县级以上国土空间规划的线性基础设施建设、防洪和供水设施建设与运行维护；重要生态修复工程。</w:t>
            </w:r>
          </w:p>
          <w:p>
            <w:pPr>
              <w:widowControl/>
              <w:spacing w:line="360" w:lineRule="auto"/>
              <w:ind w:firstLine="480" w:firstLineChars="200"/>
              <w:jc w:val="left"/>
              <w:rPr>
                <w:color w:val="auto"/>
                <w:kern w:val="0"/>
                <w:lang w:bidi="ar"/>
              </w:rPr>
            </w:pPr>
            <w:r>
              <w:rPr>
                <w:color w:val="auto"/>
                <w:kern w:val="0"/>
                <w:lang w:bidi="ar"/>
              </w:rPr>
              <w:t>本项目位于濮阳市</w:t>
            </w:r>
            <w:r>
              <w:rPr>
                <w:rFonts w:hint="eastAsia"/>
                <w:color w:val="auto"/>
                <w:kern w:val="0"/>
                <w:lang w:eastAsia="zh-CN" w:bidi="ar"/>
              </w:rPr>
              <w:t>清丰县先进制造业开发区东环路东侧、兴园路南侧2号车间</w:t>
            </w:r>
            <w:r>
              <w:rPr>
                <w:color w:val="auto"/>
                <w:kern w:val="0"/>
                <w:lang w:bidi="ar"/>
              </w:rPr>
              <w:t>，用地性质为工业用地，项目选址不涉及自然保护区、风景名胜区、森林公园、饮用水源保护区等，不在生态保护红线范围。</w:t>
            </w:r>
          </w:p>
          <w:p>
            <w:pPr>
              <w:widowControl/>
              <w:spacing w:line="360" w:lineRule="auto"/>
              <w:ind w:firstLine="480" w:firstLineChars="200"/>
              <w:jc w:val="left"/>
              <w:rPr>
                <w:color w:val="auto"/>
                <w:kern w:val="0"/>
                <w:lang w:bidi="ar"/>
              </w:rPr>
            </w:pPr>
            <w:r>
              <w:rPr>
                <w:color w:val="auto"/>
                <w:kern w:val="0"/>
                <w:lang w:bidi="ar"/>
              </w:rPr>
              <w:t>（2）资源利用上</w:t>
            </w:r>
            <w:r>
              <w:rPr>
                <w:rFonts w:hint="eastAsia"/>
                <w:color w:val="auto"/>
                <w:kern w:val="0"/>
                <w:lang w:bidi="ar"/>
              </w:rPr>
              <w:t>限</w:t>
            </w:r>
          </w:p>
          <w:p>
            <w:pPr>
              <w:widowControl/>
              <w:spacing w:line="360" w:lineRule="auto"/>
              <w:ind w:firstLine="480" w:firstLineChars="200"/>
              <w:jc w:val="left"/>
              <w:rPr>
                <w:color w:val="auto"/>
                <w:kern w:val="0"/>
                <w:lang w:bidi="ar"/>
              </w:rPr>
            </w:pPr>
            <w:r>
              <w:rPr>
                <w:color w:val="auto"/>
                <w:kern w:val="0"/>
                <w:lang w:bidi="ar"/>
              </w:rPr>
              <w:t>本项目运营消耗资源主要为电、水、木材等，项目耗电量和消耗水量相对区域资源利用总量较少，项目用水为生活用水，符合资源利用上限要求。</w:t>
            </w:r>
          </w:p>
          <w:p>
            <w:pPr>
              <w:widowControl/>
              <w:spacing w:line="360" w:lineRule="auto"/>
              <w:ind w:firstLine="480" w:firstLineChars="200"/>
              <w:jc w:val="left"/>
              <w:rPr>
                <w:color w:val="auto"/>
                <w:kern w:val="0"/>
                <w:lang w:bidi="ar"/>
              </w:rPr>
            </w:pPr>
            <w:r>
              <w:rPr>
                <w:color w:val="auto"/>
                <w:kern w:val="0"/>
                <w:lang w:bidi="ar"/>
              </w:rPr>
              <w:t>（3）环境质量底线</w:t>
            </w:r>
          </w:p>
          <w:p>
            <w:pPr>
              <w:widowControl/>
              <w:spacing w:line="360" w:lineRule="auto"/>
              <w:ind w:firstLine="480" w:firstLineChars="200"/>
              <w:jc w:val="both"/>
              <w:rPr>
                <w:color w:val="auto"/>
                <w:kern w:val="0"/>
                <w:lang w:bidi="ar"/>
              </w:rPr>
            </w:pPr>
            <w:r>
              <w:rPr>
                <w:rFonts w:hint="default" w:ascii="Times New Roman" w:hAnsi="Times New Roman" w:eastAsia="宋体" w:cs="Times New Roman"/>
                <w:b w:val="0"/>
                <w:bCs w:val="0"/>
                <w:color w:val="auto"/>
                <w:kern w:val="0"/>
                <w:sz w:val="24"/>
                <w:szCs w:val="24"/>
                <w:highlight w:val="none"/>
                <w:u w:val="none"/>
                <w:vertAlign w:val="baseline"/>
              </w:rPr>
              <w:t>202</w:t>
            </w:r>
            <w:r>
              <w:rPr>
                <w:rFonts w:hint="eastAsia" w:cs="Times New Roman"/>
                <w:b w:val="0"/>
                <w:bCs w:val="0"/>
                <w:color w:val="auto"/>
                <w:kern w:val="0"/>
                <w:sz w:val="24"/>
                <w:szCs w:val="24"/>
                <w:highlight w:val="none"/>
                <w:u w:val="none"/>
                <w:vertAlign w:val="baseline"/>
                <w:lang w:val="en-US" w:eastAsia="zh-CN"/>
              </w:rPr>
              <w:t>4</w:t>
            </w:r>
            <w:r>
              <w:rPr>
                <w:rFonts w:hint="default" w:ascii="Times New Roman" w:hAnsi="Times New Roman" w:eastAsia="宋体" w:cs="Times New Roman"/>
                <w:b w:val="0"/>
                <w:bCs w:val="0"/>
                <w:color w:val="auto"/>
                <w:kern w:val="0"/>
                <w:sz w:val="24"/>
                <w:szCs w:val="24"/>
                <w:highlight w:val="none"/>
                <w:u w:val="none"/>
                <w:vertAlign w:val="baseline"/>
              </w:rPr>
              <w:t>年</w:t>
            </w:r>
            <w:r>
              <w:rPr>
                <w:rFonts w:hint="default" w:ascii="Times New Roman" w:hAnsi="Times New Roman" w:eastAsia="宋体" w:cs="Times New Roman"/>
                <w:b w:val="0"/>
                <w:bCs w:val="0"/>
                <w:color w:val="auto"/>
                <w:kern w:val="0"/>
                <w:sz w:val="24"/>
                <w:szCs w:val="24"/>
                <w:highlight w:val="none"/>
                <w:u w:val="none"/>
                <w:vertAlign w:val="baseline"/>
                <w:lang w:eastAsia="zh-CN"/>
              </w:rPr>
              <w:t>濮阳市</w:t>
            </w:r>
            <w:r>
              <w:rPr>
                <w:rFonts w:hint="default" w:ascii="Times New Roman" w:hAnsi="Times New Roman" w:eastAsia="宋体" w:cs="Times New Roman"/>
                <w:b w:val="0"/>
                <w:bCs w:val="0"/>
                <w:color w:val="auto"/>
                <w:kern w:val="0"/>
                <w:sz w:val="24"/>
                <w:szCs w:val="24"/>
                <w:highlight w:val="none"/>
                <w:u w:val="none"/>
                <w:vertAlign w:val="baseline"/>
              </w:rPr>
              <w:t>区域</w:t>
            </w:r>
            <w:r>
              <w:rPr>
                <w:rFonts w:hint="default" w:ascii="Times New Roman" w:hAnsi="Times New Roman" w:eastAsia="宋体" w:cs="Times New Roman"/>
                <w:color w:val="auto"/>
                <w:sz w:val="24"/>
                <w:highlight w:val="none"/>
                <w:u w:val="none"/>
                <w:lang w:val="en-US" w:eastAsia="zh-CN"/>
              </w:rPr>
              <w:t>PM</w:t>
            </w:r>
            <w:r>
              <w:rPr>
                <w:rFonts w:hint="default" w:ascii="Times New Roman" w:hAnsi="Times New Roman" w:eastAsia="宋体" w:cs="Times New Roman"/>
                <w:color w:val="auto"/>
                <w:sz w:val="24"/>
                <w:highlight w:val="none"/>
                <w:u w:val="none"/>
                <w:vertAlign w:val="subscript"/>
                <w:lang w:val="en-US" w:eastAsia="zh-CN"/>
              </w:rPr>
              <w:t>10</w:t>
            </w:r>
            <w:r>
              <w:rPr>
                <w:rFonts w:hint="default" w:ascii="Times New Roman" w:hAnsi="Times New Roman" w:eastAsia="宋体" w:cs="Times New Roman"/>
                <w:color w:val="auto"/>
                <w:sz w:val="24"/>
                <w:highlight w:val="none"/>
                <w:u w:val="none"/>
                <w:lang w:val="en-US" w:eastAsia="zh-CN"/>
              </w:rPr>
              <w:t>年平均浓度、PM</w:t>
            </w:r>
            <w:r>
              <w:rPr>
                <w:rFonts w:hint="default" w:ascii="Times New Roman" w:hAnsi="Times New Roman" w:eastAsia="宋体" w:cs="Times New Roman"/>
                <w:color w:val="auto"/>
                <w:sz w:val="24"/>
                <w:highlight w:val="none"/>
                <w:u w:val="none"/>
                <w:vertAlign w:val="subscript"/>
                <w:lang w:val="en-US" w:eastAsia="zh-CN"/>
              </w:rPr>
              <w:t>2.5</w:t>
            </w:r>
            <w:r>
              <w:rPr>
                <w:rFonts w:hint="default" w:ascii="Times New Roman" w:hAnsi="Times New Roman" w:eastAsia="宋体" w:cs="Times New Roman"/>
                <w:color w:val="auto"/>
                <w:sz w:val="24"/>
                <w:highlight w:val="none"/>
                <w:u w:val="none"/>
                <w:lang w:val="en-US" w:eastAsia="zh-CN"/>
              </w:rPr>
              <w:t>年平均浓度及第95百分位数日平均质量浓度及O</w:t>
            </w:r>
            <w:r>
              <w:rPr>
                <w:rFonts w:hint="default" w:ascii="Times New Roman" w:hAnsi="Times New Roman" w:eastAsia="宋体" w:cs="Times New Roman"/>
                <w:color w:val="auto"/>
                <w:sz w:val="24"/>
                <w:highlight w:val="none"/>
                <w:u w:val="none"/>
                <w:vertAlign w:val="subscript"/>
                <w:lang w:val="en-US" w:eastAsia="zh-CN"/>
              </w:rPr>
              <w:t>3</w:t>
            </w:r>
            <w:r>
              <w:rPr>
                <w:rFonts w:hint="default" w:ascii="Times New Roman" w:hAnsi="Times New Roman" w:eastAsia="宋体" w:cs="Times New Roman"/>
                <w:color w:val="auto"/>
                <w:sz w:val="24"/>
                <w:highlight w:val="none"/>
                <w:u w:val="none"/>
                <w:lang w:val="en-US" w:eastAsia="zh-CN"/>
              </w:rPr>
              <w:t>日最大8小时平均质量浓度</w:t>
            </w:r>
            <w:r>
              <w:rPr>
                <w:rFonts w:hint="default" w:ascii="Times New Roman" w:hAnsi="Times New Roman" w:eastAsia="宋体" w:cs="Times New Roman"/>
                <w:b w:val="0"/>
                <w:bCs w:val="0"/>
                <w:color w:val="auto"/>
                <w:kern w:val="0"/>
                <w:sz w:val="24"/>
                <w:szCs w:val="24"/>
                <w:highlight w:val="none"/>
                <w:u w:val="none"/>
                <w:vertAlign w:val="baseline"/>
              </w:rPr>
              <w:t>超过《环境空气质量标准》（GB3095-2012）</w:t>
            </w:r>
            <w:r>
              <w:rPr>
                <w:rFonts w:hint="eastAsia" w:cs="Times New Roman"/>
                <w:b w:val="0"/>
                <w:bCs w:val="0"/>
                <w:color w:val="auto"/>
                <w:kern w:val="0"/>
                <w:sz w:val="24"/>
                <w:szCs w:val="24"/>
                <w:highlight w:val="none"/>
                <w:u w:val="none"/>
                <w:vertAlign w:val="baseline"/>
                <w:lang w:val="en-US" w:eastAsia="zh-CN"/>
              </w:rPr>
              <w:t>及修改单</w:t>
            </w:r>
            <w:r>
              <w:rPr>
                <w:rFonts w:hint="default" w:ascii="Times New Roman" w:hAnsi="Times New Roman" w:eastAsia="宋体" w:cs="Times New Roman"/>
                <w:b w:val="0"/>
                <w:bCs w:val="0"/>
                <w:color w:val="auto"/>
                <w:kern w:val="0"/>
                <w:sz w:val="24"/>
                <w:szCs w:val="24"/>
                <w:highlight w:val="none"/>
                <w:u w:val="none"/>
                <w:vertAlign w:val="baseline"/>
              </w:rPr>
              <w:t>中二级标准限值，</w:t>
            </w:r>
            <w:r>
              <w:rPr>
                <w:rFonts w:hint="default" w:ascii="Times New Roman" w:hAnsi="Times New Roman" w:eastAsia="宋体" w:cs="Times New Roman"/>
                <w:b w:val="0"/>
                <w:bCs w:val="0"/>
                <w:color w:val="auto"/>
                <w:kern w:val="0"/>
                <w:sz w:val="24"/>
                <w:szCs w:val="24"/>
                <w:highlight w:val="none"/>
                <w:u w:val="none"/>
                <w:vertAlign w:val="baseline"/>
                <w:lang w:eastAsia="zh-CN"/>
              </w:rPr>
              <w:t>濮阳市</w:t>
            </w:r>
            <w:r>
              <w:rPr>
                <w:rFonts w:hint="default" w:ascii="Times New Roman" w:hAnsi="Times New Roman" w:eastAsia="宋体" w:cs="Times New Roman"/>
                <w:b w:val="0"/>
                <w:bCs w:val="0"/>
                <w:color w:val="auto"/>
                <w:kern w:val="0"/>
                <w:sz w:val="24"/>
                <w:szCs w:val="24"/>
                <w:highlight w:val="none"/>
                <w:u w:val="none"/>
                <w:vertAlign w:val="baseline"/>
              </w:rPr>
              <w:t>区域为环境空气不达标区。根据《</w:t>
            </w:r>
            <w:r>
              <w:rPr>
                <w:rFonts w:hint="default" w:ascii="Times New Roman" w:hAnsi="Times New Roman" w:eastAsia="宋体" w:cs="Times New Roman"/>
                <w:b w:val="0"/>
                <w:bCs w:val="0"/>
                <w:color w:val="auto"/>
                <w:kern w:val="0"/>
                <w:sz w:val="24"/>
                <w:szCs w:val="24"/>
                <w:highlight w:val="none"/>
                <w:u w:val="none"/>
                <w:vertAlign w:val="baseline"/>
                <w:lang w:eastAsia="zh-CN"/>
              </w:rPr>
              <w:t>濮阳市</w:t>
            </w:r>
            <w:r>
              <w:rPr>
                <w:rFonts w:hint="default" w:ascii="Times New Roman" w:hAnsi="Times New Roman" w:eastAsia="宋体" w:cs="Times New Roman"/>
                <w:b w:val="0"/>
                <w:bCs w:val="0"/>
                <w:color w:val="auto"/>
                <w:kern w:val="0"/>
                <w:sz w:val="24"/>
                <w:szCs w:val="24"/>
                <w:highlight w:val="none"/>
                <w:u w:val="none"/>
                <w:vertAlign w:val="baseline"/>
              </w:rPr>
              <w:t>202</w:t>
            </w:r>
            <w:r>
              <w:rPr>
                <w:rFonts w:hint="eastAsia" w:cs="Times New Roman"/>
                <w:b w:val="0"/>
                <w:bCs w:val="0"/>
                <w:color w:val="auto"/>
                <w:kern w:val="0"/>
                <w:sz w:val="24"/>
                <w:szCs w:val="24"/>
                <w:highlight w:val="none"/>
                <w:u w:val="none"/>
                <w:vertAlign w:val="baseline"/>
                <w:lang w:val="en-US" w:eastAsia="zh-CN"/>
              </w:rPr>
              <w:t>5</w:t>
            </w:r>
            <w:r>
              <w:rPr>
                <w:rFonts w:hint="default" w:ascii="Times New Roman" w:hAnsi="Times New Roman" w:eastAsia="宋体" w:cs="Times New Roman"/>
                <w:b w:val="0"/>
                <w:bCs w:val="0"/>
                <w:color w:val="auto"/>
                <w:kern w:val="0"/>
                <w:sz w:val="24"/>
                <w:szCs w:val="24"/>
                <w:highlight w:val="none"/>
                <w:u w:val="none"/>
                <w:vertAlign w:val="baseline"/>
              </w:rPr>
              <w:t>年蓝天保卫战实施方案》，</w:t>
            </w:r>
            <w:r>
              <w:rPr>
                <w:rFonts w:hint="default" w:ascii="Times New Roman" w:hAnsi="Times New Roman" w:eastAsia="宋体" w:cs="Times New Roman"/>
                <w:b w:val="0"/>
                <w:bCs w:val="0"/>
                <w:color w:val="auto"/>
                <w:kern w:val="0"/>
                <w:sz w:val="24"/>
                <w:szCs w:val="24"/>
                <w:highlight w:val="none"/>
                <w:u w:val="none"/>
                <w:vertAlign w:val="baseline"/>
                <w:lang w:eastAsia="zh-CN"/>
              </w:rPr>
              <w:t>濮阳市</w:t>
            </w:r>
            <w:r>
              <w:rPr>
                <w:rFonts w:hint="default" w:ascii="Times New Roman" w:hAnsi="Times New Roman" w:eastAsia="宋体" w:cs="Times New Roman"/>
                <w:b w:val="0"/>
                <w:bCs w:val="0"/>
                <w:color w:val="auto"/>
                <w:kern w:val="0"/>
                <w:sz w:val="24"/>
                <w:szCs w:val="24"/>
                <w:highlight w:val="none"/>
                <w:u w:val="none"/>
                <w:vertAlign w:val="baseline"/>
              </w:rPr>
              <w:t>通过采取一系列环境保护措施，大气</w:t>
            </w:r>
            <w:r>
              <w:rPr>
                <w:rFonts w:hint="eastAsia" w:cs="Times New Roman"/>
                <w:b w:val="0"/>
                <w:bCs w:val="0"/>
                <w:color w:val="auto"/>
                <w:kern w:val="0"/>
                <w:sz w:val="24"/>
                <w:szCs w:val="24"/>
                <w:highlight w:val="none"/>
                <w:u w:val="none"/>
                <w:vertAlign w:val="baseline"/>
                <w:lang w:eastAsia="zh-CN"/>
              </w:rPr>
              <w:t>环境质量</w:t>
            </w:r>
            <w:r>
              <w:rPr>
                <w:rFonts w:hint="default" w:ascii="Times New Roman" w:hAnsi="Times New Roman" w:eastAsia="宋体" w:cs="Times New Roman"/>
                <w:b w:val="0"/>
                <w:bCs w:val="0"/>
                <w:color w:val="auto"/>
                <w:kern w:val="0"/>
                <w:sz w:val="24"/>
                <w:szCs w:val="24"/>
                <w:highlight w:val="none"/>
                <w:u w:val="none"/>
                <w:vertAlign w:val="baseline"/>
              </w:rPr>
              <w:t>可以得到逐步改善。</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20" w:lineRule="exact"/>
              <w:ind w:left="0" w:leftChars="0" w:firstLine="480" w:firstLineChars="200"/>
              <w:jc w:val="both"/>
              <w:textAlignment w:val="baseline"/>
              <w:rPr>
                <w:rFonts w:ascii="宋体" w:hAnsi="宋体" w:eastAsia="宋体" w:cs="宋体"/>
                <w:color w:val="auto"/>
                <w:sz w:val="24"/>
                <w:szCs w:val="24"/>
              </w:rPr>
            </w:pPr>
            <w:r>
              <w:rPr>
                <w:rFonts w:hint="default" w:ascii="Times New Roman" w:hAnsi="Times New Roman" w:eastAsia="宋体" w:cs="Times New Roman"/>
                <w:b w:val="0"/>
                <w:bCs w:val="0"/>
                <w:color w:val="auto"/>
                <w:kern w:val="0"/>
                <w:sz w:val="24"/>
                <w:szCs w:val="24"/>
                <w:highlight w:val="none"/>
                <w:u w:val="none"/>
                <w:vertAlign w:val="baseline"/>
              </w:rPr>
              <w:t>地表水：</w:t>
            </w:r>
            <w:r>
              <w:rPr>
                <w:rFonts w:ascii="宋体" w:hAnsi="宋体" w:eastAsia="宋体" w:cs="宋体"/>
                <w:color w:val="auto"/>
                <w:sz w:val="24"/>
                <w:szCs w:val="24"/>
              </w:rPr>
              <w:t>本项目区域主要地表水体为</w:t>
            </w:r>
            <w:r>
              <w:rPr>
                <w:rFonts w:hint="eastAsia" w:ascii="宋体" w:hAnsi="宋体" w:cs="宋体"/>
                <w:color w:val="auto"/>
                <w:sz w:val="24"/>
                <w:szCs w:val="24"/>
                <w:lang w:eastAsia="zh-CN"/>
              </w:rPr>
              <w:t>潴泷河</w:t>
            </w:r>
            <w:r>
              <w:rPr>
                <w:rFonts w:ascii="宋体" w:hAnsi="宋体" w:eastAsia="宋体" w:cs="宋体"/>
                <w:color w:val="auto"/>
                <w:sz w:val="24"/>
                <w:szCs w:val="24"/>
              </w:rPr>
              <w:t>，属于马颊河的支流。因清丰县境内无</w:t>
            </w:r>
            <w:r>
              <w:rPr>
                <w:rFonts w:hint="eastAsia" w:ascii="宋体" w:hAnsi="宋体" w:cs="宋体"/>
                <w:color w:val="auto"/>
                <w:sz w:val="24"/>
                <w:szCs w:val="24"/>
                <w:lang w:eastAsia="zh-CN"/>
              </w:rPr>
              <w:t>潴泷河</w:t>
            </w:r>
            <w:r>
              <w:rPr>
                <w:rFonts w:ascii="宋体" w:hAnsi="宋体" w:eastAsia="宋体" w:cs="宋体"/>
                <w:color w:val="auto"/>
                <w:sz w:val="24"/>
                <w:szCs w:val="24"/>
              </w:rPr>
              <w:t>监控断面，选取距离本项目最近的下游2024年马颊河西吉七断面水质进行评价，马颊河西吉七断面2024年第1月、第3月、第7月均有不同程度的超标，其他月份均满足《地表水环境质量标准》（GB3838-2002）</w:t>
            </w:r>
            <w:r>
              <w:rPr>
                <w:rFonts w:hint="eastAsia" w:ascii="宋体" w:hAnsi="宋体" w:cs="宋体"/>
                <w:color w:val="auto"/>
                <w:sz w:val="24"/>
                <w:szCs w:val="24"/>
                <w:lang w:eastAsia="zh-CN"/>
              </w:rPr>
              <w:t>Ⅲ类</w:t>
            </w:r>
            <w:r>
              <w:rPr>
                <w:rFonts w:ascii="宋体" w:hAnsi="宋体" w:eastAsia="宋体" w:cs="宋体"/>
                <w:color w:val="auto"/>
                <w:sz w:val="24"/>
                <w:szCs w:val="24"/>
              </w:rPr>
              <w:t>标准，超标原因可能是马颊河沿岸污水排放及农村面源的污染。</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20" w:lineRule="exact"/>
              <w:ind w:left="0" w:leftChars="0" w:firstLine="480" w:firstLineChars="200"/>
              <w:jc w:val="both"/>
              <w:textAlignment w:val="baseline"/>
              <w:rPr>
                <w:rFonts w:hint="default" w:ascii="Times New Roman" w:hAnsi="Times New Roman" w:eastAsia="宋体" w:cs="Times New Roman"/>
                <w:b w:val="0"/>
                <w:bCs w:val="0"/>
                <w:color w:val="auto"/>
                <w:sz w:val="24"/>
                <w:szCs w:val="36"/>
                <w:highlight w:val="none"/>
                <w:u w:val="none"/>
                <w:lang w:eastAsia="zh-CN"/>
              </w:rPr>
            </w:pPr>
            <w:r>
              <w:rPr>
                <w:rFonts w:ascii="宋体" w:hAnsi="宋体" w:eastAsia="宋体" w:cs="宋体"/>
                <w:color w:val="auto"/>
                <w:sz w:val="24"/>
                <w:szCs w:val="24"/>
              </w:rPr>
              <w:t>本项目废气、废水、噪声、固废在采取报告中提出的治理措施后，能够达到相应的排放标准，对周边环境质量影响较小，不会改变当地的环境功能。综上，本项目的建设运行不会突破项目所在地的环境质量底线，符合环境质量底线标准。</w:t>
            </w:r>
          </w:p>
          <w:p>
            <w:pPr>
              <w:widowControl/>
              <w:spacing w:line="360" w:lineRule="auto"/>
              <w:ind w:firstLine="480" w:firstLineChars="200"/>
              <w:jc w:val="left"/>
              <w:rPr>
                <w:color w:val="auto"/>
                <w:kern w:val="0"/>
                <w:lang w:bidi="ar"/>
              </w:rPr>
            </w:pPr>
            <w:r>
              <w:rPr>
                <w:color w:val="auto"/>
                <w:kern w:val="0"/>
                <w:lang w:bidi="ar"/>
              </w:rPr>
              <w:t>（4）与《河南省生态环境准入清单》相符性分析</w:t>
            </w:r>
          </w:p>
          <w:p>
            <w:pPr>
              <w:widowControl/>
              <w:spacing w:line="360" w:lineRule="auto"/>
              <w:ind w:firstLine="480" w:firstLineChars="200"/>
              <w:rPr>
                <w:b w:val="0"/>
                <w:bCs w:val="0"/>
                <w:color w:val="auto"/>
                <w:kern w:val="0"/>
                <w:u w:val="none"/>
                <w:lang w:bidi="ar"/>
              </w:rPr>
            </w:pPr>
            <w:r>
              <w:rPr>
                <w:b w:val="0"/>
                <w:bCs w:val="0"/>
                <w:color w:val="auto"/>
                <w:kern w:val="0"/>
                <w:u w:val="none"/>
                <w:lang w:bidi="ar"/>
              </w:rPr>
              <w:t>本项目位于河南省濮阳市清丰县先进制造业开发区，根据《河南省“三线一单”生态环境分区管控更新成果（2023年版）》及“河南省</w:t>
            </w:r>
            <w:r>
              <w:rPr>
                <w:rFonts w:hint="eastAsia"/>
                <w:b w:val="0"/>
                <w:bCs w:val="0"/>
                <w:color w:val="auto"/>
                <w:kern w:val="0"/>
                <w:u w:val="none"/>
                <w:lang w:eastAsia="zh-CN" w:bidi="ar"/>
              </w:rPr>
              <w:t>‘三线一单’</w:t>
            </w:r>
            <w:r>
              <w:rPr>
                <w:b w:val="0"/>
                <w:bCs w:val="0"/>
                <w:color w:val="auto"/>
                <w:kern w:val="0"/>
                <w:u w:val="none"/>
                <w:lang w:bidi="ar"/>
              </w:rPr>
              <w:t>综合信息应用平台”（http://222.143.64.178:5001/publicService）的查询结果，本项目位于清丰县先进制造业开发区重点管控单元（ZH41092220001），具体管控要求及本工程符合性分析见下表1-</w:t>
            </w:r>
            <w:r>
              <w:rPr>
                <w:rFonts w:hint="eastAsia"/>
                <w:b w:val="0"/>
                <w:bCs w:val="0"/>
                <w:color w:val="auto"/>
                <w:kern w:val="0"/>
                <w:u w:val="none"/>
                <w:lang w:val="en-US" w:eastAsia="zh-CN" w:bidi="ar"/>
              </w:rPr>
              <w:t>3</w:t>
            </w:r>
            <w:r>
              <w:rPr>
                <w:rFonts w:hint="eastAsia"/>
                <w:b w:val="0"/>
                <w:bCs w:val="0"/>
                <w:color w:val="auto"/>
                <w:kern w:val="0"/>
                <w:u w:val="none"/>
                <w:lang w:bidi="ar"/>
              </w:rPr>
              <w:t>。</w:t>
            </w:r>
          </w:p>
          <w:p>
            <w:pPr>
              <w:pStyle w:val="10"/>
              <w:rPr>
                <w:rFonts w:eastAsia="宋体"/>
                <w:color w:val="auto"/>
                <w:u w:val="none"/>
              </w:rPr>
            </w:pPr>
            <w:r>
              <w:rPr>
                <w:rFonts w:eastAsia="宋体"/>
                <w:b/>
                <w:bCs/>
                <w:color w:val="auto"/>
                <w:u w:val="none"/>
              </w:rPr>
              <w:t>表1-</w:t>
            </w:r>
            <w:r>
              <w:rPr>
                <w:rFonts w:hint="eastAsia" w:eastAsia="宋体"/>
                <w:b/>
                <w:bCs/>
                <w:color w:val="auto"/>
                <w:u w:val="none"/>
                <w:lang w:val="en-US" w:eastAsia="zh-CN"/>
              </w:rPr>
              <w:t>3</w:t>
            </w:r>
            <w:r>
              <w:rPr>
                <w:rFonts w:hint="eastAsia" w:eastAsia="宋体"/>
                <w:b/>
                <w:bCs/>
                <w:color w:val="auto"/>
                <w:u w:val="none"/>
              </w:rPr>
              <w:t xml:space="preserve"> </w:t>
            </w:r>
            <w:r>
              <w:rPr>
                <w:rFonts w:eastAsia="宋体"/>
                <w:b/>
                <w:bCs/>
                <w:color w:val="auto"/>
                <w:u w:val="none"/>
              </w:rPr>
              <w:t xml:space="preserve"> 项目与</w:t>
            </w:r>
            <w:r>
              <w:rPr>
                <w:rFonts w:hint="eastAsia" w:eastAsia="宋体"/>
                <w:b/>
                <w:bCs/>
                <w:color w:val="auto"/>
                <w:u w:val="none"/>
              </w:rPr>
              <w:t>清丰县先进制造业开发区</w:t>
            </w:r>
            <w:r>
              <w:rPr>
                <w:rFonts w:eastAsia="宋体"/>
                <w:b/>
                <w:bCs/>
                <w:color w:val="auto"/>
                <w:u w:val="none"/>
              </w:rPr>
              <w:t>生态环境总体准入要求相符性分析</w:t>
            </w:r>
          </w:p>
          <w:tbl>
            <w:tblPr>
              <w:tblStyle w:val="23"/>
              <w:tblW w:w="85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13"/>
              <w:gridCol w:w="688"/>
              <w:gridCol w:w="3743"/>
              <w:gridCol w:w="1971"/>
              <w:gridCol w:w="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vAlign w:val="center"/>
                </w:tcPr>
                <w:p>
                  <w:pPr>
                    <w:pStyle w:val="3"/>
                    <w:spacing w:before="0" w:after="0" w:line="240" w:lineRule="auto"/>
                    <w:jc w:val="center"/>
                    <w:outlineLvl w:val="1"/>
                    <w:rPr>
                      <w:rFonts w:ascii="Times New Roman" w:hAnsi="Times New Roman" w:eastAsia="宋体"/>
                      <w:b/>
                      <w:bCs w:val="0"/>
                      <w:color w:val="auto"/>
                      <w:sz w:val="21"/>
                      <w:szCs w:val="21"/>
                      <w:u w:val="none"/>
                    </w:rPr>
                  </w:pPr>
                  <w:r>
                    <w:rPr>
                      <w:rFonts w:ascii="Times New Roman" w:hAnsi="Times New Roman" w:eastAsia="宋体"/>
                      <w:b/>
                      <w:bCs w:val="0"/>
                      <w:color w:val="auto"/>
                      <w:sz w:val="21"/>
                      <w:szCs w:val="21"/>
                      <w:u w:val="none"/>
                    </w:rPr>
                    <w:t>环境管控单元名称</w:t>
                  </w:r>
                </w:p>
              </w:tc>
              <w:tc>
                <w:tcPr>
                  <w:tcW w:w="913" w:type="dxa"/>
                  <w:vAlign w:val="center"/>
                </w:tcPr>
                <w:p>
                  <w:pPr>
                    <w:pStyle w:val="3"/>
                    <w:spacing w:before="0" w:after="0" w:line="240" w:lineRule="auto"/>
                    <w:jc w:val="center"/>
                    <w:outlineLvl w:val="1"/>
                    <w:rPr>
                      <w:rFonts w:ascii="Times New Roman" w:hAnsi="Times New Roman" w:eastAsia="宋体"/>
                      <w:b/>
                      <w:bCs w:val="0"/>
                      <w:color w:val="auto"/>
                      <w:sz w:val="21"/>
                      <w:szCs w:val="21"/>
                      <w:u w:val="none"/>
                    </w:rPr>
                  </w:pPr>
                  <w:r>
                    <w:rPr>
                      <w:rFonts w:ascii="Times New Roman" w:hAnsi="Times New Roman" w:eastAsia="宋体"/>
                      <w:b/>
                      <w:bCs w:val="0"/>
                      <w:color w:val="auto"/>
                      <w:sz w:val="21"/>
                      <w:szCs w:val="21"/>
                      <w:u w:val="none"/>
                    </w:rPr>
                    <w:t>管控单元分类</w:t>
                  </w:r>
                </w:p>
              </w:tc>
              <w:tc>
                <w:tcPr>
                  <w:tcW w:w="4431" w:type="dxa"/>
                  <w:gridSpan w:val="2"/>
                  <w:vAlign w:val="center"/>
                </w:tcPr>
                <w:p>
                  <w:pPr>
                    <w:pStyle w:val="3"/>
                    <w:spacing w:before="0" w:after="0" w:line="240" w:lineRule="auto"/>
                    <w:jc w:val="center"/>
                    <w:outlineLvl w:val="1"/>
                    <w:rPr>
                      <w:rFonts w:ascii="Times New Roman" w:hAnsi="Times New Roman" w:eastAsia="宋体"/>
                      <w:b/>
                      <w:bCs w:val="0"/>
                      <w:color w:val="auto"/>
                      <w:sz w:val="21"/>
                      <w:szCs w:val="21"/>
                      <w:u w:val="none"/>
                    </w:rPr>
                  </w:pPr>
                  <w:r>
                    <w:rPr>
                      <w:rFonts w:ascii="Times New Roman" w:hAnsi="Times New Roman" w:eastAsia="宋体"/>
                      <w:b/>
                      <w:bCs w:val="0"/>
                      <w:color w:val="auto"/>
                      <w:sz w:val="21"/>
                      <w:szCs w:val="21"/>
                      <w:u w:val="none"/>
                    </w:rPr>
                    <w:t>管控单元</w:t>
                  </w:r>
                </w:p>
              </w:tc>
              <w:tc>
                <w:tcPr>
                  <w:tcW w:w="1971" w:type="dxa"/>
                  <w:vAlign w:val="center"/>
                </w:tcPr>
                <w:p>
                  <w:pPr>
                    <w:pStyle w:val="3"/>
                    <w:spacing w:before="0" w:after="0" w:line="240" w:lineRule="auto"/>
                    <w:jc w:val="center"/>
                    <w:outlineLvl w:val="1"/>
                    <w:rPr>
                      <w:rFonts w:ascii="Times New Roman" w:hAnsi="Times New Roman" w:eastAsia="宋体"/>
                      <w:b/>
                      <w:bCs w:val="0"/>
                      <w:color w:val="auto"/>
                      <w:sz w:val="21"/>
                      <w:szCs w:val="21"/>
                      <w:u w:val="none"/>
                    </w:rPr>
                  </w:pPr>
                  <w:r>
                    <w:rPr>
                      <w:rFonts w:ascii="Times New Roman" w:hAnsi="Times New Roman" w:eastAsia="宋体"/>
                      <w:b/>
                      <w:bCs w:val="0"/>
                      <w:color w:val="auto"/>
                      <w:sz w:val="21"/>
                      <w:szCs w:val="21"/>
                      <w:u w:val="none"/>
                    </w:rPr>
                    <w:t>本项目情况</w:t>
                  </w:r>
                </w:p>
              </w:tc>
              <w:tc>
                <w:tcPr>
                  <w:tcW w:w="372" w:type="dxa"/>
                  <w:vAlign w:val="center"/>
                </w:tcPr>
                <w:p>
                  <w:pPr>
                    <w:pStyle w:val="3"/>
                    <w:spacing w:before="0" w:after="0" w:line="240" w:lineRule="auto"/>
                    <w:jc w:val="center"/>
                    <w:outlineLvl w:val="1"/>
                    <w:rPr>
                      <w:rFonts w:ascii="Times New Roman" w:hAnsi="Times New Roman" w:eastAsia="宋体"/>
                      <w:b/>
                      <w:bCs w:val="0"/>
                      <w:color w:val="auto"/>
                      <w:sz w:val="21"/>
                      <w:szCs w:val="21"/>
                      <w:u w:val="none"/>
                    </w:rPr>
                  </w:pPr>
                  <w:r>
                    <w:rPr>
                      <w:rFonts w:ascii="Times New Roman" w:hAnsi="Times New Roman" w:eastAsia="宋体"/>
                      <w:b/>
                      <w:bCs w:val="0"/>
                      <w:color w:val="auto"/>
                      <w:sz w:val="21"/>
                      <w:szCs w:val="21"/>
                      <w:u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07" w:type="dxa"/>
                  <w:vMerge w:val="restart"/>
                  <w:vAlign w:val="center"/>
                </w:tcPr>
                <w:p>
                  <w:pPr>
                    <w:widowControl/>
                    <w:jc w:val="left"/>
                    <w:rPr>
                      <w:b w:val="0"/>
                      <w:bCs/>
                      <w:color w:val="auto"/>
                      <w:sz w:val="21"/>
                      <w:szCs w:val="21"/>
                      <w:u w:val="none"/>
                    </w:rPr>
                  </w:pPr>
                  <w:r>
                    <w:rPr>
                      <w:rFonts w:hint="eastAsia"/>
                      <w:b w:val="0"/>
                      <w:bCs/>
                      <w:color w:val="auto"/>
                      <w:kern w:val="0"/>
                      <w:sz w:val="21"/>
                      <w:szCs w:val="21"/>
                      <w:u w:val="none"/>
                      <w:lang w:bidi="ar"/>
                    </w:rPr>
                    <w:t>清丰县先进制造业开发区</w:t>
                  </w:r>
                </w:p>
              </w:tc>
              <w:tc>
                <w:tcPr>
                  <w:tcW w:w="913" w:type="dxa"/>
                  <w:vMerge w:val="restart"/>
                  <w:vAlign w:val="center"/>
                </w:tcPr>
                <w:p>
                  <w:pPr>
                    <w:widowControl/>
                    <w:jc w:val="left"/>
                    <w:rPr>
                      <w:b w:val="0"/>
                      <w:bCs/>
                      <w:color w:val="auto"/>
                      <w:sz w:val="21"/>
                      <w:szCs w:val="21"/>
                      <w:u w:val="none"/>
                    </w:rPr>
                  </w:pPr>
                  <w:r>
                    <w:rPr>
                      <w:b w:val="0"/>
                      <w:bCs/>
                      <w:color w:val="auto"/>
                      <w:kern w:val="0"/>
                      <w:sz w:val="21"/>
                      <w:szCs w:val="21"/>
                      <w:u w:val="none"/>
                      <w:lang w:bidi="ar"/>
                    </w:rPr>
                    <w:t>重点管控单元</w:t>
                  </w:r>
                  <w:r>
                    <w:rPr>
                      <w:rFonts w:hint="eastAsia"/>
                      <w:b w:val="0"/>
                      <w:bCs/>
                      <w:color w:val="auto"/>
                      <w:kern w:val="0"/>
                      <w:sz w:val="21"/>
                      <w:szCs w:val="21"/>
                      <w:u w:val="none"/>
                      <w:lang w:bidi="ar"/>
                    </w:rPr>
                    <w:t>（</w:t>
                  </w:r>
                  <w:r>
                    <w:rPr>
                      <w:b w:val="0"/>
                      <w:bCs/>
                      <w:color w:val="auto"/>
                      <w:kern w:val="0"/>
                      <w:sz w:val="21"/>
                      <w:szCs w:val="21"/>
                      <w:u w:val="none"/>
                      <w:lang w:bidi="ar"/>
                    </w:rPr>
                    <w:t>ZH41092220001</w:t>
                  </w:r>
                  <w:r>
                    <w:rPr>
                      <w:rFonts w:hint="eastAsia"/>
                      <w:b w:val="0"/>
                      <w:bCs/>
                      <w:color w:val="auto"/>
                      <w:kern w:val="0"/>
                      <w:sz w:val="21"/>
                      <w:szCs w:val="21"/>
                      <w:u w:val="none"/>
                      <w:lang w:bidi="ar"/>
                    </w:rPr>
                    <w:t>）</w:t>
                  </w:r>
                </w:p>
              </w:tc>
              <w:tc>
                <w:tcPr>
                  <w:tcW w:w="688" w:type="dxa"/>
                  <w:vAlign w:val="center"/>
                </w:tcPr>
                <w:p>
                  <w:pPr>
                    <w:widowControl/>
                    <w:jc w:val="left"/>
                    <w:rPr>
                      <w:b w:val="0"/>
                      <w:bCs/>
                      <w:color w:val="auto"/>
                      <w:sz w:val="21"/>
                      <w:szCs w:val="21"/>
                      <w:u w:val="none"/>
                    </w:rPr>
                  </w:pPr>
                  <w:r>
                    <w:rPr>
                      <w:b w:val="0"/>
                      <w:bCs/>
                      <w:color w:val="auto"/>
                      <w:kern w:val="0"/>
                      <w:sz w:val="21"/>
                      <w:szCs w:val="21"/>
                      <w:u w:val="none"/>
                      <w:lang w:bidi="ar"/>
                    </w:rPr>
                    <w:t>空间布局约束</w:t>
                  </w:r>
                </w:p>
              </w:tc>
              <w:tc>
                <w:tcPr>
                  <w:tcW w:w="3743" w:type="dxa"/>
                  <w:vAlign w:val="center"/>
                </w:tcPr>
                <w:p>
                  <w:pPr>
                    <w:widowControl/>
                    <w:jc w:val="left"/>
                    <w:rPr>
                      <w:b w:val="0"/>
                      <w:bCs/>
                      <w:color w:val="auto"/>
                      <w:sz w:val="21"/>
                      <w:szCs w:val="21"/>
                      <w:u w:val="none"/>
                    </w:rPr>
                  </w:pPr>
                  <w:r>
                    <w:rPr>
                      <w:b w:val="0"/>
                      <w:bCs/>
                      <w:color w:val="auto"/>
                      <w:sz w:val="21"/>
                      <w:szCs w:val="21"/>
                      <w:u w:val="none"/>
                    </w:rPr>
                    <w:t>1、入驻项目应符合园区规划或规划环评的要求，禁止发展用排水量较大或污染严重风险较大的化学原料、医药中间体等化工项目，按照用排水量控制屠宰项目。2、按照当地主导风向，从南至北依次布设家具制造、食品加工、机械加工，同时考虑到区内现有居</w:t>
                  </w:r>
                  <w:r>
                    <w:rPr>
                      <w:rFonts w:hint="eastAsia"/>
                      <w:b w:val="0"/>
                      <w:bCs/>
                      <w:color w:val="auto"/>
                      <w:sz w:val="21"/>
                      <w:szCs w:val="21"/>
                      <w:u w:val="none"/>
                      <w:lang w:eastAsia="zh-CN"/>
                    </w:rPr>
                    <w:t>民</w:t>
                  </w:r>
                  <w:r>
                    <w:rPr>
                      <w:b w:val="0"/>
                      <w:bCs/>
                      <w:color w:val="auto"/>
                      <w:sz w:val="21"/>
                      <w:szCs w:val="21"/>
                      <w:u w:val="none"/>
                    </w:rPr>
                    <w:t>点的整合，布设综合服务带贯通三个产业片区。3、马庄桥商贸物流园区发展家具贸易和商贸物流业，六塔工业园发展节能环保产业。</w:t>
                  </w:r>
                </w:p>
              </w:tc>
              <w:tc>
                <w:tcPr>
                  <w:tcW w:w="1971" w:type="dxa"/>
                  <w:vAlign w:val="center"/>
                </w:tcPr>
                <w:p>
                  <w:pPr>
                    <w:widowControl/>
                    <w:jc w:val="left"/>
                    <w:rPr>
                      <w:b w:val="0"/>
                      <w:bCs/>
                      <w:color w:val="auto"/>
                      <w:kern w:val="0"/>
                      <w:sz w:val="21"/>
                      <w:szCs w:val="21"/>
                      <w:u w:val="none"/>
                      <w:lang w:bidi="ar"/>
                    </w:rPr>
                  </w:pPr>
                  <w:r>
                    <w:rPr>
                      <w:rFonts w:hint="eastAsia"/>
                      <w:b w:val="0"/>
                      <w:bCs/>
                      <w:color w:val="auto"/>
                      <w:kern w:val="0"/>
                      <w:sz w:val="21"/>
                      <w:szCs w:val="21"/>
                      <w:u w:val="none"/>
                      <w:lang w:bidi="ar"/>
                    </w:rPr>
                    <w:t>1、</w:t>
                  </w:r>
                  <w:r>
                    <w:rPr>
                      <w:b w:val="0"/>
                      <w:bCs/>
                      <w:color w:val="auto"/>
                      <w:kern w:val="0"/>
                      <w:sz w:val="21"/>
                      <w:szCs w:val="21"/>
                      <w:u w:val="none"/>
                      <w:lang w:bidi="ar"/>
                    </w:rPr>
                    <w:t>项目不属于列举</w:t>
                  </w:r>
                  <w:r>
                    <w:rPr>
                      <w:rFonts w:hint="eastAsia"/>
                      <w:b w:val="0"/>
                      <w:bCs/>
                      <w:color w:val="auto"/>
                      <w:kern w:val="0"/>
                      <w:sz w:val="21"/>
                      <w:szCs w:val="21"/>
                      <w:u w:val="none"/>
                      <w:lang w:bidi="ar"/>
                    </w:rPr>
                    <w:t>禁止发展</w:t>
                  </w:r>
                  <w:r>
                    <w:rPr>
                      <w:b w:val="0"/>
                      <w:bCs/>
                      <w:color w:val="auto"/>
                      <w:kern w:val="0"/>
                      <w:sz w:val="21"/>
                      <w:szCs w:val="21"/>
                      <w:u w:val="none"/>
                      <w:lang w:bidi="ar"/>
                    </w:rPr>
                    <w:t>项目。</w:t>
                  </w:r>
                </w:p>
                <w:p>
                  <w:pPr>
                    <w:widowControl/>
                    <w:jc w:val="left"/>
                    <w:rPr>
                      <w:b w:val="0"/>
                      <w:bCs/>
                      <w:color w:val="auto"/>
                      <w:kern w:val="0"/>
                      <w:sz w:val="21"/>
                      <w:szCs w:val="21"/>
                      <w:u w:val="none"/>
                      <w:lang w:bidi="ar"/>
                    </w:rPr>
                  </w:pPr>
                  <w:r>
                    <w:rPr>
                      <w:rFonts w:hint="eastAsia"/>
                      <w:b w:val="0"/>
                      <w:bCs/>
                      <w:color w:val="auto"/>
                      <w:kern w:val="0"/>
                      <w:sz w:val="21"/>
                      <w:szCs w:val="21"/>
                      <w:u w:val="none"/>
                      <w:lang w:bidi="ar"/>
                    </w:rPr>
                    <w:t>2、</w:t>
                  </w:r>
                  <w:r>
                    <w:rPr>
                      <w:b w:val="0"/>
                      <w:bCs/>
                      <w:color w:val="auto"/>
                      <w:kern w:val="0"/>
                      <w:sz w:val="21"/>
                      <w:szCs w:val="21"/>
                      <w:u w:val="none"/>
                      <w:lang w:bidi="ar"/>
                    </w:rPr>
                    <w:t>项目属于</w:t>
                  </w:r>
                  <w:r>
                    <w:rPr>
                      <w:rFonts w:hint="eastAsia"/>
                      <w:b w:val="0"/>
                      <w:bCs/>
                      <w:color w:val="auto"/>
                      <w:kern w:val="0"/>
                      <w:sz w:val="21"/>
                      <w:szCs w:val="21"/>
                      <w:u w:val="none"/>
                      <w:lang w:bidi="ar"/>
                    </w:rPr>
                    <w:t>家具制造</w:t>
                  </w:r>
                  <w:r>
                    <w:rPr>
                      <w:b w:val="0"/>
                      <w:bCs/>
                      <w:color w:val="auto"/>
                      <w:kern w:val="0"/>
                      <w:sz w:val="21"/>
                      <w:szCs w:val="21"/>
                      <w:u w:val="none"/>
                      <w:lang w:bidi="ar"/>
                    </w:rPr>
                    <w:t>项目</w:t>
                  </w:r>
                  <w:r>
                    <w:rPr>
                      <w:rFonts w:hint="eastAsia"/>
                      <w:b w:val="0"/>
                      <w:bCs/>
                      <w:color w:val="auto"/>
                      <w:kern w:val="0"/>
                      <w:sz w:val="21"/>
                      <w:szCs w:val="21"/>
                      <w:u w:val="none"/>
                      <w:lang w:bidi="ar"/>
                    </w:rPr>
                    <w:t>，符合布局要求</w:t>
                  </w:r>
                  <w:r>
                    <w:rPr>
                      <w:b w:val="0"/>
                      <w:bCs/>
                      <w:color w:val="auto"/>
                      <w:kern w:val="0"/>
                      <w:sz w:val="21"/>
                      <w:szCs w:val="21"/>
                      <w:u w:val="none"/>
                      <w:lang w:bidi="ar"/>
                    </w:rPr>
                    <w:t>。</w:t>
                  </w:r>
                </w:p>
                <w:p>
                  <w:pPr>
                    <w:widowControl/>
                    <w:jc w:val="left"/>
                    <w:rPr>
                      <w:b w:val="0"/>
                      <w:bCs/>
                      <w:color w:val="auto"/>
                      <w:kern w:val="0"/>
                      <w:sz w:val="21"/>
                      <w:szCs w:val="21"/>
                      <w:u w:val="none"/>
                      <w:lang w:bidi="ar"/>
                    </w:rPr>
                  </w:pPr>
                  <w:r>
                    <w:rPr>
                      <w:rFonts w:hint="eastAsia"/>
                      <w:b w:val="0"/>
                      <w:bCs/>
                      <w:color w:val="auto"/>
                      <w:kern w:val="0"/>
                      <w:sz w:val="21"/>
                      <w:szCs w:val="21"/>
                      <w:u w:val="none"/>
                      <w:lang w:bidi="ar"/>
                    </w:rPr>
                    <w:t>3、项目位于清丰县先进制造业开发区，不涉及马庄桥商贸物流园区和</w:t>
                  </w:r>
                  <w:r>
                    <w:rPr>
                      <w:b w:val="0"/>
                      <w:bCs/>
                      <w:color w:val="auto"/>
                      <w:sz w:val="21"/>
                      <w:szCs w:val="21"/>
                      <w:u w:val="none"/>
                    </w:rPr>
                    <w:t>六塔工业园</w:t>
                  </w:r>
                  <w:r>
                    <w:rPr>
                      <w:rFonts w:hint="eastAsia"/>
                      <w:b w:val="0"/>
                      <w:bCs/>
                      <w:color w:val="auto"/>
                      <w:sz w:val="21"/>
                      <w:szCs w:val="21"/>
                      <w:u w:val="none"/>
                    </w:rPr>
                    <w:t>。</w:t>
                  </w:r>
                </w:p>
              </w:tc>
              <w:tc>
                <w:tcPr>
                  <w:tcW w:w="372" w:type="dxa"/>
                  <w:vAlign w:val="center"/>
                </w:tcPr>
                <w:p>
                  <w:pPr>
                    <w:autoSpaceDE w:val="0"/>
                    <w:autoSpaceDN w:val="0"/>
                    <w:adjustRightInd w:val="0"/>
                    <w:snapToGrid w:val="0"/>
                    <w:jc w:val="center"/>
                    <w:rPr>
                      <w:b w:val="0"/>
                      <w:bCs/>
                      <w:color w:val="auto"/>
                      <w:sz w:val="21"/>
                      <w:szCs w:val="21"/>
                      <w:u w:val="none"/>
                    </w:rPr>
                  </w:pPr>
                  <w:r>
                    <w:rPr>
                      <w:b w:val="0"/>
                      <w:bCs/>
                      <w:color w:val="auto"/>
                      <w:sz w:val="21"/>
                      <w:szCs w:val="21"/>
                      <w:u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907" w:type="dxa"/>
                  <w:vMerge w:val="continue"/>
                  <w:vAlign w:val="center"/>
                </w:tcPr>
                <w:p>
                  <w:pPr>
                    <w:pStyle w:val="3"/>
                    <w:spacing w:before="0" w:after="0" w:line="240" w:lineRule="auto"/>
                    <w:jc w:val="center"/>
                    <w:outlineLvl w:val="1"/>
                    <w:rPr>
                      <w:rFonts w:ascii="Times New Roman" w:hAnsi="Times New Roman" w:eastAsia="宋体"/>
                      <w:b w:val="0"/>
                      <w:bCs/>
                      <w:color w:val="auto"/>
                      <w:sz w:val="21"/>
                      <w:szCs w:val="21"/>
                      <w:u w:val="none"/>
                    </w:rPr>
                  </w:pPr>
                </w:p>
              </w:tc>
              <w:tc>
                <w:tcPr>
                  <w:tcW w:w="913" w:type="dxa"/>
                  <w:vMerge w:val="continue"/>
                  <w:vAlign w:val="center"/>
                </w:tcPr>
                <w:p>
                  <w:pPr>
                    <w:pStyle w:val="3"/>
                    <w:spacing w:before="0" w:after="0" w:line="240" w:lineRule="auto"/>
                    <w:jc w:val="center"/>
                    <w:outlineLvl w:val="1"/>
                    <w:rPr>
                      <w:rFonts w:ascii="Times New Roman" w:hAnsi="Times New Roman" w:eastAsia="宋体"/>
                      <w:b w:val="0"/>
                      <w:bCs/>
                      <w:color w:val="auto"/>
                      <w:sz w:val="21"/>
                      <w:szCs w:val="21"/>
                      <w:u w:val="none"/>
                    </w:rPr>
                  </w:pPr>
                </w:p>
              </w:tc>
              <w:tc>
                <w:tcPr>
                  <w:tcW w:w="688" w:type="dxa"/>
                  <w:vAlign w:val="center"/>
                </w:tcPr>
                <w:p>
                  <w:pPr>
                    <w:widowControl/>
                    <w:jc w:val="left"/>
                    <w:rPr>
                      <w:b w:val="0"/>
                      <w:bCs/>
                      <w:color w:val="auto"/>
                      <w:sz w:val="21"/>
                      <w:szCs w:val="21"/>
                      <w:u w:val="none"/>
                    </w:rPr>
                  </w:pPr>
                  <w:r>
                    <w:rPr>
                      <w:b w:val="0"/>
                      <w:bCs/>
                      <w:color w:val="auto"/>
                      <w:kern w:val="0"/>
                      <w:sz w:val="21"/>
                      <w:szCs w:val="21"/>
                      <w:u w:val="none"/>
                      <w:lang w:bidi="ar"/>
                    </w:rPr>
                    <w:t>污染物排放管控</w:t>
                  </w:r>
                </w:p>
              </w:tc>
              <w:tc>
                <w:tcPr>
                  <w:tcW w:w="3743" w:type="dxa"/>
                  <w:vAlign w:val="center"/>
                </w:tcPr>
                <w:p>
                  <w:pPr>
                    <w:widowControl/>
                    <w:jc w:val="left"/>
                    <w:rPr>
                      <w:b w:val="0"/>
                      <w:bCs/>
                      <w:color w:val="auto"/>
                      <w:sz w:val="21"/>
                      <w:szCs w:val="21"/>
                      <w:u w:val="none"/>
                    </w:rPr>
                  </w:pPr>
                  <w:r>
                    <w:rPr>
                      <w:b w:val="0"/>
                      <w:bCs/>
                      <w:color w:val="auto"/>
                      <w:sz w:val="21"/>
                      <w:szCs w:val="21"/>
                      <w:u w:val="none"/>
                    </w:rPr>
                    <w:t>1、禁止填埋场渗滤液直排或超标排放。2、大气：改善能源结构，推广使用天然气、电力等清洁能源；严格控制入区工业项目的类别；加强对工业喷涂项目挥发性有机物的治理工作，严格按照行业标准、治理方案，加强源头控制、过程控制和末端治理，提升清洁化生产水平。3、水：完善雨水、污水收集系统和排放系统，污水和生产物料输送管线需保证密封；不得建设地下或半地下式储罐设施。禁止含重金属废水进入城市生活污水处理厂。</w:t>
                  </w:r>
                </w:p>
              </w:tc>
              <w:tc>
                <w:tcPr>
                  <w:tcW w:w="1971" w:type="dxa"/>
                  <w:vAlign w:val="center"/>
                </w:tcPr>
                <w:p>
                  <w:pPr>
                    <w:widowControl/>
                    <w:jc w:val="left"/>
                    <w:rPr>
                      <w:b w:val="0"/>
                      <w:bCs/>
                      <w:color w:val="auto"/>
                      <w:kern w:val="0"/>
                      <w:sz w:val="21"/>
                      <w:szCs w:val="21"/>
                      <w:u w:val="none"/>
                      <w:lang w:bidi="ar"/>
                    </w:rPr>
                  </w:pPr>
                  <w:r>
                    <w:rPr>
                      <w:rFonts w:hint="eastAsia"/>
                      <w:b w:val="0"/>
                      <w:bCs/>
                      <w:color w:val="auto"/>
                      <w:kern w:val="0"/>
                      <w:sz w:val="21"/>
                      <w:szCs w:val="21"/>
                      <w:u w:val="none"/>
                      <w:lang w:bidi="ar"/>
                    </w:rPr>
                    <w:t>1、</w:t>
                  </w:r>
                  <w:r>
                    <w:rPr>
                      <w:b w:val="0"/>
                      <w:bCs/>
                      <w:color w:val="auto"/>
                      <w:kern w:val="0"/>
                      <w:sz w:val="21"/>
                      <w:szCs w:val="21"/>
                      <w:u w:val="none"/>
                      <w:lang w:bidi="ar"/>
                    </w:rPr>
                    <w:t>本项目不涉及填埋场。</w:t>
                  </w:r>
                </w:p>
                <w:p>
                  <w:pPr>
                    <w:widowControl/>
                    <w:jc w:val="left"/>
                    <w:rPr>
                      <w:b w:val="0"/>
                      <w:bCs/>
                      <w:color w:val="auto"/>
                      <w:kern w:val="0"/>
                      <w:sz w:val="21"/>
                      <w:szCs w:val="21"/>
                      <w:u w:val="none"/>
                      <w:lang w:bidi="ar"/>
                    </w:rPr>
                  </w:pPr>
                  <w:r>
                    <w:rPr>
                      <w:rFonts w:hint="eastAsia"/>
                      <w:b w:val="0"/>
                      <w:bCs/>
                      <w:color w:val="auto"/>
                      <w:kern w:val="0"/>
                      <w:sz w:val="21"/>
                      <w:szCs w:val="21"/>
                      <w:u w:val="none"/>
                      <w:lang w:bidi="ar"/>
                    </w:rPr>
                    <w:t>2、</w:t>
                  </w:r>
                  <w:r>
                    <w:rPr>
                      <w:b w:val="0"/>
                      <w:bCs/>
                      <w:color w:val="auto"/>
                      <w:kern w:val="0"/>
                      <w:sz w:val="21"/>
                      <w:szCs w:val="21"/>
                      <w:u w:val="none"/>
                      <w:lang w:bidi="ar"/>
                    </w:rPr>
                    <w:t>本项目生产采用电</w:t>
                  </w:r>
                  <w:r>
                    <w:rPr>
                      <w:rFonts w:hint="eastAsia"/>
                      <w:b w:val="0"/>
                      <w:bCs/>
                      <w:color w:val="auto"/>
                      <w:kern w:val="0"/>
                      <w:sz w:val="21"/>
                      <w:szCs w:val="21"/>
                      <w:u w:val="none"/>
                      <w:lang w:val="en-US" w:eastAsia="zh-CN" w:bidi="ar"/>
                    </w:rPr>
                    <w:t>作为生产能源</w:t>
                  </w:r>
                  <w:r>
                    <w:rPr>
                      <w:b w:val="0"/>
                      <w:bCs/>
                      <w:color w:val="auto"/>
                      <w:kern w:val="0"/>
                      <w:sz w:val="21"/>
                      <w:szCs w:val="21"/>
                      <w:u w:val="none"/>
                      <w:lang w:bidi="ar"/>
                    </w:rPr>
                    <w:t>，</w:t>
                  </w:r>
                  <w:r>
                    <w:rPr>
                      <w:b w:val="0"/>
                      <w:bCs/>
                      <w:color w:val="auto"/>
                      <w:kern w:val="0"/>
                      <w:sz w:val="21"/>
                      <w:szCs w:val="21"/>
                      <w:u w:val="none"/>
                      <w:shd w:val="clear"/>
                      <w:lang w:bidi="ar"/>
                    </w:rPr>
                    <w:t>项目有机废气采用</w:t>
                  </w:r>
                  <w:r>
                    <w:rPr>
                      <w:rFonts w:hint="eastAsia"/>
                      <w:b w:val="0"/>
                      <w:bCs/>
                      <w:color w:val="auto"/>
                      <w:kern w:val="0"/>
                      <w:sz w:val="21"/>
                      <w:szCs w:val="21"/>
                      <w:u w:val="none"/>
                      <w:shd w:val="clear"/>
                      <w:lang w:eastAsia="zh-CN" w:bidi="ar"/>
                    </w:rPr>
                    <w:t>两级活性炭吸附</w:t>
                  </w:r>
                  <w:r>
                    <w:rPr>
                      <w:b w:val="0"/>
                      <w:bCs/>
                      <w:color w:val="auto"/>
                      <w:kern w:val="0"/>
                      <w:sz w:val="21"/>
                      <w:szCs w:val="21"/>
                      <w:u w:val="none"/>
                      <w:shd w:val="clear"/>
                      <w:lang w:bidi="ar"/>
                    </w:rPr>
                    <w:t>治理措施。</w:t>
                  </w:r>
                </w:p>
                <w:p>
                  <w:pPr>
                    <w:widowControl/>
                    <w:jc w:val="left"/>
                    <w:rPr>
                      <w:b w:val="0"/>
                      <w:bCs/>
                      <w:color w:val="auto"/>
                      <w:kern w:val="0"/>
                      <w:sz w:val="21"/>
                      <w:szCs w:val="21"/>
                      <w:u w:val="none"/>
                      <w:lang w:bidi="ar"/>
                    </w:rPr>
                  </w:pPr>
                  <w:r>
                    <w:rPr>
                      <w:rFonts w:hint="eastAsia"/>
                      <w:b w:val="0"/>
                      <w:bCs/>
                      <w:color w:val="auto"/>
                      <w:kern w:val="0"/>
                      <w:sz w:val="21"/>
                      <w:szCs w:val="21"/>
                      <w:u w:val="none"/>
                      <w:lang w:bidi="ar"/>
                    </w:rPr>
                    <w:t>3、</w:t>
                  </w:r>
                  <w:r>
                    <w:rPr>
                      <w:b w:val="0"/>
                      <w:bCs/>
                      <w:color w:val="auto"/>
                      <w:kern w:val="0"/>
                      <w:sz w:val="21"/>
                      <w:szCs w:val="21"/>
                      <w:u w:val="none"/>
                      <w:lang w:bidi="ar"/>
                    </w:rPr>
                    <w:t>本项目地面硬化，有完善的雨、污水</w:t>
                  </w:r>
                  <w:r>
                    <w:rPr>
                      <w:rFonts w:hint="eastAsia"/>
                      <w:b w:val="0"/>
                      <w:bCs/>
                      <w:color w:val="auto"/>
                      <w:kern w:val="0"/>
                      <w:sz w:val="21"/>
                      <w:szCs w:val="21"/>
                      <w:u w:val="none"/>
                      <w:lang w:bidi="ar"/>
                    </w:rPr>
                    <w:t>分流系统</w:t>
                  </w:r>
                  <w:r>
                    <w:rPr>
                      <w:b w:val="0"/>
                      <w:bCs/>
                      <w:color w:val="auto"/>
                      <w:kern w:val="0"/>
                      <w:sz w:val="21"/>
                      <w:szCs w:val="21"/>
                      <w:u w:val="none"/>
                      <w:lang w:bidi="ar"/>
                    </w:rPr>
                    <w:t>，且污水和生产物料输送管线密封，</w:t>
                  </w:r>
                  <w:r>
                    <w:rPr>
                      <w:rFonts w:hint="eastAsia"/>
                      <w:b w:val="0"/>
                      <w:bCs/>
                      <w:color w:val="auto"/>
                      <w:kern w:val="0"/>
                      <w:sz w:val="21"/>
                      <w:szCs w:val="21"/>
                      <w:u w:val="none"/>
                      <w:lang w:bidi="ar"/>
                    </w:rPr>
                    <w:t>不涉及</w:t>
                  </w:r>
                  <w:r>
                    <w:rPr>
                      <w:b w:val="0"/>
                      <w:bCs/>
                      <w:color w:val="auto"/>
                      <w:kern w:val="0"/>
                      <w:sz w:val="21"/>
                      <w:szCs w:val="21"/>
                      <w:u w:val="none"/>
                      <w:lang w:bidi="ar"/>
                    </w:rPr>
                    <w:t>地下和半地下式储罐，本项目废水不含重金属。</w:t>
                  </w:r>
                </w:p>
              </w:tc>
              <w:tc>
                <w:tcPr>
                  <w:tcW w:w="372" w:type="dxa"/>
                  <w:vAlign w:val="center"/>
                </w:tcPr>
                <w:p>
                  <w:pPr>
                    <w:autoSpaceDE w:val="0"/>
                    <w:autoSpaceDN w:val="0"/>
                    <w:adjustRightInd w:val="0"/>
                    <w:snapToGrid w:val="0"/>
                    <w:jc w:val="center"/>
                    <w:rPr>
                      <w:b w:val="0"/>
                      <w:bCs/>
                      <w:color w:val="auto"/>
                      <w:sz w:val="21"/>
                      <w:szCs w:val="21"/>
                      <w:u w:val="none"/>
                    </w:rPr>
                  </w:pPr>
                  <w:r>
                    <w:rPr>
                      <w:b w:val="0"/>
                      <w:bCs/>
                      <w:color w:val="auto"/>
                      <w:sz w:val="21"/>
                      <w:szCs w:val="21"/>
                      <w:u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907" w:type="dxa"/>
                  <w:vMerge w:val="continue"/>
                  <w:vAlign w:val="center"/>
                </w:tcPr>
                <w:p>
                  <w:pPr>
                    <w:pStyle w:val="3"/>
                    <w:spacing w:before="0" w:after="0" w:line="240" w:lineRule="auto"/>
                    <w:jc w:val="center"/>
                    <w:outlineLvl w:val="1"/>
                    <w:rPr>
                      <w:rFonts w:ascii="Times New Roman" w:hAnsi="Times New Roman" w:eastAsia="宋体"/>
                      <w:b w:val="0"/>
                      <w:bCs/>
                      <w:color w:val="auto"/>
                      <w:sz w:val="21"/>
                      <w:szCs w:val="21"/>
                      <w:u w:val="none"/>
                    </w:rPr>
                  </w:pPr>
                </w:p>
              </w:tc>
              <w:tc>
                <w:tcPr>
                  <w:tcW w:w="913" w:type="dxa"/>
                  <w:vMerge w:val="continue"/>
                  <w:vAlign w:val="center"/>
                </w:tcPr>
                <w:p>
                  <w:pPr>
                    <w:pStyle w:val="3"/>
                    <w:spacing w:before="0" w:after="0" w:line="240" w:lineRule="auto"/>
                    <w:jc w:val="center"/>
                    <w:outlineLvl w:val="1"/>
                    <w:rPr>
                      <w:rFonts w:ascii="Times New Roman" w:hAnsi="Times New Roman" w:eastAsia="宋体"/>
                      <w:b w:val="0"/>
                      <w:bCs/>
                      <w:color w:val="auto"/>
                      <w:sz w:val="21"/>
                      <w:szCs w:val="21"/>
                      <w:u w:val="none"/>
                    </w:rPr>
                  </w:pPr>
                </w:p>
              </w:tc>
              <w:tc>
                <w:tcPr>
                  <w:tcW w:w="688" w:type="dxa"/>
                  <w:vAlign w:val="center"/>
                </w:tcPr>
                <w:p>
                  <w:pPr>
                    <w:widowControl/>
                    <w:jc w:val="left"/>
                    <w:rPr>
                      <w:b w:val="0"/>
                      <w:bCs/>
                      <w:color w:val="auto"/>
                      <w:kern w:val="0"/>
                      <w:sz w:val="21"/>
                      <w:szCs w:val="21"/>
                      <w:u w:val="none"/>
                      <w:lang w:bidi="ar"/>
                    </w:rPr>
                  </w:pPr>
                  <w:r>
                    <w:rPr>
                      <w:b w:val="0"/>
                      <w:bCs/>
                      <w:color w:val="auto"/>
                      <w:kern w:val="0"/>
                      <w:sz w:val="21"/>
                      <w:szCs w:val="21"/>
                      <w:u w:val="none"/>
                      <w:lang w:bidi="ar"/>
                    </w:rPr>
                    <w:t>环境风险防控</w:t>
                  </w:r>
                </w:p>
              </w:tc>
              <w:tc>
                <w:tcPr>
                  <w:tcW w:w="3743" w:type="dxa"/>
                  <w:vAlign w:val="center"/>
                </w:tcPr>
                <w:p>
                  <w:pPr>
                    <w:widowControl/>
                    <w:jc w:val="left"/>
                    <w:rPr>
                      <w:b w:val="0"/>
                      <w:bCs/>
                      <w:color w:val="auto"/>
                      <w:sz w:val="21"/>
                      <w:szCs w:val="21"/>
                      <w:u w:val="none"/>
                    </w:rPr>
                  </w:pPr>
                  <w:r>
                    <w:rPr>
                      <w:b w:val="0"/>
                      <w:bCs/>
                      <w:color w:val="auto"/>
                      <w:sz w:val="21"/>
                      <w:szCs w:val="21"/>
                      <w:u w:val="none"/>
                    </w:rPr>
                    <w:t>1.铅酸蓄电池、石油加工、化工和危险化学品生产、储存、使用等企业在拆除生产设施设备、污染治理设施时，要事先制定企业拆除活动污染防治方案和拆除活动环境应急预案。2、充分利用企业用地调查成果和注销、撤销排污许可的信息，考虑行业、生产年限等因素，确定优先监管地块，并按要求采取污染管控措施。</w:t>
                  </w:r>
                </w:p>
              </w:tc>
              <w:tc>
                <w:tcPr>
                  <w:tcW w:w="1971" w:type="dxa"/>
                  <w:vAlign w:val="center"/>
                </w:tcPr>
                <w:p>
                  <w:pPr>
                    <w:widowControl/>
                    <w:jc w:val="left"/>
                    <w:rPr>
                      <w:b w:val="0"/>
                      <w:bCs/>
                      <w:color w:val="auto"/>
                      <w:kern w:val="0"/>
                      <w:sz w:val="21"/>
                      <w:szCs w:val="21"/>
                      <w:u w:val="none"/>
                      <w:lang w:bidi="ar"/>
                    </w:rPr>
                  </w:pPr>
                  <w:r>
                    <w:rPr>
                      <w:rFonts w:hint="eastAsia"/>
                      <w:b w:val="0"/>
                      <w:bCs/>
                      <w:color w:val="auto"/>
                      <w:kern w:val="0"/>
                      <w:sz w:val="21"/>
                      <w:szCs w:val="21"/>
                      <w:u w:val="none"/>
                      <w:lang w:bidi="ar"/>
                    </w:rPr>
                    <w:t>1、</w:t>
                  </w:r>
                  <w:r>
                    <w:rPr>
                      <w:b w:val="0"/>
                      <w:bCs/>
                      <w:color w:val="auto"/>
                      <w:kern w:val="0"/>
                      <w:sz w:val="21"/>
                      <w:szCs w:val="21"/>
                      <w:u w:val="none"/>
                      <w:lang w:bidi="ar"/>
                    </w:rPr>
                    <w:t>本项目不属于该项列举项目。</w:t>
                  </w:r>
                </w:p>
                <w:p>
                  <w:pPr>
                    <w:widowControl/>
                    <w:jc w:val="left"/>
                    <w:rPr>
                      <w:b w:val="0"/>
                      <w:bCs/>
                      <w:color w:val="auto"/>
                      <w:kern w:val="0"/>
                      <w:sz w:val="21"/>
                      <w:szCs w:val="21"/>
                      <w:u w:val="none"/>
                      <w:lang w:bidi="ar"/>
                    </w:rPr>
                  </w:pPr>
                  <w:r>
                    <w:rPr>
                      <w:rFonts w:hint="eastAsia"/>
                      <w:b w:val="0"/>
                      <w:bCs/>
                      <w:color w:val="auto"/>
                      <w:kern w:val="0"/>
                      <w:sz w:val="21"/>
                      <w:szCs w:val="21"/>
                      <w:u w:val="none"/>
                      <w:lang w:bidi="ar"/>
                    </w:rPr>
                    <w:t>2、本项目用地</w:t>
                  </w:r>
                  <w:r>
                    <w:rPr>
                      <w:rFonts w:hint="eastAsia"/>
                      <w:b w:val="0"/>
                      <w:bCs/>
                      <w:color w:val="auto"/>
                      <w:kern w:val="0"/>
                      <w:sz w:val="21"/>
                      <w:szCs w:val="21"/>
                      <w:u w:val="none"/>
                      <w:shd w:val="clear"/>
                      <w:lang w:bidi="ar"/>
                    </w:rPr>
                    <w:t>原为</w:t>
                  </w:r>
                  <w:r>
                    <w:rPr>
                      <w:rFonts w:hint="eastAsia"/>
                      <w:b w:val="0"/>
                      <w:bCs/>
                      <w:color w:val="auto"/>
                      <w:kern w:val="0"/>
                      <w:sz w:val="21"/>
                      <w:szCs w:val="21"/>
                      <w:u w:val="none"/>
                      <w:shd w:val="clear"/>
                      <w:lang w:val="en-US" w:eastAsia="zh-CN" w:bidi="ar"/>
                    </w:rPr>
                    <w:t>冠美家具</w:t>
                  </w:r>
                  <w:r>
                    <w:rPr>
                      <w:rFonts w:hint="eastAsia"/>
                      <w:b w:val="0"/>
                      <w:bCs/>
                      <w:color w:val="auto"/>
                      <w:kern w:val="0"/>
                      <w:sz w:val="21"/>
                      <w:szCs w:val="21"/>
                      <w:u w:val="none"/>
                      <w:shd w:val="clear"/>
                      <w:lang w:bidi="ar"/>
                    </w:rPr>
                    <w:t>，不涉及优先</w:t>
                  </w:r>
                  <w:r>
                    <w:rPr>
                      <w:b w:val="0"/>
                      <w:bCs/>
                      <w:color w:val="auto"/>
                      <w:sz w:val="21"/>
                      <w:szCs w:val="21"/>
                      <w:u w:val="none"/>
                      <w:shd w:val="clear"/>
                    </w:rPr>
                    <w:t>监管地块</w:t>
                  </w:r>
                  <w:r>
                    <w:rPr>
                      <w:rFonts w:hint="eastAsia"/>
                      <w:b w:val="0"/>
                      <w:bCs/>
                      <w:color w:val="auto"/>
                      <w:sz w:val="21"/>
                      <w:szCs w:val="21"/>
                      <w:u w:val="none"/>
                      <w:shd w:val="clear"/>
                    </w:rPr>
                    <w:t>。</w:t>
                  </w:r>
                </w:p>
              </w:tc>
              <w:tc>
                <w:tcPr>
                  <w:tcW w:w="372" w:type="dxa"/>
                  <w:vAlign w:val="center"/>
                </w:tcPr>
                <w:p>
                  <w:pPr>
                    <w:autoSpaceDE w:val="0"/>
                    <w:autoSpaceDN w:val="0"/>
                    <w:adjustRightInd w:val="0"/>
                    <w:snapToGrid w:val="0"/>
                    <w:jc w:val="center"/>
                    <w:rPr>
                      <w:b w:val="0"/>
                      <w:bCs/>
                      <w:color w:val="auto"/>
                      <w:sz w:val="21"/>
                      <w:szCs w:val="21"/>
                      <w:u w:val="none"/>
                    </w:rPr>
                  </w:pPr>
                  <w:r>
                    <w:rPr>
                      <w:b w:val="0"/>
                      <w:bCs/>
                      <w:color w:val="auto"/>
                      <w:sz w:val="21"/>
                      <w:szCs w:val="21"/>
                      <w:u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 w:type="dxa"/>
                  <w:vMerge w:val="continue"/>
                  <w:vAlign w:val="center"/>
                </w:tcPr>
                <w:p>
                  <w:pPr>
                    <w:pStyle w:val="3"/>
                    <w:spacing w:before="0" w:after="0" w:line="240" w:lineRule="auto"/>
                    <w:jc w:val="center"/>
                    <w:outlineLvl w:val="1"/>
                    <w:rPr>
                      <w:rFonts w:ascii="Times New Roman" w:hAnsi="Times New Roman" w:eastAsia="宋体"/>
                      <w:b w:val="0"/>
                      <w:bCs/>
                      <w:color w:val="auto"/>
                      <w:sz w:val="21"/>
                      <w:szCs w:val="21"/>
                      <w:u w:val="none"/>
                    </w:rPr>
                  </w:pPr>
                </w:p>
              </w:tc>
              <w:tc>
                <w:tcPr>
                  <w:tcW w:w="913" w:type="dxa"/>
                  <w:vMerge w:val="continue"/>
                  <w:vAlign w:val="center"/>
                </w:tcPr>
                <w:p>
                  <w:pPr>
                    <w:pStyle w:val="3"/>
                    <w:spacing w:before="0" w:after="0" w:line="240" w:lineRule="auto"/>
                    <w:jc w:val="center"/>
                    <w:outlineLvl w:val="1"/>
                    <w:rPr>
                      <w:rFonts w:ascii="Times New Roman" w:hAnsi="Times New Roman" w:eastAsia="宋体"/>
                      <w:b w:val="0"/>
                      <w:bCs/>
                      <w:color w:val="auto"/>
                      <w:sz w:val="21"/>
                      <w:szCs w:val="21"/>
                      <w:u w:val="none"/>
                    </w:rPr>
                  </w:pPr>
                </w:p>
              </w:tc>
              <w:tc>
                <w:tcPr>
                  <w:tcW w:w="688" w:type="dxa"/>
                  <w:vAlign w:val="center"/>
                </w:tcPr>
                <w:p>
                  <w:pPr>
                    <w:widowControl/>
                    <w:jc w:val="left"/>
                    <w:rPr>
                      <w:b w:val="0"/>
                      <w:bCs/>
                      <w:color w:val="auto"/>
                      <w:sz w:val="21"/>
                      <w:szCs w:val="21"/>
                      <w:u w:val="none"/>
                    </w:rPr>
                  </w:pPr>
                  <w:r>
                    <w:rPr>
                      <w:b w:val="0"/>
                      <w:bCs/>
                      <w:color w:val="auto"/>
                      <w:sz w:val="21"/>
                      <w:szCs w:val="21"/>
                      <w:u w:val="none"/>
                    </w:rPr>
                    <w:t>资源开发效率要求</w:t>
                  </w:r>
                </w:p>
              </w:tc>
              <w:tc>
                <w:tcPr>
                  <w:tcW w:w="3743" w:type="dxa"/>
                  <w:vAlign w:val="center"/>
                </w:tcPr>
                <w:p>
                  <w:pPr>
                    <w:widowControl/>
                    <w:jc w:val="left"/>
                    <w:rPr>
                      <w:b w:val="0"/>
                      <w:bCs/>
                      <w:color w:val="auto"/>
                      <w:sz w:val="21"/>
                      <w:szCs w:val="21"/>
                      <w:u w:val="none"/>
                    </w:rPr>
                  </w:pPr>
                  <w:r>
                    <w:rPr>
                      <w:b w:val="0"/>
                      <w:bCs/>
                      <w:color w:val="auto"/>
                      <w:sz w:val="21"/>
                      <w:szCs w:val="21"/>
                      <w:u w:val="none"/>
                    </w:rPr>
                    <w:t>地下水超采地区，控制采用地下水的高耗水新建、改建、扩建项目。</w:t>
                  </w:r>
                </w:p>
              </w:tc>
              <w:tc>
                <w:tcPr>
                  <w:tcW w:w="1971" w:type="dxa"/>
                  <w:vAlign w:val="center"/>
                </w:tcPr>
                <w:p>
                  <w:pPr>
                    <w:widowControl/>
                    <w:jc w:val="left"/>
                    <w:rPr>
                      <w:b w:val="0"/>
                      <w:bCs/>
                      <w:color w:val="auto"/>
                      <w:kern w:val="0"/>
                      <w:sz w:val="21"/>
                      <w:szCs w:val="21"/>
                      <w:u w:val="none"/>
                      <w:lang w:bidi="ar"/>
                    </w:rPr>
                  </w:pPr>
                  <w:r>
                    <w:rPr>
                      <w:b w:val="0"/>
                      <w:bCs/>
                      <w:color w:val="auto"/>
                      <w:kern w:val="0"/>
                      <w:sz w:val="21"/>
                      <w:szCs w:val="21"/>
                      <w:u w:val="none"/>
                      <w:lang w:bidi="ar"/>
                    </w:rPr>
                    <w:t>本项目</w:t>
                  </w:r>
                  <w:r>
                    <w:rPr>
                      <w:rFonts w:hint="eastAsia"/>
                      <w:b w:val="0"/>
                      <w:bCs/>
                      <w:color w:val="auto"/>
                      <w:kern w:val="0"/>
                      <w:sz w:val="21"/>
                      <w:szCs w:val="21"/>
                      <w:u w:val="none"/>
                      <w:lang w:bidi="ar"/>
                    </w:rPr>
                    <w:t>不属于高耗水项目</w:t>
                  </w:r>
                  <w:r>
                    <w:rPr>
                      <w:b w:val="0"/>
                      <w:bCs/>
                      <w:color w:val="auto"/>
                      <w:kern w:val="0"/>
                      <w:sz w:val="21"/>
                      <w:szCs w:val="21"/>
                      <w:u w:val="none"/>
                      <w:lang w:bidi="ar"/>
                    </w:rPr>
                    <w:t>。</w:t>
                  </w:r>
                </w:p>
              </w:tc>
              <w:tc>
                <w:tcPr>
                  <w:tcW w:w="372" w:type="dxa"/>
                  <w:vAlign w:val="center"/>
                </w:tcPr>
                <w:p>
                  <w:pPr>
                    <w:pStyle w:val="3"/>
                    <w:spacing w:before="0" w:after="0" w:line="240" w:lineRule="auto"/>
                    <w:jc w:val="center"/>
                    <w:outlineLvl w:val="1"/>
                    <w:rPr>
                      <w:rFonts w:ascii="Times New Roman" w:hAnsi="Times New Roman" w:eastAsia="宋体"/>
                      <w:b w:val="0"/>
                      <w:bCs/>
                      <w:color w:val="auto"/>
                      <w:sz w:val="21"/>
                      <w:szCs w:val="21"/>
                      <w:u w:val="none"/>
                    </w:rPr>
                  </w:pPr>
                  <w:r>
                    <w:rPr>
                      <w:rFonts w:ascii="Times New Roman" w:hAnsi="Times New Roman" w:eastAsia="宋体"/>
                      <w:b w:val="0"/>
                      <w:bCs/>
                      <w:color w:val="auto"/>
                      <w:sz w:val="21"/>
                      <w:szCs w:val="21"/>
                      <w:u w:val="none"/>
                    </w:rPr>
                    <w:t>相符</w:t>
                  </w:r>
                </w:p>
              </w:tc>
            </w:tr>
          </w:tbl>
          <w:p>
            <w:pPr>
              <w:widowControl/>
              <w:spacing w:line="360" w:lineRule="auto"/>
              <w:ind w:firstLine="480" w:firstLineChars="200"/>
              <w:jc w:val="left"/>
              <w:rPr>
                <w:color w:val="auto"/>
              </w:rPr>
            </w:pPr>
            <w:r>
              <w:rPr>
                <w:color w:val="auto"/>
                <w:kern w:val="0"/>
                <w:lang w:bidi="ar"/>
              </w:rPr>
              <w:t>经对照河南省产业发展总体准入要求、濮阳市生态环境总体准入要求和</w:t>
            </w:r>
            <w:r>
              <w:rPr>
                <w:rFonts w:hint="eastAsia"/>
                <w:color w:val="auto"/>
                <w:kern w:val="0"/>
                <w:lang w:bidi="ar"/>
              </w:rPr>
              <w:t>清丰县先进制造业开发区</w:t>
            </w:r>
            <w:r>
              <w:rPr>
                <w:color w:val="auto"/>
                <w:kern w:val="0"/>
                <w:lang w:bidi="ar"/>
              </w:rPr>
              <w:t>生态环境总体准入要求，本项目符合该文件相关管控要求。</w:t>
            </w:r>
          </w:p>
          <w:p>
            <w:pPr>
              <w:widowControl/>
              <w:spacing w:line="360" w:lineRule="auto"/>
              <w:ind w:firstLine="480" w:firstLineChars="200"/>
              <w:jc w:val="left"/>
              <w:rPr>
                <w:b/>
                <w:bCs/>
                <w:color w:val="auto"/>
                <w:kern w:val="0"/>
                <w:lang w:bidi="ar"/>
              </w:rPr>
            </w:pPr>
            <w:r>
              <w:rPr>
                <w:color w:val="auto"/>
                <w:kern w:val="0"/>
                <w:lang w:bidi="ar"/>
              </w:rPr>
              <w:t>综上分析，本项目建设符合“三线一单”的要求。</w:t>
            </w:r>
          </w:p>
          <w:p>
            <w:pPr>
              <w:widowControl/>
              <w:spacing w:line="360" w:lineRule="auto"/>
              <w:jc w:val="left"/>
              <w:rPr>
                <w:color w:val="auto"/>
              </w:rPr>
            </w:pPr>
            <w:r>
              <w:rPr>
                <w:b/>
                <w:bCs/>
                <w:color w:val="auto"/>
                <w:kern w:val="0"/>
                <w:lang w:bidi="ar"/>
              </w:rPr>
              <w:t>3、与相关生态环境保护法律法规政策相符性分析</w:t>
            </w:r>
          </w:p>
          <w:p>
            <w:pPr>
              <w:pStyle w:val="10"/>
              <w:jc w:val="left"/>
              <w:rPr>
                <w:rFonts w:eastAsia="宋体"/>
                <w:color w:val="auto"/>
              </w:rPr>
            </w:pPr>
            <w:r>
              <w:rPr>
                <w:rFonts w:eastAsia="宋体"/>
                <w:b/>
                <w:bCs/>
                <w:color w:val="auto"/>
                <w:kern w:val="0"/>
                <w:szCs w:val="24"/>
                <w:lang w:bidi="ar"/>
              </w:rPr>
              <w:t>3.1 与环保政策相符性分析</w:t>
            </w:r>
          </w:p>
          <w:p>
            <w:pPr>
              <w:widowControl/>
              <w:spacing w:line="360" w:lineRule="auto"/>
              <w:ind w:firstLine="480" w:firstLineChars="200"/>
              <w:jc w:val="left"/>
              <w:rPr>
                <w:color w:val="auto"/>
              </w:rPr>
            </w:pPr>
            <w:r>
              <w:rPr>
                <w:color w:val="auto"/>
                <w:kern w:val="0"/>
                <w:lang w:bidi="ar"/>
              </w:rPr>
              <w:t>本项目符合《生态环境部关于重点行业挥发性有机物综合治理方案的通知》（环大气[2019]53号）、《生态环境部关于印发〈2020年挥发性有机物治理攻坚方案〉的通知》（环大气〔2020〕33号）相关要求，与本项目相关管理要求符合性分析如下：</w:t>
            </w:r>
          </w:p>
          <w:p>
            <w:pPr>
              <w:pStyle w:val="10"/>
              <w:rPr>
                <w:rFonts w:eastAsia="宋体"/>
                <w:b/>
                <w:bCs/>
                <w:color w:val="auto"/>
              </w:rPr>
            </w:pPr>
            <w:r>
              <w:rPr>
                <w:rFonts w:eastAsia="宋体"/>
                <w:b/>
                <w:bCs/>
                <w:color w:val="auto"/>
              </w:rPr>
              <w:t>表1-</w:t>
            </w:r>
            <w:r>
              <w:rPr>
                <w:rFonts w:hint="eastAsia" w:eastAsia="宋体"/>
                <w:b/>
                <w:bCs/>
                <w:color w:val="auto"/>
                <w:lang w:val="en-US" w:eastAsia="zh-CN"/>
              </w:rPr>
              <w:t xml:space="preserve">4 </w:t>
            </w:r>
            <w:r>
              <w:rPr>
                <w:rFonts w:eastAsia="宋体"/>
                <w:b/>
                <w:bCs/>
                <w:color w:val="auto"/>
              </w:rPr>
              <w:t xml:space="preserve"> 与环保政策相符性分析</w:t>
            </w:r>
          </w:p>
          <w:tbl>
            <w:tblPr>
              <w:tblStyle w:val="23"/>
              <w:tblW w:w="85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4499"/>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3" w:hRule="atLeast"/>
                <w:jc w:val="center"/>
              </w:trPr>
              <w:tc>
                <w:tcPr>
                  <w:tcW w:w="1768" w:type="dxa"/>
                  <w:vAlign w:val="center"/>
                </w:tcPr>
                <w:p>
                  <w:pPr>
                    <w:jc w:val="center"/>
                    <w:rPr>
                      <w:b/>
                      <w:bCs/>
                      <w:color w:val="auto"/>
                      <w:sz w:val="21"/>
                      <w:szCs w:val="21"/>
                    </w:rPr>
                  </w:pPr>
                  <w:r>
                    <w:rPr>
                      <w:b/>
                      <w:bCs/>
                      <w:color w:val="auto"/>
                      <w:sz w:val="21"/>
                      <w:szCs w:val="21"/>
                    </w:rPr>
                    <w:t>类别</w:t>
                  </w:r>
                </w:p>
              </w:tc>
              <w:tc>
                <w:tcPr>
                  <w:tcW w:w="4499" w:type="dxa"/>
                  <w:vAlign w:val="center"/>
                </w:tcPr>
                <w:p>
                  <w:pPr>
                    <w:jc w:val="center"/>
                    <w:rPr>
                      <w:b/>
                      <w:bCs/>
                      <w:color w:val="auto"/>
                      <w:sz w:val="21"/>
                      <w:szCs w:val="21"/>
                    </w:rPr>
                  </w:pPr>
                  <w:r>
                    <w:rPr>
                      <w:b/>
                      <w:bCs/>
                      <w:color w:val="auto"/>
                      <w:sz w:val="21"/>
                      <w:szCs w:val="21"/>
                    </w:rPr>
                    <w:t>《指导意见》要求</w:t>
                  </w:r>
                </w:p>
              </w:tc>
              <w:tc>
                <w:tcPr>
                  <w:tcW w:w="2301" w:type="dxa"/>
                  <w:vAlign w:val="center"/>
                </w:tcPr>
                <w:p>
                  <w:pPr>
                    <w:jc w:val="left"/>
                    <w:rPr>
                      <w:b/>
                      <w:bCs/>
                      <w:color w:val="auto"/>
                      <w:sz w:val="21"/>
                      <w:szCs w:val="21"/>
                    </w:rPr>
                  </w:pPr>
                  <w:r>
                    <w:rPr>
                      <w:b/>
                      <w:bCs/>
                      <w:color w:val="auto"/>
                      <w:sz w:val="21"/>
                      <w:szCs w:val="21"/>
                    </w:rPr>
                    <w:t>本项目实际情况</w:t>
                  </w:r>
                  <w:r>
                    <w:rPr>
                      <w:rFonts w:hint="eastAsia"/>
                      <w:b/>
                      <w:bCs/>
                      <w:color w:val="auto"/>
                      <w:sz w:val="21"/>
                      <w:szCs w:val="21"/>
                      <w:lang w:val="en-US" w:eastAsia="zh-CN"/>
                    </w:rPr>
                    <w:t>及</w:t>
                  </w:r>
                  <w:r>
                    <w:rPr>
                      <w:b/>
                      <w:bCs/>
                      <w:color w:val="auto"/>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8568" w:type="dxa"/>
                  <w:gridSpan w:val="3"/>
                  <w:vAlign w:val="center"/>
                </w:tcPr>
                <w:p>
                  <w:pPr>
                    <w:widowControl/>
                    <w:jc w:val="center"/>
                    <w:rPr>
                      <w:color w:val="auto"/>
                      <w:sz w:val="21"/>
                      <w:szCs w:val="21"/>
                    </w:rPr>
                  </w:pPr>
                  <w:r>
                    <w:rPr>
                      <w:b/>
                      <w:bCs/>
                      <w:color w:val="auto"/>
                      <w:kern w:val="0"/>
                      <w:sz w:val="21"/>
                      <w:szCs w:val="21"/>
                      <w:lang w:bidi="ar"/>
                    </w:rPr>
                    <w:t>本项目与环大气[2019]53号相符性分析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jc w:val="center"/>
              </w:trPr>
              <w:tc>
                <w:tcPr>
                  <w:tcW w:w="6267" w:type="dxa"/>
                  <w:gridSpan w:val="2"/>
                  <w:vAlign w:val="center"/>
                </w:tcPr>
                <w:p>
                  <w:pPr>
                    <w:widowControl/>
                    <w:jc w:val="left"/>
                    <w:rPr>
                      <w:color w:val="auto"/>
                      <w:sz w:val="21"/>
                      <w:szCs w:val="21"/>
                    </w:rPr>
                  </w:pPr>
                  <w:r>
                    <w:rPr>
                      <w:color w:val="auto"/>
                      <w:kern w:val="0"/>
                      <w:sz w:val="21"/>
                      <w:szCs w:val="21"/>
                      <w:lang w:bidi="ar"/>
                    </w:rPr>
                    <w:t>（一）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2301" w:type="dxa"/>
                  <w:vAlign w:val="center"/>
                </w:tcPr>
                <w:p>
                  <w:pPr>
                    <w:widowControl/>
                    <w:jc w:val="left"/>
                    <w:rPr>
                      <w:color w:val="auto"/>
                      <w:sz w:val="21"/>
                      <w:szCs w:val="21"/>
                    </w:rPr>
                  </w:pPr>
                  <w:r>
                    <w:rPr>
                      <w:color w:val="auto"/>
                      <w:kern w:val="0"/>
                      <w:sz w:val="21"/>
                      <w:szCs w:val="21"/>
                      <w:lang w:bidi="ar"/>
                    </w:rPr>
                    <w:t>本项目使用</w:t>
                  </w:r>
                  <w:r>
                    <w:rPr>
                      <w:rFonts w:hint="eastAsia"/>
                      <w:color w:val="auto"/>
                      <w:kern w:val="0"/>
                      <w:sz w:val="21"/>
                      <w:szCs w:val="21"/>
                      <w:lang w:val="en-US" w:eastAsia="zh-CN" w:bidi="ar"/>
                    </w:rPr>
                    <w:t>的海绵胶为水性胶粘剂，原料板材采用免漆板，不使用油漆</w:t>
                  </w:r>
                  <w:r>
                    <w:rPr>
                      <w:color w:val="auto"/>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jc w:val="center"/>
              </w:trPr>
              <w:tc>
                <w:tcPr>
                  <w:tcW w:w="6267" w:type="dxa"/>
                  <w:gridSpan w:val="2"/>
                  <w:vAlign w:val="center"/>
                </w:tcPr>
                <w:p>
                  <w:pPr>
                    <w:widowControl/>
                    <w:jc w:val="left"/>
                    <w:rPr>
                      <w:color w:val="auto"/>
                      <w:sz w:val="21"/>
                      <w:szCs w:val="21"/>
                    </w:rPr>
                  </w:pPr>
                  <w:r>
                    <w:rPr>
                      <w:color w:val="auto"/>
                      <w:kern w:val="0"/>
                      <w:sz w:val="21"/>
                      <w:szCs w:val="21"/>
                      <w:lang w:bidi="ar"/>
                    </w:rPr>
                    <w:t>（二）全面加强无组织排放控制。加强设备与场所密闭管理。含VOCs物料应储存于密闭容器、包装袋，高效密封储罐，封闭式储库、料仓等。含VOCs物料生产和使用过程，应采取有效收集措施或在密闭空间中操作。提高废气收集率。采用局部集气罩的，距集气罩开口面最远处的VOCs无组织排放位置，控制风速应不低于0.3米/秒，有行业要求的按相关规定执行。</w:t>
                  </w:r>
                </w:p>
              </w:tc>
              <w:tc>
                <w:tcPr>
                  <w:tcW w:w="2301" w:type="dxa"/>
                  <w:vAlign w:val="center"/>
                </w:tcPr>
                <w:p>
                  <w:pPr>
                    <w:widowControl/>
                    <w:jc w:val="left"/>
                    <w:rPr>
                      <w:rFonts w:hint="eastAsia" w:eastAsia="宋体"/>
                      <w:color w:val="auto"/>
                      <w:sz w:val="21"/>
                      <w:szCs w:val="21"/>
                      <w:lang w:eastAsia="zh-CN"/>
                    </w:rPr>
                  </w:pPr>
                  <w:r>
                    <w:rPr>
                      <w:color w:val="auto"/>
                      <w:kern w:val="0"/>
                      <w:sz w:val="21"/>
                      <w:szCs w:val="21"/>
                      <w:lang w:bidi="ar"/>
                    </w:rPr>
                    <w:t>本项目</w:t>
                  </w:r>
                  <w:r>
                    <w:rPr>
                      <w:rFonts w:hint="eastAsia"/>
                      <w:color w:val="auto"/>
                      <w:kern w:val="0"/>
                      <w:sz w:val="21"/>
                      <w:szCs w:val="21"/>
                      <w:lang w:val="en-US" w:eastAsia="zh-CN" w:bidi="ar"/>
                    </w:rPr>
                    <w:t>封边、粘贴过程中产生的</w:t>
                  </w:r>
                  <w:r>
                    <w:rPr>
                      <w:color w:val="auto"/>
                      <w:kern w:val="0"/>
                      <w:sz w:val="21"/>
                      <w:szCs w:val="21"/>
                      <w:lang w:bidi="ar"/>
                    </w:rPr>
                    <w:t>有机废气采用</w:t>
                  </w:r>
                  <w:r>
                    <w:rPr>
                      <w:rFonts w:hint="eastAsia"/>
                      <w:color w:val="auto"/>
                      <w:kern w:val="0"/>
                      <w:sz w:val="21"/>
                      <w:szCs w:val="21"/>
                      <w:lang w:val="en-US" w:eastAsia="zh-CN" w:bidi="ar"/>
                    </w:rPr>
                    <w:t>集气罩收集，收集效率90%，</w:t>
                  </w:r>
                  <w:r>
                    <w:rPr>
                      <w:color w:val="auto"/>
                      <w:kern w:val="0"/>
                      <w:sz w:val="21"/>
                      <w:szCs w:val="21"/>
                      <w:lang w:bidi="ar"/>
                    </w:rPr>
                    <w:t>集气罩开口面最远处控制风速不低于0.3米/秒</w:t>
                  </w:r>
                  <w:r>
                    <w:rPr>
                      <w:rFonts w:hint="eastAsia"/>
                      <w:color w:val="auto"/>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4" w:hRule="atLeast"/>
                <w:jc w:val="center"/>
              </w:trPr>
              <w:tc>
                <w:tcPr>
                  <w:tcW w:w="6267" w:type="dxa"/>
                  <w:gridSpan w:val="2"/>
                  <w:vAlign w:val="center"/>
                </w:tcPr>
                <w:p>
                  <w:pPr>
                    <w:widowControl/>
                    <w:jc w:val="left"/>
                    <w:rPr>
                      <w:color w:val="auto"/>
                      <w:sz w:val="21"/>
                      <w:szCs w:val="21"/>
                    </w:rPr>
                  </w:pPr>
                  <w:r>
                    <w:rPr>
                      <w:color w:val="auto"/>
                      <w:kern w:val="0"/>
                      <w:sz w:val="21"/>
                      <w:szCs w:val="21"/>
                      <w:lang w:bidi="ar"/>
                    </w:rPr>
                    <w:t>（三）推进建设适宜高效的治污设施。企业新建治污设施或对现有治污设施实施改造，应依据排放废气的浓度、组分、风量，温度、湿度、压力，以及生产工况等，合理选择治理技术。鼓励企业采用多种技术的组合工艺，提高VOCs治理效率。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2301" w:type="dxa"/>
                  <w:vAlign w:val="center"/>
                </w:tcPr>
                <w:p>
                  <w:pPr>
                    <w:widowControl/>
                    <w:jc w:val="left"/>
                    <w:rPr>
                      <w:color w:val="auto"/>
                      <w:sz w:val="21"/>
                      <w:szCs w:val="21"/>
                    </w:rPr>
                  </w:pPr>
                  <w:r>
                    <w:rPr>
                      <w:color w:val="auto"/>
                      <w:kern w:val="0"/>
                      <w:sz w:val="21"/>
                      <w:szCs w:val="21"/>
                      <w:lang w:bidi="ar"/>
                    </w:rPr>
                    <w:t>本项目有机废气</w:t>
                  </w:r>
                  <w:r>
                    <w:rPr>
                      <w:rFonts w:hint="eastAsia"/>
                      <w:color w:val="auto"/>
                      <w:kern w:val="0"/>
                      <w:sz w:val="21"/>
                      <w:szCs w:val="21"/>
                      <w:lang w:val="en-US" w:eastAsia="zh-CN" w:bidi="ar"/>
                    </w:rPr>
                    <w:t>为封边、涂胶工序产生，经集气罩</w:t>
                  </w:r>
                  <w:r>
                    <w:rPr>
                      <w:color w:val="auto"/>
                      <w:kern w:val="0"/>
                      <w:sz w:val="21"/>
                      <w:szCs w:val="21"/>
                      <w:lang w:bidi="ar"/>
                    </w:rPr>
                    <w:t>收集后</w:t>
                  </w:r>
                  <w:r>
                    <w:rPr>
                      <w:rFonts w:hint="eastAsia"/>
                      <w:color w:val="auto"/>
                      <w:kern w:val="0"/>
                      <w:sz w:val="21"/>
                      <w:szCs w:val="21"/>
                      <w:lang w:val="en-US" w:eastAsia="zh-CN" w:bidi="ar"/>
                    </w:rPr>
                    <w:t>通过</w:t>
                  </w:r>
                  <w:r>
                    <w:rPr>
                      <w:rFonts w:hint="eastAsia"/>
                      <w:color w:val="auto"/>
                      <w:kern w:val="0"/>
                      <w:sz w:val="21"/>
                      <w:szCs w:val="21"/>
                      <w:lang w:eastAsia="zh-CN" w:bidi="ar"/>
                    </w:rPr>
                    <w:t>两级活性炭吸附</w:t>
                  </w:r>
                  <w:r>
                    <w:rPr>
                      <w:rFonts w:hint="eastAsia"/>
                      <w:color w:val="auto"/>
                      <w:kern w:val="0"/>
                      <w:sz w:val="21"/>
                      <w:szCs w:val="21"/>
                      <w:lang w:val="en-US" w:eastAsia="zh-CN" w:bidi="ar"/>
                    </w:rPr>
                    <w:t>进行</w:t>
                  </w:r>
                  <w:r>
                    <w:rPr>
                      <w:color w:val="auto"/>
                      <w:kern w:val="0"/>
                      <w:sz w:val="21"/>
                      <w:szCs w:val="21"/>
                      <w:lang w:bidi="ar"/>
                    </w:rPr>
                    <w:t>治理，去除率达到</w:t>
                  </w:r>
                  <w:r>
                    <w:rPr>
                      <w:rFonts w:hint="eastAsia"/>
                      <w:color w:val="auto"/>
                      <w:kern w:val="0"/>
                      <w:sz w:val="21"/>
                      <w:szCs w:val="21"/>
                      <w:lang w:val="en-US" w:eastAsia="zh-CN" w:bidi="ar"/>
                    </w:rPr>
                    <w:t>85</w:t>
                  </w:r>
                  <w:r>
                    <w:rPr>
                      <w:rFonts w:hint="eastAsia"/>
                      <w:color w:val="auto"/>
                      <w:kern w:val="0"/>
                      <w:sz w:val="21"/>
                      <w:szCs w:val="21"/>
                      <w:lang w:bidi="ar"/>
                    </w:rPr>
                    <w:t>%</w:t>
                  </w:r>
                  <w:r>
                    <w:rPr>
                      <w:color w:val="auto"/>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8568" w:type="dxa"/>
                  <w:gridSpan w:val="3"/>
                  <w:vAlign w:val="center"/>
                </w:tcPr>
                <w:p>
                  <w:pPr>
                    <w:widowControl/>
                    <w:jc w:val="left"/>
                    <w:rPr>
                      <w:color w:val="auto"/>
                      <w:sz w:val="21"/>
                      <w:szCs w:val="21"/>
                    </w:rPr>
                  </w:pPr>
                  <w:r>
                    <w:rPr>
                      <w:b/>
                      <w:bCs/>
                      <w:color w:val="auto"/>
                      <w:kern w:val="0"/>
                      <w:sz w:val="21"/>
                      <w:szCs w:val="21"/>
                      <w:lang w:bidi="ar"/>
                    </w:rPr>
                    <w:t>与环大气〔2020〕33号相符性分析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9" w:hRule="atLeast"/>
                <w:jc w:val="center"/>
              </w:trPr>
              <w:tc>
                <w:tcPr>
                  <w:tcW w:w="6267" w:type="dxa"/>
                  <w:gridSpan w:val="2"/>
                  <w:vAlign w:val="center"/>
                </w:tcPr>
                <w:p>
                  <w:pPr>
                    <w:widowControl/>
                    <w:jc w:val="left"/>
                    <w:rPr>
                      <w:color w:val="auto"/>
                      <w:sz w:val="21"/>
                      <w:szCs w:val="21"/>
                    </w:rPr>
                  </w:pPr>
                  <w:r>
                    <w:rPr>
                      <w:color w:val="auto"/>
                      <w:kern w:val="0"/>
                      <w:sz w:val="21"/>
                      <w:szCs w:val="21"/>
                      <w:lang w:bidi="ar"/>
                    </w:rPr>
                    <w:t>大力推进源头替代，有效减少VOCs产生。严格落实国家和地方产品VOCs含量限值标准。2020年7月1日起，船舶涂料和地坪涂料生产、销售和使用应满足新颁布实施的国家产品有害物质限量标准要求。京津冀地区建筑类涂料和胶粘剂产品须满足《建筑类涂料与胶粘剂挥发性有机化合物含量限值标准》要求。大力推进低（无）VOCs含量原辅材料替代。将全面使用符合国家要求的低VOCs含量原辅材料的企业纳入正面清单和政府绿色采购清单。企业应建立原辅材料台账，记录VOCs原辅材料名称、成分、VOCs含量、采购量、使用量、库存量、回收方式、回收量等信息，并保存相关证明材料。采用符合国家有关低VOCs含量产品规定的涂料、油墨、胶粘剂等，排放浓度稳定达标且排放速率满足相关规定的，相应生产工序可不要求建设末端治理设施。使用的原辅材料VOCs含量（质量比）均低于10%的工序，可不要求采取无组织排放收集和处理措施。</w:t>
                  </w:r>
                </w:p>
              </w:tc>
              <w:tc>
                <w:tcPr>
                  <w:tcW w:w="2301" w:type="dxa"/>
                  <w:vAlign w:val="center"/>
                </w:tcPr>
                <w:p>
                  <w:pPr>
                    <w:widowControl/>
                    <w:jc w:val="left"/>
                    <w:rPr>
                      <w:color w:val="auto"/>
                      <w:sz w:val="21"/>
                      <w:szCs w:val="21"/>
                    </w:rPr>
                  </w:pPr>
                  <w:r>
                    <w:rPr>
                      <w:color w:val="auto"/>
                      <w:kern w:val="0"/>
                      <w:sz w:val="21"/>
                      <w:szCs w:val="21"/>
                      <w:lang w:bidi="ar"/>
                    </w:rPr>
                    <w:t>本项目使用</w:t>
                  </w:r>
                  <w:r>
                    <w:rPr>
                      <w:rFonts w:hint="eastAsia"/>
                      <w:color w:val="auto"/>
                      <w:kern w:val="0"/>
                      <w:sz w:val="21"/>
                      <w:szCs w:val="21"/>
                      <w:lang w:val="en-US" w:eastAsia="zh-CN" w:bidi="ar"/>
                    </w:rPr>
                    <w:t>的海绵胶为水性胶粘剂</w:t>
                  </w:r>
                  <w:r>
                    <w:rPr>
                      <w:color w:val="auto"/>
                      <w:kern w:val="0"/>
                      <w:sz w:val="21"/>
                      <w:szCs w:val="21"/>
                      <w:lang w:bidi="ar"/>
                    </w:rPr>
                    <w:t>，</w:t>
                  </w:r>
                  <w:r>
                    <w:rPr>
                      <w:rFonts w:hint="eastAsia"/>
                      <w:color w:val="auto"/>
                      <w:kern w:val="0"/>
                      <w:sz w:val="21"/>
                      <w:szCs w:val="21"/>
                      <w:lang w:val="en-US" w:eastAsia="zh-CN" w:bidi="ar"/>
                    </w:rPr>
                    <w:t>属于</w:t>
                  </w:r>
                  <w:r>
                    <w:rPr>
                      <w:color w:val="auto"/>
                      <w:kern w:val="0"/>
                      <w:sz w:val="21"/>
                      <w:szCs w:val="21"/>
                      <w:lang w:bidi="ar"/>
                    </w:rPr>
                    <w:t>低VOCs</w:t>
                  </w:r>
                  <w:r>
                    <w:rPr>
                      <w:rFonts w:hint="eastAsia"/>
                      <w:color w:val="auto"/>
                      <w:kern w:val="0"/>
                      <w:sz w:val="21"/>
                      <w:szCs w:val="21"/>
                      <w:lang w:val="en-US" w:eastAsia="zh-CN" w:bidi="ar"/>
                    </w:rPr>
                    <w:t>胶粘剂</w:t>
                  </w:r>
                  <w:r>
                    <w:rPr>
                      <w:color w:val="auto"/>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2" w:hRule="atLeast"/>
                <w:jc w:val="center"/>
              </w:trPr>
              <w:tc>
                <w:tcPr>
                  <w:tcW w:w="6267" w:type="dxa"/>
                  <w:gridSpan w:val="2"/>
                  <w:vAlign w:val="center"/>
                </w:tcPr>
                <w:p>
                  <w:pPr>
                    <w:widowControl/>
                    <w:jc w:val="left"/>
                    <w:rPr>
                      <w:color w:val="auto"/>
                      <w:sz w:val="21"/>
                      <w:szCs w:val="21"/>
                    </w:rPr>
                  </w:pPr>
                  <w:r>
                    <w:rPr>
                      <w:color w:val="auto"/>
                      <w:kern w:val="0"/>
                      <w:sz w:val="21"/>
                      <w:szCs w:val="21"/>
                      <w:lang w:bidi="ar"/>
                    </w:rPr>
                    <w:t>（二）全面落实标准要求，强化无组织排放控制。2020年7月1日起，全面执行《挥发性有机物无组织排放控制标准》，重点区域应落实无组织排放特别控制要求。企业在无组织排放排查整治过程中，在保证安全的前提下，加强含VOCs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处置环节应将盛装过VOCs物料的包装容器、含VOCs废料（渣、液）、废吸附剂等通过加盖、封装等方式密闭，妥善存放，不得随意丢弃；处置单位在贮存、清洗、破碎等环节应按要求对VOCs无组织排放废气进行收集、处理。</w:t>
                  </w:r>
                </w:p>
              </w:tc>
              <w:tc>
                <w:tcPr>
                  <w:tcW w:w="2301" w:type="dxa"/>
                  <w:vAlign w:val="center"/>
                </w:tcPr>
                <w:p>
                  <w:pPr>
                    <w:widowControl/>
                    <w:jc w:val="left"/>
                    <w:rPr>
                      <w:rFonts w:hint="eastAsia" w:eastAsia="宋体"/>
                      <w:color w:val="auto"/>
                      <w:sz w:val="21"/>
                      <w:szCs w:val="21"/>
                      <w:lang w:val="en-US" w:eastAsia="zh-CN"/>
                    </w:rPr>
                  </w:pPr>
                  <w:r>
                    <w:rPr>
                      <w:color w:val="auto"/>
                      <w:kern w:val="0"/>
                      <w:sz w:val="21"/>
                      <w:szCs w:val="21"/>
                      <w:lang w:bidi="ar"/>
                    </w:rPr>
                    <w:t>本项目封边胶为固态热熔胶，</w:t>
                  </w:r>
                  <w:r>
                    <w:rPr>
                      <w:rFonts w:hint="eastAsia"/>
                      <w:color w:val="auto"/>
                      <w:kern w:val="0"/>
                      <w:sz w:val="21"/>
                      <w:szCs w:val="21"/>
                      <w:lang w:val="en-US" w:eastAsia="zh-CN" w:bidi="ar"/>
                    </w:rPr>
                    <w:t>采用包装袋密闭储存；软包沙发使用的海绵胶，为桶装，密闭储存。使用过程中产生的有机废气经集气罩</w:t>
                  </w:r>
                  <w:r>
                    <w:rPr>
                      <w:color w:val="auto"/>
                      <w:kern w:val="0"/>
                      <w:sz w:val="21"/>
                      <w:szCs w:val="21"/>
                      <w:lang w:bidi="ar"/>
                    </w:rPr>
                    <w:t>收集后</w:t>
                  </w:r>
                  <w:r>
                    <w:rPr>
                      <w:rFonts w:hint="eastAsia"/>
                      <w:color w:val="auto"/>
                      <w:kern w:val="0"/>
                      <w:sz w:val="21"/>
                      <w:szCs w:val="21"/>
                      <w:lang w:val="en-US" w:eastAsia="zh-CN" w:bidi="ar"/>
                    </w:rPr>
                    <w:t>通过</w:t>
                  </w:r>
                  <w:r>
                    <w:rPr>
                      <w:rFonts w:hint="eastAsia"/>
                      <w:color w:val="auto"/>
                      <w:kern w:val="0"/>
                      <w:sz w:val="21"/>
                      <w:szCs w:val="21"/>
                      <w:lang w:eastAsia="zh-CN" w:bidi="ar"/>
                    </w:rPr>
                    <w:t>两级活性炭吸附</w:t>
                  </w:r>
                  <w:r>
                    <w:rPr>
                      <w:rFonts w:hint="eastAsia"/>
                      <w:color w:val="auto"/>
                      <w:kern w:val="0"/>
                      <w:sz w:val="21"/>
                      <w:szCs w:val="21"/>
                      <w:lang w:val="en-US" w:eastAsia="zh-CN" w:bidi="ar"/>
                    </w:rPr>
                    <w:t>进行</w:t>
                  </w:r>
                  <w:r>
                    <w:rPr>
                      <w:color w:val="auto"/>
                      <w:kern w:val="0"/>
                      <w:sz w:val="21"/>
                      <w:szCs w:val="21"/>
                      <w:lang w:bidi="ar"/>
                    </w:rPr>
                    <w:t>治理</w:t>
                  </w:r>
                  <w:r>
                    <w:rPr>
                      <w:rFonts w:hint="eastAsia"/>
                      <w:color w:val="auto"/>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2" w:hRule="atLeast"/>
                <w:jc w:val="center"/>
              </w:trPr>
              <w:tc>
                <w:tcPr>
                  <w:tcW w:w="6267" w:type="dxa"/>
                  <w:gridSpan w:val="2"/>
                  <w:vAlign w:val="center"/>
                </w:tcPr>
                <w:p>
                  <w:pPr>
                    <w:widowControl/>
                    <w:jc w:val="left"/>
                    <w:rPr>
                      <w:color w:val="auto"/>
                      <w:sz w:val="21"/>
                      <w:szCs w:val="21"/>
                    </w:rPr>
                  </w:pPr>
                  <w:r>
                    <w:rPr>
                      <w:color w:val="auto"/>
                      <w:kern w:val="0"/>
                      <w:sz w:val="21"/>
                      <w:szCs w:val="21"/>
                      <w:lang w:bidi="ar"/>
                    </w:rPr>
                    <w:t>（三）聚焦治污设施“三率”，提升综合治理效率。组织企业对现有VOCs废气收集率、治理设施同步运行率和去除率开展自查，重点关注单一采用光氧化、光催化、低温等离子、一次性活性炭吸附、喷淋吸收等工艺的治理设施，7月15日前完成。对达不到要求的VOCs收集、治理设施进行更换或升级改造，确保实现达标排放。除恶臭异味治理外，一般不采用低温等离子、光催化、光氧化等技术。按照“应收尽收”的原则提升废气收集率。将无组织排放转变为有组织排放进行控制，优先采用密闭设备、在密闭空间中操作或采用全密闭集气罩收集方式；对于采用局部集气罩的，应根据废气排放特点合理选择收集点位，距集气罩开口面最远处的VOCs无组织排放位置，控制风速不低于0.3米/秒，达不到要求的通过更换大功率风机、增设烟道风机、增加垂帘等方式及时改造；加强生产车间密闭管理，在符合安全生产、职业卫生相关规定前提下，采用自动卷帘门、密闭性好的塑钢门窗等，在非必要时保持关闭。按照与生产设备“同启同停”的原则提升治理设施运行率。根据处理工艺要求，在处理设施达到正常运行条件后方可启动生产设备，在生产设备停止、残留VOCs废气收集处理完毕后，方可停运处理设施。VOCs废气处理系统发生故障或检修时，对应生产工艺设备应停止运行，待检修完毕后同步投入使用；因安全等因素生产工艺设备不能停止或不能及时停止运行的，应设置废气应急处理设施或采取其他替代措施。按照“适宜高效”的原则提高治理设施去除率，不得稀释排放。企业新建治污设施或对现有治污设施实施改造，应依据排放废气特征、VOCs组分及浓度、生产工况等，合理选择治理技术，对治理难度大、单一治理工艺难以稳定达标的，要采用多种技术的组合工艺。采用活性炭吸附技术的，应选择碘值不低于800毫克/克的活性炭，并按设计要求足量添加、及时更换；各地要督促行政区域内采用一次性活性炭吸附技术的企业按期更换活性炭，对于长期未进行更换的，于7月底前全部更换一次，并将废旧活性炭交有资质的单位处理处置，记录更换时间和使用量。</w:t>
                  </w:r>
                </w:p>
              </w:tc>
              <w:tc>
                <w:tcPr>
                  <w:tcW w:w="2301" w:type="dxa"/>
                  <w:vAlign w:val="center"/>
                </w:tcPr>
                <w:p>
                  <w:pPr>
                    <w:widowControl/>
                    <w:jc w:val="left"/>
                    <w:rPr>
                      <w:rFonts w:hint="eastAsia" w:eastAsia="宋体"/>
                      <w:color w:val="auto"/>
                      <w:sz w:val="21"/>
                      <w:szCs w:val="21"/>
                      <w:lang w:val="en-US" w:eastAsia="zh-CN"/>
                    </w:rPr>
                  </w:pPr>
                  <w:r>
                    <w:rPr>
                      <w:color w:val="auto"/>
                      <w:kern w:val="0"/>
                      <w:sz w:val="21"/>
                      <w:szCs w:val="21"/>
                      <w:highlight w:val="none"/>
                      <w:shd w:val="clear"/>
                      <w:lang w:bidi="ar"/>
                    </w:rPr>
                    <w:t>项目</w:t>
                  </w:r>
                  <w:r>
                    <w:rPr>
                      <w:rFonts w:hint="eastAsia"/>
                      <w:color w:val="auto"/>
                      <w:kern w:val="0"/>
                      <w:sz w:val="21"/>
                      <w:szCs w:val="21"/>
                      <w:highlight w:val="none"/>
                      <w:shd w:val="clear"/>
                      <w:lang w:val="en-US" w:eastAsia="zh-CN" w:bidi="ar"/>
                    </w:rPr>
                    <w:t>生产过程中封边、粘贴</w:t>
                  </w:r>
                  <w:r>
                    <w:rPr>
                      <w:color w:val="auto"/>
                      <w:kern w:val="0"/>
                      <w:sz w:val="21"/>
                      <w:szCs w:val="21"/>
                      <w:highlight w:val="none"/>
                      <w:shd w:val="clear"/>
                      <w:lang w:bidi="ar"/>
                    </w:rPr>
                    <w:t>工序</w:t>
                  </w:r>
                  <w:r>
                    <w:rPr>
                      <w:rFonts w:hint="eastAsia"/>
                      <w:color w:val="auto"/>
                      <w:kern w:val="0"/>
                      <w:sz w:val="21"/>
                      <w:szCs w:val="21"/>
                      <w:highlight w:val="none"/>
                      <w:shd w:val="clear"/>
                      <w:lang w:val="en-US" w:eastAsia="zh-CN" w:bidi="ar"/>
                    </w:rPr>
                    <w:t>均在</w:t>
                  </w:r>
                  <w:r>
                    <w:rPr>
                      <w:color w:val="auto"/>
                      <w:kern w:val="0"/>
                      <w:sz w:val="21"/>
                      <w:szCs w:val="21"/>
                      <w:highlight w:val="none"/>
                      <w:shd w:val="clear"/>
                      <w:lang w:bidi="ar"/>
                    </w:rPr>
                    <w:t>密闭</w:t>
                  </w:r>
                  <w:r>
                    <w:rPr>
                      <w:rFonts w:hint="eastAsia"/>
                      <w:color w:val="auto"/>
                      <w:kern w:val="0"/>
                      <w:sz w:val="21"/>
                      <w:szCs w:val="21"/>
                      <w:highlight w:val="none"/>
                      <w:shd w:val="clear"/>
                      <w:lang w:val="en-US" w:eastAsia="zh-CN" w:bidi="ar"/>
                    </w:rPr>
                    <w:t>车间</w:t>
                  </w:r>
                  <w:r>
                    <w:rPr>
                      <w:color w:val="auto"/>
                      <w:kern w:val="0"/>
                      <w:sz w:val="21"/>
                      <w:szCs w:val="21"/>
                      <w:highlight w:val="none"/>
                      <w:shd w:val="clear"/>
                      <w:lang w:bidi="ar"/>
                    </w:rPr>
                    <w:t>进行，有机废气采用</w:t>
                  </w:r>
                  <w:r>
                    <w:rPr>
                      <w:rFonts w:hint="eastAsia"/>
                      <w:color w:val="auto"/>
                      <w:kern w:val="0"/>
                      <w:sz w:val="21"/>
                      <w:szCs w:val="21"/>
                      <w:highlight w:val="none"/>
                      <w:shd w:val="clear"/>
                      <w:lang w:eastAsia="zh-CN" w:bidi="ar"/>
                    </w:rPr>
                    <w:t>两级活性炭吸附</w:t>
                  </w:r>
                  <w:r>
                    <w:rPr>
                      <w:color w:val="auto"/>
                      <w:kern w:val="0"/>
                      <w:sz w:val="21"/>
                      <w:szCs w:val="21"/>
                      <w:highlight w:val="none"/>
                      <w:shd w:val="clear"/>
                      <w:lang w:bidi="ar"/>
                    </w:rPr>
                    <w:t>治理措施，去除率达到</w:t>
                  </w:r>
                  <w:r>
                    <w:rPr>
                      <w:rFonts w:hint="eastAsia"/>
                      <w:color w:val="auto"/>
                      <w:kern w:val="0"/>
                      <w:sz w:val="21"/>
                      <w:szCs w:val="21"/>
                      <w:highlight w:val="none"/>
                      <w:shd w:val="clear"/>
                      <w:lang w:val="en-US" w:eastAsia="zh-CN" w:bidi="ar"/>
                    </w:rPr>
                    <w:t>85</w:t>
                  </w:r>
                  <w:r>
                    <w:rPr>
                      <w:rFonts w:hint="eastAsia"/>
                      <w:color w:val="auto"/>
                      <w:kern w:val="0"/>
                      <w:sz w:val="21"/>
                      <w:szCs w:val="21"/>
                      <w:highlight w:val="none"/>
                      <w:shd w:val="clear"/>
                      <w:lang w:bidi="ar"/>
                    </w:rPr>
                    <w:t>%</w:t>
                  </w:r>
                  <w:r>
                    <w:rPr>
                      <w:color w:val="auto"/>
                      <w:kern w:val="0"/>
                      <w:sz w:val="21"/>
                      <w:szCs w:val="21"/>
                      <w:highlight w:val="none"/>
                      <w:shd w:val="clear"/>
                      <w:lang w:bidi="ar"/>
                    </w:rPr>
                    <w:t>。</w:t>
                  </w:r>
                  <w:r>
                    <w:rPr>
                      <w:rFonts w:hint="eastAsia"/>
                      <w:color w:val="auto"/>
                      <w:kern w:val="0"/>
                      <w:sz w:val="21"/>
                      <w:szCs w:val="21"/>
                      <w:highlight w:val="none"/>
                      <w:shd w:val="clear"/>
                      <w:lang w:val="en-US" w:eastAsia="zh-CN" w:bidi="ar"/>
                    </w:rPr>
                    <w:t>使用的活性炭</w:t>
                  </w:r>
                  <w:r>
                    <w:rPr>
                      <w:color w:val="auto"/>
                      <w:kern w:val="0"/>
                      <w:sz w:val="21"/>
                      <w:szCs w:val="21"/>
                      <w:lang w:bidi="ar"/>
                    </w:rPr>
                    <w:t>碘值不低于800毫克/克</w:t>
                  </w:r>
                  <w:r>
                    <w:rPr>
                      <w:rFonts w:hint="eastAsia"/>
                      <w:color w:val="auto"/>
                      <w:kern w:val="0"/>
                      <w:sz w:val="21"/>
                      <w:szCs w:val="21"/>
                      <w:lang w:eastAsia="zh-CN" w:bidi="ar"/>
                    </w:rPr>
                    <w:t>。</w:t>
                  </w:r>
                </w:p>
              </w:tc>
            </w:tr>
          </w:tbl>
          <w:p>
            <w:pPr>
              <w:widowControl/>
              <w:spacing w:line="360" w:lineRule="auto"/>
              <w:jc w:val="left"/>
              <w:rPr>
                <w:color w:val="auto"/>
              </w:rPr>
            </w:pPr>
            <w:r>
              <w:rPr>
                <w:b/>
                <w:bCs/>
                <w:color w:val="auto"/>
                <w:kern w:val="0"/>
                <w:lang w:bidi="ar"/>
              </w:rPr>
              <w:t>3.</w:t>
            </w:r>
            <w:r>
              <w:rPr>
                <w:rFonts w:hint="eastAsia"/>
                <w:b/>
                <w:bCs/>
                <w:color w:val="auto"/>
                <w:kern w:val="0"/>
                <w:lang w:bidi="ar"/>
              </w:rPr>
              <w:t>2</w:t>
            </w:r>
            <w:r>
              <w:rPr>
                <w:b/>
                <w:bCs/>
                <w:color w:val="auto"/>
                <w:kern w:val="0"/>
                <w:lang w:bidi="ar"/>
              </w:rPr>
              <w:t>与《挥发性有机物无组织排放控制标准》（GB37822-2019）相符性分析</w:t>
            </w:r>
          </w:p>
          <w:p>
            <w:pPr>
              <w:widowControl/>
              <w:spacing w:line="360" w:lineRule="auto"/>
              <w:ind w:firstLine="480" w:firstLineChars="200"/>
              <w:jc w:val="left"/>
              <w:rPr>
                <w:color w:val="auto"/>
              </w:rPr>
            </w:pPr>
            <w:r>
              <w:rPr>
                <w:color w:val="auto"/>
                <w:kern w:val="0"/>
                <w:lang w:bidi="ar"/>
              </w:rPr>
              <w:t>本项目与《挥发性有机物无组织排放控制标准》（GB37822-2019）相符性情况见下表。</w:t>
            </w:r>
          </w:p>
          <w:p>
            <w:pPr>
              <w:pStyle w:val="10"/>
              <w:rPr>
                <w:rFonts w:eastAsia="宋体"/>
                <w:b/>
                <w:bCs/>
                <w:color w:val="auto"/>
              </w:rPr>
            </w:pPr>
            <w:r>
              <w:rPr>
                <w:rFonts w:eastAsia="宋体"/>
                <w:b/>
                <w:bCs/>
                <w:color w:val="auto"/>
              </w:rPr>
              <w:t>表1-</w:t>
            </w:r>
            <w:r>
              <w:rPr>
                <w:rFonts w:hint="eastAsia" w:eastAsia="宋体"/>
                <w:b/>
                <w:bCs/>
                <w:color w:val="auto"/>
                <w:lang w:val="en-US" w:eastAsia="zh-CN"/>
              </w:rPr>
              <w:t>5</w:t>
            </w:r>
            <w:r>
              <w:rPr>
                <w:rFonts w:eastAsia="宋体"/>
                <w:b/>
                <w:bCs/>
                <w:color w:val="auto"/>
              </w:rPr>
              <w:t xml:space="preserve"> </w:t>
            </w:r>
            <w:r>
              <w:rPr>
                <w:rFonts w:hint="eastAsia" w:eastAsia="宋体"/>
                <w:b/>
                <w:bCs/>
                <w:color w:val="auto"/>
                <w:lang w:val="en-US" w:eastAsia="zh-CN"/>
              </w:rPr>
              <w:t xml:space="preserve"> </w:t>
            </w:r>
            <w:r>
              <w:rPr>
                <w:rFonts w:eastAsia="宋体"/>
                <w:b/>
                <w:bCs/>
                <w:color w:val="auto"/>
              </w:rPr>
              <w:t>本项目与《挥发性有机物无组织排放控制标准》（GB37822-2019）相符性分析</w:t>
            </w:r>
          </w:p>
          <w:tbl>
            <w:tblPr>
              <w:tblStyle w:val="23"/>
              <w:tblW w:w="84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4"/>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5494" w:type="dxa"/>
                  <w:vAlign w:val="center"/>
                </w:tcPr>
                <w:p>
                  <w:pPr>
                    <w:jc w:val="center"/>
                    <w:rPr>
                      <w:b/>
                      <w:bCs/>
                      <w:color w:val="auto"/>
                      <w:sz w:val="21"/>
                      <w:szCs w:val="21"/>
                    </w:rPr>
                  </w:pPr>
                  <w:r>
                    <w:rPr>
                      <w:b/>
                      <w:bCs/>
                      <w:color w:val="auto"/>
                      <w:sz w:val="21"/>
                      <w:szCs w:val="21"/>
                    </w:rPr>
                    <w:t>文件要求</w:t>
                  </w:r>
                </w:p>
              </w:tc>
              <w:tc>
                <w:tcPr>
                  <w:tcW w:w="2960" w:type="dxa"/>
                  <w:vAlign w:val="center"/>
                </w:tcPr>
                <w:p>
                  <w:pPr>
                    <w:jc w:val="center"/>
                    <w:rPr>
                      <w:b/>
                      <w:bCs/>
                      <w:color w:val="auto"/>
                      <w:sz w:val="21"/>
                      <w:szCs w:val="21"/>
                      <w:highlight w:val="none"/>
                    </w:rPr>
                  </w:pPr>
                  <w:r>
                    <w:rPr>
                      <w:b/>
                      <w:bCs/>
                      <w:color w:val="auto"/>
                      <w:sz w:val="21"/>
                      <w:szCs w:val="21"/>
                      <w:highlight w:val="none"/>
                    </w:rPr>
                    <w:t>本项目相符性分析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494" w:type="dxa"/>
                  <w:vAlign w:val="center"/>
                </w:tcPr>
                <w:p>
                  <w:pPr>
                    <w:widowControl/>
                    <w:jc w:val="left"/>
                    <w:rPr>
                      <w:color w:val="auto"/>
                      <w:sz w:val="21"/>
                      <w:szCs w:val="21"/>
                    </w:rPr>
                  </w:pPr>
                  <w:r>
                    <w:rPr>
                      <w:color w:val="auto"/>
                      <w:kern w:val="0"/>
                      <w:sz w:val="21"/>
                      <w:szCs w:val="21"/>
                      <w:lang w:bidi="ar"/>
                    </w:rPr>
                    <w:t>5、VOCs物料储存无组织排放控制要求。</w:t>
                  </w:r>
                </w:p>
                <w:p>
                  <w:pPr>
                    <w:widowControl/>
                    <w:jc w:val="left"/>
                    <w:rPr>
                      <w:color w:val="auto"/>
                      <w:sz w:val="21"/>
                      <w:szCs w:val="21"/>
                    </w:rPr>
                  </w:pPr>
                  <w:r>
                    <w:rPr>
                      <w:color w:val="auto"/>
                      <w:kern w:val="0"/>
                      <w:sz w:val="21"/>
                      <w:szCs w:val="21"/>
                      <w:lang w:bidi="ar"/>
                    </w:rPr>
                    <w:t>5.1.1VOCs物料应储存于密闭的容器、包装袋、储罐、储库、料仓中。</w:t>
                  </w:r>
                </w:p>
                <w:p>
                  <w:pPr>
                    <w:widowControl/>
                    <w:jc w:val="left"/>
                    <w:rPr>
                      <w:color w:val="auto"/>
                      <w:sz w:val="21"/>
                      <w:szCs w:val="21"/>
                    </w:rPr>
                  </w:pPr>
                  <w:r>
                    <w:rPr>
                      <w:color w:val="auto"/>
                      <w:kern w:val="0"/>
                      <w:sz w:val="21"/>
                      <w:szCs w:val="21"/>
                      <w:lang w:bidi="ar"/>
                    </w:rPr>
                    <w:t>5.1.2盛装VOCs物料的容器或包装袋应存放于室内，或存放于设置有雨棚、遮阳和防渗设施的专用场地。盛装VOCs物料的容器或包装袋在非取用状态时应加盖、封口，保持密闭。</w:t>
                  </w:r>
                </w:p>
              </w:tc>
              <w:tc>
                <w:tcPr>
                  <w:tcW w:w="2960" w:type="dxa"/>
                  <w:vAlign w:val="center"/>
                </w:tcPr>
                <w:p>
                  <w:pPr>
                    <w:widowControl/>
                    <w:jc w:val="left"/>
                    <w:rPr>
                      <w:color w:val="auto"/>
                      <w:sz w:val="21"/>
                      <w:szCs w:val="21"/>
                      <w:highlight w:val="none"/>
                    </w:rPr>
                  </w:pPr>
                  <w:r>
                    <w:rPr>
                      <w:color w:val="auto"/>
                      <w:kern w:val="0"/>
                      <w:sz w:val="21"/>
                      <w:szCs w:val="21"/>
                      <w:highlight w:val="none"/>
                      <w:lang w:bidi="ar"/>
                    </w:rPr>
                    <w:t>项目用</w:t>
                  </w:r>
                  <w:r>
                    <w:rPr>
                      <w:rFonts w:hint="eastAsia"/>
                      <w:color w:val="auto"/>
                      <w:kern w:val="0"/>
                      <w:sz w:val="21"/>
                      <w:szCs w:val="21"/>
                      <w:highlight w:val="none"/>
                      <w:lang w:val="en-US" w:eastAsia="zh-CN" w:bidi="ar"/>
                    </w:rPr>
                    <w:t>海绵胶</w:t>
                  </w:r>
                  <w:r>
                    <w:rPr>
                      <w:color w:val="auto"/>
                      <w:kern w:val="0"/>
                      <w:sz w:val="21"/>
                      <w:szCs w:val="21"/>
                      <w:highlight w:val="none"/>
                      <w:lang w:bidi="ar"/>
                    </w:rPr>
                    <w:t>采用密闭包装桶储存，均存放于室内，在非取用状态时均封口密闭。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5494" w:type="dxa"/>
                  <w:vAlign w:val="center"/>
                </w:tcPr>
                <w:p>
                  <w:pPr>
                    <w:widowControl/>
                    <w:jc w:val="left"/>
                    <w:rPr>
                      <w:color w:val="auto"/>
                      <w:sz w:val="21"/>
                      <w:szCs w:val="21"/>
                    </w:rPr>
                  </w:pPr>
                  <w:r>
                    <w:rPr>
                      <w:color w:val="auto"/>
                      <w:kern w:val="0"/>
                      <w:sz w:val="21"/>
                      <w:szCs w:val="21"/>
                      <w:lang w:bidi="ar"/>
                    </w:rPr>
                    <w:t>6、VOCs物料转移和输送无组织排放控制要求液态VOCs物料应采用密闭管道输送。采用非管道输送方式转移液态VOCs物料时，应采用密闭容器、罐车。</w:t>
                  </w:r>
                </w:p>
              </w:tc>
              <w:tc>
                <w:tcPr>
                  <w:tcW w:w="2960" w:type="dxa"/>
                  <w:vAlign w:val="center"/>
                </w:tcPr>
                <w:p>
                  <w:pPr>
                    <w:widowControl/>
                    <w:jc w:val="left"/>
                    <w:rPr>
                      <w:color w:val="auto"/>
                      <w:sz w:val="21"/>
                      <w:szCs w:val="21"/>
                      <w:highlight w:val="none"/>
                    </w:rPr>
                  </w:pPr>
                  <w:r>
                    <w:rPr>
                      <w:color w:val="auto"/>
                      <w:kern w:val="0"/>
                      <w:sz w:val="21"/>
                      <w:szCs w:val="21"/>
                      <w:highlight w:val="none"/>
                      <w:lang w:bidi="ar"/>
                    </w:rPr>
                    <w:t>项目用</w:t>
                  </w:r>
                  <w:r>
                    <w:rPr>
                      <w:rFonts w:hint="eastAsia"/>
                      <w:color w:val="auto"/>
                      <w:kern w:val="0"/>
                      <w:sz w:val="21"/>
                      <w:szCs w:val="21"/>
                      <w:highlight w:val="none"/>
                      <w:lang w:val="en-US" w:eastAsia="zh-CN" w:bidi="ar"/>
                    </w:rPr>
                    <w:t>海绵胶</w:t>
                  </w:r>
                  <w:r>
                    <w:rPr>
                      <w:color w:val="auto"/>
                      <w:kern w:val="0"/>
                      <w:sz w:val="21"/>
                      <w:szCs w:val="21"/>
                      <w:highlight w:val="none"/>
                      <w:lang w:bidi="ar"/>
                    </w:rPr>
                    <w:t>采用密闭包装桶进行物料转移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7" w:hRule="atLeast"/>
                <w:jc w:val="center"/>
              </w:trPr>
              <w:tc>
                <w:tcPr>
                  <w:tcW w:w="5494" w:type="dxa"/>
                  <w:vAlign w:val="center"/>
                </w:tcPr>
                <w:p>
                  <w:pPr>
                    <w:widowControl/>
                    <w:jc w:val="left"/>
                    <w:rPr>
                      <w:color w:val="auto"/>
                      <w:sz w:val="21"/>
                      <w:szCs w:val="21"/>
                    </w:rPr>
                  </w:pPr>
                  <w:r>
                    <w:rPr>
                      <w:color w:val="auto"/>
                      <w:kern w:val="0"/>
                      <w:sz w:val="21"/>
                      <w:szCs w:val="21"/>
                      <w:lang w:bidi="ar"/>
                    </w:rPr>
                    <w:t>7、工艺过程VOCs无组织排放控制要求</w:t>
                  </w:r>
                </w:p>
                <w:p>
                  <w:pPr>
                    <w:widowControl/>
                    <w:jc w:val="left"/>
                    <w:rPr>
                      <w:color w:val="auto"/>
                      <w:sz w:val="21"/>
                      <w:szCs w:val="21"/>
                    </w:rPr>
                  </w:pPr>
                  <w:r>
                    <w:rPr>
                      <w:color w:val="auto"/>
                      <w:kern w:val="0"/>
                      <w:sz w:val="21"/>
                      <w:szCs w:val="21"/>
                      <w:lang w:bidi="ar"/>
                    </w:rPr>
                    <w:t>7.2含VOCs产品的使用过程</w:t>
                  </w:r>
                </w:p>
                <w:p>
                  <w:pPr>
                    <w:widowControl/>
                    <w:jc w:val="left"/>
                    <w:rPr>
                      <w:color w:val="auto"/>
                      <w:sz w:val="21"/>
                      <w:szCs w:val="21"/>
                    </w:rPr>
                  </w:pPr>
                  <w:r>
                    <w:rPr>
                      <w:color w:val="auto"/>
                      <w:kern w:val="0"/>
                      <w:sz w:val="21"/>
                      <w:szCs w:val="21"/>
                      <w:lang w:bidi="ar"/>
                    </w:rPr>
                    <w:t>7.2.1VOCs质量占比大于等于10%的含VOCs产品，其使用过程应采用密闭设备或在密闭空间内操作，废气应排至VOCs废气收集处理系统；无法密闭的，应采取局部气体收集措施，废气应排至VOCs废气收集处理系统。</w:t>
                  </w:r>
                </w:p>
                <w:p>
                  <w:pPr>
                    <w:widowControl/>
                    <w:jc w:val="left"/>
                    <w:rPr>
                      <w:color w:val="auto"/>
                      <w:sz w:val="21"/>
                      <w:szCs w:val="21"/>
                    </w:rPr>
                  </w:pPr>
                  <w:r>
                    <w:rPr>
                      <w:color w:val="auto"/>
                      <w:kern w:val="0"/>
                      <w:sz w:val="21"/>
                      <w:szCs w:val="21"/>
                      <w:lang w:bidi="ar"/>
                    </w:rPr>
                    <w:t>7.3其他要求</w:t>
                  </w:r>
                </w:p>
                <w:p>
                  <w:pPr>
                    <w:widowControl/>
                    <w:jc w:val="left"/>
                    <w:rPr>
                      <w:color w:val="auto"/>
                      <w:sz w:val="21"/>
                      <w:szCs w:val="21"/>
                    </w:rPr>
                  </w:pPr>
                  <w:r>
                    <w:rPr>
                      <w:color w:val="auto"/>
                      <w:kern w:val="0"/>
                      <w:sz w:val="21"/>
                      <w:szCs w:val="21"/>
                      <w:lang w:bidi="ar"/>
                    </w:rPr>
                    <w:t>7.3.1企业应建立台账，记录含VOCs原辅材料和VOCs产品的名称、使用量、回收量、废弃量、去向以及VOCs含量等信息，台账保存期限不少于3年。</w:t>
                  </w:r>
                </w:p>
              </w:tc>
              <w:tc>
                <w:tcPr>
                  <w:tcW w:w="2960" w:type="dxa"/>
                  <w:vAlign w:val="center"/>
                </w:tcPr>
                <w:p>
                  <w:pPr>
                    <w:widowControl/>
                    <w:jc w:val="left"/>
                    <w:rPr>
                      <w:color w:val="auto"/>
                      <w:sz w:val="21"/>
                      <w:szCs w:val="21"/>
                      <w:highlight w:val="none"/>
                    </w:rPr>
                  </w:pPr>
                  <w:r>
                    <w:rPr>
                      <w:color w:val="auto"/>
                      <w:kern w:val="0"/>
                      <w:sz w:val="21"/>
                      <w:szCs w:val="21"/>
                      <w:highlight w:val="none"/>
                      <w:lang w:bidi="ar"/>
                    </w:rPr>
                    <w:t>项目用</w:t>
                  </w:r>
                  <w:r>
                    <w:rPr>
                      <w:rFonts w:hint="eastAsia"/>
                      <w:color w:val="auto"/>
                      <w:kern w:val="0"/>
                      <w:sz w:val="21"/>
                      <w:szCs w:val="21"/>
                      <w:highlight w:val="none"/>
                      <w:lang w:val="en-US" w:eastAsia="zh-CN" w:bidi="ar"/>
                    </w:rPr>
                    <w:t>海绵胶为水性胶粘剂，属于低</w:t>
                  </w:r>
                  <w:r>
                    <w:rPr>
                      <w:color w:val="auto"/>
                      <w:kern w:val="0"/>
                      <w:sz w:val="21"/>
                      <w:szCs w:val="21"/>
                      <w:highlight w:val="none"/>
                      <w:lang w:bidi="ar"/>
                    </w:rPr>
                    <w:t>VOCs</w:t>
                  </w:r>
                  <w:r>
                    <w:rPr>
                      <w:rFonts w:hint="eastAsia"/>
                      <w:color w:val="auto"/>
                      <w:kern w:val="0"/>
                      <w:sz w:val="21"/>
                      <w:szCs w:val="21"/>
                      <w:highlight w:val="none"/>
                      <w:lang w:val="en-US" w:eastAsia="zh-CN" w:bidi="ar"/>
                    </w:rPr>
                    <w:t>含量物料</w:t>
                  </w:r>
                  <w:r>
                    <w:rPr>
                      <w:color w:val="auto"/>
                      <w:kern w:val="0"/>
                      <w:sz w:val="21"/>
                      <w:szCs w:val="21"/>
                      <w:highlight w:val="none"/>
                      <w:lang w:bidi="ar"/>
                    </w:rPr>
                    <w:t>，其使用过程采用密闭设备或在密闭空间内操作，产生的废气</w:t>
                  </w:r>
                  <w:r>
                    <w:rPr>
                      <w:rFonts w:hint="eastAsia"/>
                      <w:color w:val="auto"/>
                      <w:kern w:val="0"/>
                      <w:sz w:val="21"/>
                      <w:szCs w:val="21"/>
                      <w:highlight w:val="none"/>
                      <w:lang w:bidi="ar"/>
                    </w:rPr>
                    <w:t>采用</w:t>
                  </w:r>
                  <w:r>
                    <w:rPr>
                      <w:rFonts w:hint="eastAsia"/>
                      <w:color w:val="auto"/>
                      <w:kern w:val="0"/>
                      <w:sz w:val="21"/>
                      <w:szCs w:val="21"/>
                      <w:highlight w:val="none"/>
                      <w:lang w:eastAsia="zh-CN" w:bidi="ar"/>
                    </w:rPr>
                    <w:t>两级活性炭吸附</w:t>
                  </w:r>
                  <w:r>
                    <w:rPr>
                      <w:color w:val="auto"/>
                      <w:kern w:val="0"/>
                      <w:sz w:val="21"/>
                      <w:szCs w:val="21"/>
                      <w:highlight w:val="none"/>
                      <w:lang w:bidi="ar"/>
                    </w:rPr>
                    <w:t>治理措施。项目运营后设立物料/废料进出台账，对涉VOCs物料及废料清单管理。</w:t>
                  </w:r>
                </w:p>
              </w:tc>
            </w:tr>
          </w:tbl>
          <w:p>
            <w:pPr>
              <w:widowControl/>
              <w:spacing w:line="360" w:lineRule="auto"/>
              <w:ind w:firstLine="480" w:firstLineChars="200"/>
              <w:jc w:val="both"/>
              <w:rPr>
                <w:color w:val="auto"/>
              </w:rPr>
            </w:pPr>
            <w:r>
              <w:rPr>
                <w:color w:val="auto"/>
                <w:kern w:val="0"/>
                <w:lang w:bidi="ar"/>
              </w:rPr>
              <w:t>由上表可知，本项目符合《挥发性有机物无组织排放控制标准》（GB37822-2019）相关要求。</w:t>
            </w:r>
          </w:p>
          <w:p>
            <w:pPr>
              <w:widowControl/>
              <w:spacing w:line="360" w:lineRule="auto"/>
              <w:jc w:val="left"/>
              <w:rPr>
                <w:b/>
                <w:bCs/>
                <w:color w:val="auto"/>
                <w:kern w:val="0"/>
                <w:lang w:bidi="ar"/>
              </w:rPr>
            </w:pPr>
            <w:r>
              <w:rPr>
                <w:b/>
                <w:bCs/>
                <w:color w:val="auto"/>
                <w:kern w:val="0"/>
                <w:lang w:bidi="ar"/>
              </w:rPr>
              <w:t>3.</w:t>
            </w:r>
            <w:r>
              <w:rPr>
                <w:rFonts w:hint="eastAsia"/>
                <w:b/>
                <w:bCs/>
                <w:color w:val="auto"/>
                <w:kern w:val="0"/>
                <w:lang w:bidi="ar"/>
              </w:rPr>
              <w:t>3</w:t>
            </w:r>
            <w:r>
              <w:rPr>
                <w:rFonts w:hint="default" w:ascii="Times New Roman" w:hAnsi="Times New Roman" w:eastAsia="宋体" w:cs="Times New Roman"/>
                <w:b/>
                <w:bCs/>
                <w:color w:val="auto"/>
                <w:kern w:val="0"/>
                <w:sz w:val="24"/>
                <w:szCs w:val="24"/>
                <w:highlight w:val="none"/>
                <w:vertAlign w:val="baseline"/>
                <w:lang w:val="en-US" w:eastAsia="zh-CN"/>
              </w:rPr>
              <w:t>与濮阳市生态环境保护委员会办公室关于印发《濮阳市20</w:t>
            </w:r>
            <w:r>
              <w:rPr>
                <w:rFonts w:hint="eastAsia" w:cs="Times New Roman"/>
                <w:b/>
                <w:bCs/>
                <w:color w:val="auto"/>
                <w:kern w:val="0"/>
                <w:sz w:val="24"/>
                <w:szCs w:val="24"/>
                <w:highlight w:val="none"/>
                <w:vertAlign w:val="baseline"/>
                <w:lang w:val="en-US" w:eastAsia="zh-CN"/>
              </w:rPr>
              <w:t>25</w:t>
            </w:r>
            <w:r>
              <w:rPr>
                <w:rFonts w:hint="default" w:ascii="Times New Roman" w:hAnsi="Times New Roman" w:eastAsia="宋体" w:cs="Times New Roman"/>
                <w:b/>
                <w:bCs/>
                <w:color w:val="auto"/>
                <w:kern w:val="0"/>
                <w:sz w:val="24"/>
                <w:szCs w:val="24"/>
                <w:highlight w:val="none"/>
                <w:vertAlign w:val="baseline"/>
                <w:lang w:val="en-US" w:eastAsia="zh-CN"/>
              </w:rPr>
              <w:t>年蓝天保卫战实施方案》《濮阳市202</w:t>
            </w:r>
            <w:r>
              <w:rPr>
                <w:rFonts w:hint="eastAsia" w:cs="Times New Roman"/>
                <w:b/>
                <w:bCs/>
                <w:color w:val="auto"/>
                <w:kern w:val="0"/>
                <w:sz w:val="24"/>
                <w:szCs w:val="24"/>
                <w:highlight w:val="none"/>
                <w:vertAlign w:val="baseline"/>
                <w:lang w:val="en-US" w:eastAsia="zh-CN"/>
              </w:rPr>
              <w:t>5</w:t>
            </w:r>
            <w:r>
              <w:rPr>
                <w:rFonts w:hint="default" w:ascii="Times New Roman" w:hAnsi="Times New Roman" w:eastAsia="宋体" w:cs="Times New Roman"/>
                <w:b/>
                <w:bCs/>
                <w:color w:val="auto"/>
                <w:kern w:val="0"/>
                <w:sz w:val="24"/>
                <w:szCs w:val="24"/>
                <w:highlight w:val="none"/>
                <w:vertAlign w:val="baseline"/>
                <w:lang w:val="en-US" w:eastAsia="zh-CN"/>
              </w:rPr>
              <w:t>年碧水保卫战实施方案》《濮阳市202</w:t>
            </w:r>
            <w:r>
              <w:rPr>
                <w:rFonts w:hint="eastAsia" w:cs="Times New Roman"/>
                <w:b/>
                <w:bCs/>
                <w:color w:val="auto"/>
                <w:kern w:val="0"/>
                <w:sz w:val="24"/>
                <w:szCs w:val="24"/>
                <w:highlight w:val="none"/>
                <w:vertAlign w:val="baseline"/>
                <w:lang w:val="en-US" w:eastAsia="zh-CN"/>
              </w:rPr>
              <w:t>5</w:t>
            </w:r>
            <w:r>
              <w:rPr>
                <w:rFonts w:hint="default" w:ascii="Times New Roman" w:hAnsi="Times New Roman" w:eastAsia="宋体" w:cs="Times New Roman"/>
                <w:b/>
                <w:bCs/>
                <w:color w:val="auto"/>
                <w:kern w:val="0"/>
                <w:sz w:val="24"/>
                <w:szCs w:val="24"/>
                <w:highlight w:val="none"/>
                <w:vertAlign w:val="baseline"/>
                <w:lang w:val="en-US" w:eastAsia="zh-CN"/>
              </w:rPr>
              <w:t>年净土保卫战实施方案》的通知（濮环委办〔202</w:t>
            </w:r>
            <w:r>
              <w:rPr>
                <w:rFonts w:hint="eastAsia" w:cs="Times New Roman"/>
                <w:b/>
                <w:bCs/>
                <w:color w:val="auto"/>
                <w:kern w:val="0"/>
                <w:sz w:val="24"/>
                <w:szCs w:val="24"/>
                <w:highlight w:val="none"/>
                <w:vertAlign w:val="baseline"/>
                <w:lang w:val="en-US" w:eastAsia="zh-CN"/>
              </w:rPr>
              <w:t>5</w:t>
            </w:r>
            <w:r>
              <w:rPr>
                <w:rFonts w:hint="default" w:ascii="Times New Roman" w:hAnsi="Times New Roman" w:eastAsia="宋体" w:cs="Times New Roman"/>
                <w:b/>
                <w:bCs/>
                <w:color w:val="auto"/>
                <w:kern w:val="0"/>
                <w:sz w:val="24"/>
                <w:szCs w:val="24"/>
                <w:highlight w:val="none"/>
                <w:vertAlign w:val="baseline"/>
                <w:lang w:val="en-US" w:eastAsia="zh-CN"/>
              </w:rPr>
              <w:t>〕</w:t>
            </w:r>
            <w:r>
              <w:rPr>
                <w:rFonts w:hint="eastAsia" w:cs="Times New Roman"/>
                <w:b/>
                <w:bCs/>
                <w:color w:val="auto"/>
                <w:kern w:val="0"/>
                <w:sz w:val="24"/>
                <w:szCs w:val="24"/>
                <w:highlight w:val="none"/>
                <w:vertAlign w:val="baseline"/>
                <w:lang w:val="en-US" w:eastAsia="zh-CN"/>
              </w:rPr>
              <w:t>1</w:t>
            </w:r>
            <w:r>
              <w:rPr>
                <w:rFonts w:hint="default" w:ascii="Times New Roman" w:hAnsi="Times New Roman" w:eastAsia="宋体" w:cs="Times New Roman"/>
                <w:b/>
                <w:bCs/>
                <w:color w:val="auto"/>
                <w:kern w:val="0"/>
                <w:sz w:val="24"/>
                <w:szCs w:val="24"/>
                <w:highlight w:val="none"/>
                <w:vertAlign w:val="baseline"/>
                <w:lang w:val="en-US" w:eastAsia="zh-CN"/>
              </w:rPr>
              <w:t>号）</w:t>
            </w:r>
            <w:r>
              <w:rPr>
                <w:rFonts w:hint="eastAsia"/>
                <w:b/>
                <w:bCs/>
                <w:color w:val="auto"/>
                <w:kern w:val="0"/>
                <w:lang w:bidi="ar"/>
              </w:rPr>
              <w:t>的相符性分析</w:t>
            </w:r>
          </w:p>
          <w:p>
            <w:pPr>
              <w:widowControl/>
              <w:spacing w:line="360" w:lineRule="auto"/>
              <w:jc w:val="center"/>
              <w:rPr>
                <w:b/>
                <w:bCs/>
                <w:color w:val="auto"/>
                <w:kern w:val="0"/>
                <w:u w:val="single"/>
                <w:lang w:bidi="ar"/>
              </w:rPr>
            </w:pPr>
            <w:r>
              <w:rPr>
                <w:rFonts w:hint="eastAsia"/>
                <w:b/>
                <w:bCs/>
                <w:color w:val="auto"/>
                <w:kern w:val="0"/>
                <w:u w:val="single"/>
                <w:lang w:bidi="ar"/>
              </w:rPr>
              <w:t>表1-</w:t>
            </w:r>
            <w:r>
              <w:rPr>
                <w:rFonts w:hint="eastAsia"/>
                <w:b/>
                <w:bCs/>
                <w:color w:val="auto"/>
                <w:kern w:val="0"/>
                <w:u w:val="single"/>
                <w:lang w:val="en-US" w:eastAsia="zh-CN" w:bidi="ar"/>
              </w:rPr>
              <w:t>6</w:t>
            </w:r>
            <w:r>
              <w:rPr>
                <w:rFonts w:hint="eastAsia"/>
                <w:b/>
                <w:bCs/>
                <w:color w:val="auto"/>
                <w:kern w:val="0"/>
                <w:u w:val="single"/>
                <w:lang w:bidi="ar"/>
              </w:rPr>
              <w:t xml:space="preserve">  与濮环委办[202</w:t>
            </w:r>
            <w:r>
              <w:rPr>
                <w:rFonts w:hint="eastAsia"/>
                <w:b/>
                <w:bCs/>
                <w:color w:val="auto"/>
                <w:kern w:val="0"/>
                <w:u w:val="single"/>
                <w:lang w:val="en-US" w:eastAsia="zh-CN" w:bidi="ar"/>
              </w:rPr>
              <w:t>5</w:t>
            </w:r>
            <w:r>
              <w:rPr>
                <w:rFonts w:hint="eastAsia"/>
                <w:b/>
                <w:bCs/>
                <w:color w:val="auto"/>
                <w:kern w:val="0"/>
                <w:u w:val="single"/>
                <w:lang w:bidi="ar"/>
              </w:rPr>
              <w:t>]1号相符性分析</w:t>
            </w:r>
          </w:p>
          <w:tbl>
            <w:tblPr>
              <w:tblStyle w:val="23"/>
              <w:tblW w:w="8520"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5302"/>
              <w:gridCol w:w="1764"/>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类别</w:t>
                  </w:r>
                </w:p>
              </w:tc>
              <w:tc>
                <w:tcPr>
                  <w:tcW w:w="5302"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濮环委办〔2025〕1号</w:t>
                  </w:r>
                </w:p>
              </w:tc>
              <w:tc>
                <w:tcPr>
                  <w:tcW w:w="1764"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sz w:val="21"/>
                      <w:szCs w:val="21"/>
                      <w:highlight w:val="none"/>
                      <w:u w:val="single"/>
                    </w:rPr>
                    <w:t>本项目情况</w:t>
                  </w:r>
                </w:p>
              </w:tc>
              <w:tc>
                <w:tcPr>
                  <w:tcW w:w="681"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0" w:type="dxa"/>
                  <w:gridSpan w:val="4"/>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《濮阳市202</w:t>
                  </w:r>
                  <w:r>
                    <w:rPr>
                      <w:rFonts w:hint="eastAsia" w:cs="Times New Roman"/>
                      <w:b/>
                      <w:bCs/>
                      <w:color w:val="auto"/>
                      <w:kern w:val="0"/>
                      <w:sz w:val="21"/>
                      <w:szCs w:val="21"/>
                      <w:highlight w:val="none"/>
                      <w:u w:val="single"/>
                      <w:vertAlign w:val="baseline"/>
                      <w:lang w:val="en-US" w:eastAsia="zh-CN"/>
                    </w:rPr>
                    <w:t>5</w:t>
                  </w:r>
                  <w:r>
                    <w:rPr>
                      <w:rFonts w:hint="default" w:ascii="Times New Roman" w:hAnsi="Times New Roman" w:eastAsia="宋体" w:cs="Times New Roman"/>
                      <w:b/>
                      <w:bCs/>
                      <w:color w:val="auto"/>
                      <w:kern w:val="0"/>
                      <w:sz w:val="21"/>
                      <w:szCs w:val="21"/>
                      <w:highlight w:val="none"/>
                      <w:u w:val="single"/>
                      <w:vertAlign w:val="baseline"/>
                      <w:lang w:val="en-US" w:eastAsia="zh-CN"/>
                    </w:rPr>
                    <w:t>年蓝天保卫战实施方案》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1、依法依规淘汰落后低效产能</w:t>
                  </w:r>
                </w:p>
              </w:tc>
              <w:tc>
                <w:tcPr>
                  <w:tcW w:w="5302"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both"/>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sz w:val="21"/>
                      <w:szCs w:val="21"/>
                      <w:highlight w:val="none"/>
                      <w:u w:val="single"/>
                      <w:lang w:val="en-US" w:eastAsia="zh-CN"/>
                    </w:rPr>
                    <w:t>严格落实《产业结构调整指导目录</w:t>
                  </w:r>
                  <w:r>
                    <w:rPr>
                      <w:rFonts w:hint="eastAsia" w:ascii="Times New Roman" w:hAnsi="Times New Roman" w:eastAsia="宋体" w:cs="Times New Roman"/>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2024年本</w:t>
                  </w:r>
                  <w:r>
                    <w:rPr>
                      <w:rFonts w:hint="eastAsia" w:ascii="Times New Roman" w:hAnsi="Times New Roman" w:eastAsia="宋体" w:cs="Times New Roman"/>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》《河南省淘汰落后产能综合标准体系</w:t>
                  </w:r>
                  <w:r>
                    <w:rPr>
                      <w:rFonts w:hint="eastAsia" w:ascii="Times New Roman" w:hAnsi="Times New Roman" w:eastAsia="宋体" w:cs="Times New Roman"/>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2023年本</w:t>
                  </w:r>
                  <w:r>
                    <w:rPr>
                      <w:rFonts w:hint="eastAsia" w:ascii="Times New Roman" w:hAnsi="Times New Roman" w:eastAsia="宋体" w:cs="Times New Roman"/>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》《国家污染防治技术指导目录</w:t>
                  </w:r>
                  <w:r>
                    <w:rPr>
                      <w:rFonts w:hint="eastAsia" w:ascii="Times New Roman" w:hAnsi="Times New Roman" w:eastAsia="宋体" w:cs="Times New Roman"/>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2024年，限制类和淘汰类</w:t>
                  </w:r>
                  <w:r>
                    <w:rPr>
                      <w:rFonts w:hint="eastAsia" w:ascii="Times New Roman" w:hAnsi="Times New Roman" w:eastAsia="宋体" w:cs="Times New Roman"/>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要求，加快落后生产工艺装备和过剩产能淘汰退出，列入2025年去产能计划的生产设施9月底前停止排污。全市严禁新改扩建烧结砖瓦项目，有序退出6000万标砖/年以下和城市规划区内的烧结砖及烧结空心砌块生产线，2025年4月组织开展烧结砖瓦行业专项整治</w:t>
                  </w:r>
                  <w:r>
                    <w:rPr>
                      <w:rFonts w:hint="eastAsia" w:ascii="Times New Roman" w:hAnsi="Times New Roman" w:eastAsia="宋体" w:cs="Times New Roman"/>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回头看</w:t>
                  </w:r>
                  <w:r>
                    <w:rPr>
                      <w:rFonts w:hint="eastAsia" w:ascii="Times New Roman" w:hAnsi="Times New Roman" w:eastAsia="宋体" w:cs="Times New Roman"/>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，原则上对达不到B级及以上绩效水平的烧结砖瓦企业实施停产整治</w:t>
                  </w:r>
                  <w:r>
                    <w:rPr>
                      <w:rFonts w:hint="eastAsia" w:ascii="Times New Roman" w:hAnsi="Times New Roman" w:eastAsia="宋体" w:cs="Times New Roman"/>
                      <w:b/>
                      <w:bCs/>
                      <w:color w:val="auto"/>
                      <w:sz w:val="21"/>
                      <w:szCs w:val="21"/>
                      <w:highlight w:val="none"/>
                      <w:u w:val="single"/>
                      <w:lang w:val="en-US" w:eastAsia="zh-CN"/>
                    </w:rPr>
                    <w:t>；</w:t>
                  </w:r>
                  <w:r>
                    <w:rPr>
                      <w:rFonts w:hint="default" w:ascii="Times New Roman" w:hAnsi="Times New Roman" w:eastAsia="宋体" w:cs="Times New Roman"/>
                      <w:b/>
                      <w:bCs/>
                      <w:color w:val="auto"/>
                      <w:sz w:val="21"/>
                      <w:szCs w:val="21"/>
                      <w:highlight w:val="none"/>
                      <w:u w:val="single"/>
                      <w:lang w:val="en-US" w:eastAsia="zh-CN"/>
                    </w:rPr>
                    <w:t>持续推动生物质小锅炉关停整合。2025年4月底前制定年度落后产能淘汰退出工作方案，排查建立淘汰退出任务台账。2025年9月底前整合淘汰现有5台2蒸吨及以下生物质锅炉。</w:t>
                  </w:r>
                </w:p>
              </w:tc>
              <w:tc>
                <w:tcPr>
                  <w:tcW w:w="1764"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both"/>
                    <w:textAlignment w:val="baseline"/>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本项目为</w:t>
                  </w:r>
                  <w:r>
                    <w:rPr>
                      <w:rFonts w:hint="eastAsia" w:ascii="Times New Roman" w:hAnsi="Times New Roman" w:eastAsia="宋体" w:cs="Times New Roman"/>
                      <w:b/>
                      <w:bCs/>
                      <w:color w:val="auto"/>
                      <w:kern w:val="2"/>
                      <w:sz w:val="21"/>
                      <w:szCs w:val="21"/>
                      <w:highlight w:val="none"/>
                      <w:u w:val="single"/>
                      <w:lang w:val="en-US" w:eastAsia="zh-CN" w:bidi="ar-SA"/>
                    </w:rPr>
                    <w:t>C2110</w:t>
                  </w:r>
                  <w:r>
                    <w:rPr>
                      <w:rFonts w:hint="eastAsia" w:cs="Times New Roman"/>
                      <w:b/>
                      <w:bCs/>
                      <w:color w:val="auto"/>
                      <w:kern w:val="2"/>
                      <w:sz w:val="21"/>
                      <w:szCs w:val="21"/>
                      <w:highlight w:val="none"/>
                      <w:u w:val="single"/>
                      <w:lang w:val="en-US" w:eastAsia="zh-CN" w:bidi="ar-SA"/>
                    </w:rPr>
                    <w:t>木质</w:t>
                  </w:r>
                  <w:r>
                    <w:rPr>
                      <w:rFonts w:hint="eastAsia" w:ascii="Times New Roman" w:hAnsi="Times New Roman" w:eastAsia="宋体" w:cs="Times New Roman"/>
                      <w:b/>
                      <w:bCs/>
                      <w:color w:val="auto"/>
                      <w:kern w:val="2"/>
                      <w:sz w:val="21"/>
                      <w:szCs w:val="21"/>
                      <w:highlight w:val="none"/>
                      <w:u w:val="single"/>
                      <w:lang w:val="en-US" w:eastAsia="zh-CN" w:bidi="ar-SA"/>
                    </w:rPr>
                    <w:t>家具制造</w:t>
                  </w:r>
                  <w:r>
                    <w:rPr>
                      <w:rFonts w:hint="default" w:ascii="Times New Roman" w:hAnsi="Times New Roman" w:eastAsia="宋体" w:cs="Times New Roman"/>
                      <w:b/>
                      <w:bCs/>
                      <w:color w:val="auto"/>
                      <w:sz w:val="21"/>
                      <w:szCs w:val="21"/>
                      <w:highlight w:val="none"/>
                      <w:u w:val="single"/>
                    </w:rPr>
                    <w:t>，不属于落后产能企业</w:t>
                  </w:r>
                  <w:r>
                    <w:rPr>
                      <w:rFonts w:hint="eastAsia" w:cs="Times New Roman"/>
                      <w:b/>
                      <w:bCs/>
                      <w:color w:val="auto"/>
                      <w:sz w:val="21"/>
                      <w:szCs w:val="21"/>
                      <w:highlight w:val="none"/>
                      <w:u w:val="single"/>
                      <w:lang w:eastAsia="zh-CN"/>
                    </w:rPr>
                    <w:t>、</w:t>
                  </w:r>
                  <w:r>
                    <w:rPr>
                      <w:rFonts w:hint="eastAsia" w:cs="Times New Roman"/>
                      <w:b/>
                      <w:bCs/>
                      <w:color w:val="auto"/>
                      <w:sz w:val="21"/>
                      <w:szCs w:val="21"/>
                      <w:highlight w:val="none"/>
                      <w:u w:val="single"/>
                      <w:lang w:val="en-US" w:eastAsia="zh-CN"/>
                    </w:rPr>
                    <w:t>不属于</w:t>
                  </w:r>
                  <w:r>
                    <w:rPr>
                      <w:rFonts w:hint="default" w:ascii="Times New Roman" w:hAnsi="Times New Roman" w:eastAsia="宋体" w:cs="Times New Roman"/>
                      <w:b/>
                      <w:bCs/>
                      <w:color w:val="auto"/>
                      <w:sz w:val="21"/>
                      <w:szCs w:val="21"/>
                      <w:highlight w:val="none"/>
                      <w:u w:val="single"/>
                      <w:lang w:val="en-US" w:eastAsia="zh-CN"/>
                    </w:rPr>
                    <w:t>烧结砖瓦项目</w:t>
                  </w:r>
                  <w:r>
                    <w:rPr>
                      <w:rFonts w:hint="eastAsia" w:ascii="Times New Roman" w:hAnsi="Times New Roman" w:eastAsia="宋体" w:cs="Times New Roman"/>
                      <w:b/>
                      <w:bCs/>
                      <w:color w:val="auto"/>
                      <w:sz w:val="21"/>
                      <w:szCs w:val="21"/>
                      <w:highlight w:val="none"/>
                      <w:u w:val="single"/>
                      <w:lang w:val="en-US" w:eastAsia="zh-CN"/>
                    </w:rPr>
                    <w:t>，项目不涉及</w:t>
                  </w:r>
                  <w:r>
                    <w:rPr>
                      <w:rFonts w:hint="default" w:ascii="Times New Roman" w:hAnsi="Times New Roman" w:eastAsia="宋体" w:cs="Times New Roman"/>
                      <w:b/>
                      <w:bCs/>
                      <w:color w:val="auto"/>
                      <w:sz w:val="21"/>
                      <w:szCs w:val="21"/>
                      <w:highlight w:val="none"/>
                      <w:u w:val="single"/>
                      <w:lang w:val="en-US" w:eastAsia="zh-CN"/>
                    </w:rPr>
                    <w:t>生物质锅炉</w:t>
                  </w:r>
                  <w:r>
                    <w:rPr>
                      <w:rFonts w:hint="eastAsia" w:ascii="Times New Roman" w:hAnsi="Times New Roman" w:eastAsia="宋体" w:cs="Times New Roman"/>
                      <w:b/>
                      <w:bCs/>
                      <w:color w:val="auto"/>
                      <w:sz w:val="21"/>
                      <w:szCs w:val="21"/>
                      <w:highlight w:val="none"/>
                      <w:u w:val="single"/>
                      <w:lang w:val="en-US" w:eastAsia="zh-CN"/>
                    </w:rPr>
                    <w:t>建设</w:t>
                  </w:r>
                  <w:r>
                    <w:rPr>
                      <w:rFonts w:hint="default" w:ascii="Times New Roman" w:hAnsi="Times New Roman" w:eastAsia="宋体" w:cs="Times New Roman"/>
                      <w:b/>
                      <w:bCs/>
                      <w:color w:val="auto"/>
                      <w:sz w:val="21"/>
                      <w:szCs w:val="21"/>
                      <w:highlight w:val="none"/>
                      <w:u w:val="single"/>
                    </w:rPr>
                    <w:t>。</w:t>
                  </w:r>
                </w:p>
              </w:tc>
              <w:tc>
                <w:tcPr>
                  <w:tcW w:w="681"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eastAsia" w:cs="Times New Roman"/>
                      <w:b/>
                      <w:bCs/>
                      <w:color w:val="auto"/>
                      <w:kern w:val="0"/>
                      <w:sz w:val="21"/>
                      <w:szCs w:val="21"/>
                      <w:highlight w:val="none"/>
                      <w:u w:val="single"/>
                      <w:vertAlign w:val="baseline"/>
                      <w:lang w:val="en-US" w:eastAsia="zh-CN"/>
                    </w:rPr>
                    <w:t>6、深入开展低效失效设施排查整治</w:t>
                  </w:r>
                </w:p>
              </w:tc>
              <w:tc>
                <w:tcPr>
                  <w:tcW w:w="5302"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both"/>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对照《低效失效大气污染治理设施排查整治技术要点》，持续开展低效失效大气污染治理设施排查，淘汰不成熟、不适用、无法稳定达标排放的治理工艺，整治关键组件缺失、质量低劣、自动化水平低的治理设施，纳入年度重点治理任务限期完成提升改造。结合低效失效大气污染治理设施排查情况，动态管理整治问题清单，2025年10月底前至少完成49个低效失效治理问题整治工作</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未按时完成提升改造的纳入秋冬季生产调控范围。</w:t>
                  </w:r>
                </w:p>
              </w:tc>
              <w:tc>
                <w:tcPr>
                  <w:tcW w:w="1764"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sz w:val="21"/>
                      <w:szCs w:val="21"/>
                      <w:highlight w:val="none"/>
                      <w:u w:val="single"/>
                    </w:rPr>
                  </w:pPr>
                  <w:r>
                    <w:rPr>
                      <w:rFonts w:hint="eastAsia" w:ascii="Times New Roman" w:hAnsi="Times New Roman" w:eastAsia="宋体" w:cs="Times New Roman"/>
                      <w:b/>
                      <w:bCs/>
                      <w:color w:val="auto"/>
                      <w:sz w:val="21"/>
                      <w:szCs w:val="21"/>
                      <w:highlight w:val="none"/>
                      <w:u w:val="single"/>
                    </w:rPr>
                    <w:t>本项目</w:t>
                  </w:r>
                  <w:r>
                    <w:rPr>
                      <w:rFonts w:hint="eastAsia" w:cs="Times New Roman"/>
                      <w:b/>
                      <w:bCs/>
                      <w:color w:val="auto"/>
                      <w:sz w:val="21"/>
                      <w:szCs w:val="21"/>
                      <w:highlight w:val="none"/>
                      <w:u w:val="single"/>
                      <w:lang w:val="en-US" w:eastAsia="zh-CN"/>
                    </w:rPr>
                    <w:t>封边、粘贴</w:t>
                  </w:r>
                  <w:r>
                    <w:rPr>
                      <w:rFonts w:hint="eastAsia" w:cs="Times New Roman"/>
                      <w:b/>
                      <w:bCs/>
                      <w:color w:val="auto"/>
                      <w:sz w:val="21"/>
                      <w:szCs w:val="21"/>
                      <w:highlight w:val="none"/>
                      <w:u w:val="single"/>
                      <w:lang w:eastAsia="zh-CN"/>
                    </w:rPr>
                    <w:t>工序产生的</w:t>
                  </w:r>
                  <w:r>
                    <w:rPr>
                      <w:rFonts w:hint="eastAsia" w:ascii="Times New Roman" w:hAnsi="Times New Roman" w:eastAsia="宋体" w:cs="Times New Roman"/>
                      <w:b/>
                      <w:bCs/>
                      <w:color w:val="auto"/>
                      <w:sz w:val="21"/>
                      <w:szCs w:val="21"/>
                      <w:highlight w:val="none"/>
                      <w:u w:val="single"/>
                    </w:rPr>
                    <w:t>VOCs，</w:t>
                  </w:r>
                  <w:r>
                    <w:rPr>
                      <w:rFonts w:hint="eastAsia" w:cs="Times New Roman"/>
                      <w:b/>
                      <w:bCs/>
                      <w:color w:val="auto"/>
                      <w:sz w:val="21"/>
                      <w:szCs w:val="21"/>
                      <w:highlight w:val="none"/>
                      <w:u w:val="single"/>
                      <w:lang w:eastAsia="zh-CN"/>
                    </w:rPr>
                    <w:t>收集后引入</w:t>
                  </w:r>
                  <w:r>
                    <w:rPr>
                      <w:rFonts w:hint="eastAsia" w:ascii="Times New Roman" w:hAnsi="Times New Roman" w:eastAsia="宋体" w:cs="Times New Roman"/>
                      <w:b/>
                      <w:bCs/>
                      <w:color w:val="auto"/>
                      <w:spacing w:val="0"/>
                      <w:sz w:val="21"/>
                      <w:szCs w:val="21"/>
                      <w:highlight w:val="none"/>
                      <w:u w:val="single"/>
                      <w:lang w:val="en-US" w:eastAsia="zh-CN"/>
                    </w:rPr>
                    <w:t>两级活性炭进行处理</w:t>
                  </w:r>
                  <w:r>
                    <w:rPr>
                      <w:rFonts w:hint="eastAsia" w:ascii="Times New Roman" w:hAnsi="Times New Roman" w:eastAsia="宋体" w:cs="Times New Roman"/>
                      <w:b/>
                      <w:bCs/>
                      <w:color w:val="auto"/>
                      <w:sz w:val="21"/>
                      <w:szCs w:val="21"/>
                      <w:highlight w:val="none"/>
                      <w:u w:val="single"/>
                    </w:rPr>
                    <w:t>；</w:t>
                  </w:r>
                  <w:r>
                    <w:rPr>
                      <w:rFonts w:hint="eastAsia" w:cs="Times New Roman"/>
                      <w:b/>
                      <w:bCs/>
                      <w:color w:val="auto"/>
                      <w:sz w:val="21"/>
                      <w:szCs w:val="21"/>
                      <w:highlight w:val="none"/>
                      <w:u w:val="single"/>
                      <w:lang w:val="en-US" w:eastAsia="zh-CN"/>
                    </w:rPr>
                    <w:t>对照</w:t>
                  </w:r>
                  <w:r>
                    <w:rPr>
                      <w:rFonts w:hint="eastAsia" w:ascii="Times New Roman" w:hAnsi="Times New Roman" w:eastAsia="宋体" w:cs="Times New Roman"/>
                      <w:b/>
                      <w:bCs/>
                      <w:color w:val="auto"/>
                      <w:kern w:val="2"/>
                      <w:sz w:val="21"/>
                      <w:szCs w:val="21"/>
                      <w:highlight w:val="none"/>
                      <w:u w:val="single"/>
                      <w:vertAlign w:val="baseline"/>
                      <w:lang w:val="en-US" w:eastAsia="zh-CN"/>
                    </w:rPr>
                    <w:t>《低效失效大气污染治理设施排查整治技术要点》</w:t>
                  </w:r>
                  <w:r>
                    <w:rPr>
                      <w:rFonts w:hint="eastAsia" w:ascii="Times New Roman" w:hAnsi="Times New Roman" w:eastAsia="宋体" w:cs="Times New Roman"/>
                      <w:b/>
                      <w:bCs/>
                      <w:color w:val="auto"/>
                      <w:sz w:val="21"/>
                      <w:szCs w:val="21"/>
                      <w:highlight w:val="none"/>
                      <w:u w:val="single"/>
                    </w:rPr>
                    <w:t>不属于</w:t>
                  </w:r>
                  <w:r>
                    <w:rPr>
                      <w:rFonts w:hint="eastAsia" w:cs="Times New Roman"/>
                      <w:b/>
                      <w:bCs/>
                      <w:color w:val="auto"/>
                      <w:kern w:val="0"/>
                      <w:sz w:val="21"/>
                      <w:szCs w:val="21"/>
                      <w:highlight w:val="none"/>
                      <w:u w:val="single"/>
                      <w:vertAlign w:val="baseline"/>
                      <w:lang w:val="en-US" w:eastAsia="zh-CN"/>
                    </w:rPr>
                    <w:t>低效失效</w:t>
                  </w:r>
                  <w:r>
                    <w:rPr>
                      <w:rFonts w:hint="default" w:ascii="Times New Roman" w:hAnsi="Times New Roman" w:eastAsia="宋体" w:cs="Times New Roman"/>
                      <w:b/>
                      <w:bCs/>
                      <w:color w:val="auto"/>
                      <w:sz w:val="21"/>
                      <w:szCs w:val="21"/>
                      <w:highlight w:val="none"/>
                      <w:u w:val="single"/>
                    </w:rPr>
                    <w:t>环保设备。</w:t>
                  </w:r>
                </w:p>
              </w:tc>
              <w:tc>
                <w:tcPr>
                  <w:tcW w:w="681"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3"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eastAsia" w:cs="Times New Roman"/>
                      <w:b/>
                      <w:bCs/>
                      <w:color w:val="auto"/>
                      <w:kern w:val="0"/>
                      <w:sz w:val="21"/>
                      <w:szCs w:val="21"/>
                      <w:highlight w:val="none"/>
                      <w:u w:val="single"/>
                      <w:vertAlign w:val="baseline"/>
                      <w:lang w:val="en-US" w:eastAsia="zh-CN"/>
                    </w:rPr>
                  </w:pPr>
                  <w:r>
                    <w:rPr>
                      <w:rFonts w:hint="eastAsia" w:cs="Times New Roman"/>
                      <w:b/>
                      <w:bCs/>
                      <w:color w:val="auto"/>
                      <w:kern w:val="0"/>
                      <w:sz w:val="21"/>
                      <w:szCs w:val="21"/>
                      <w:highlight w:val="none"/>
                      <w:u w:val="single"/>
                      <w:vertAlign w:val="baseline"/>
                      <w:lang w:val="en-US" w:eastAsia="zh-CN"/>
                    </w:rPr>
                    <w:t>7、实施挥发性有机物综合治理</w:t>
                  </w:r>
                </w:p>
              </w:tc>
              <w:tc>
                <w:tcPr>
                  <w:tcW w:w="5302"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both"/>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组织涉VOCs企业针对挥发性有机液体储罐、装卸、敞开液面、泄漏检测与修复</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LDAR</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、废气收集、废气旁路、治理设施、加油站、非正常工况、产品VOCs含量等10个关键环节开展VOCs治理突出问题排查整治，在汽车、机械制造、家具、汽修、塑料软包装、印铁制罐、包装印刷等领域推广使用低</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无</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VOCs含量涂料和油墨，对完成源头替代的企业纳入“白名单”管理，在重污染天气预警期间实施自主减排</w:t>
                  </w:r>
                  <w:r>
                    <w:rPr>
                      <w:rFonts w:hint="eastAsia" w:cs="Times New Roman"/>
                      <w:b/>
                      <w:bCs/>
                      <w:color w:val="auto"/>
                      <w:kern w:val="0"/>
                      <w:sz w:val="21"/>
                      <w:szCs w:val="21"/>
                      <w:highlight w:val="none"/>
                      <w:u w:val="single"/>
                      <w:vertAlign w:val="baseline"/>
                      <w:lang w:val="en-US" w:eastAsia="zh-CN"/>
                    </w:rPr>
                    <w:t>。</w:t>
                  </w:r>
                </w:p>
              </w:tc>
              <w:tc>
                <w:tcPr>
                  <w:tcW w:w="1764"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both"/>
                    <w:textAlignment w:val="baseline"/>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本项目不涉及含VOCs有机废水储罐、装置区集水井池等。</w:t>
                  </w:r>
                </w:p>
              </w:tc>
              <w:tc>
                <w:tcPr>
                  <w:tcW w:w="681"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773" w:type="dxa"/>
                  <w:vAlign w:val="center"/>
                </w:tcPr>
                <w:p>
                  <w:pPr>
                    <w:pStyle w:val="34"/>
                    <w:keepNext w:val="0"/>
                    <w:keepLines w:val="0"/>
                    <w:pageBreakBefore w:val="0"/>
                    <w:widowControl w:val="0"/>
                    <w:kinsoku/>
                    <w:wordWrap/>
                    <w:overflowPunct/>
                    <w:topLinePunct w:val="0"/>
                    <w:autoSpaceDE/>
                    <w:autoSpaceDN/>
                    <w:bidi w:val="0"/>
                    <w:adjustRightInd/>
                    <w:snapToGrid/>
                    <w:spacing w:before="48" w:beforeLines="15" w:after="48" w:afterLines="15"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2</w:t>
                  </w:r>
                  <w:r>
                    <w:rPr>
                      <w:rFonts w:hint="eastAsia" w:eastAsia="宋体" w:cs="Times New Roman"/>
                      <w:b/>
                      <w:bCs/>
                      <w:color w:val="auto"/>
                      <w:kern w:val="0"/>
                      <w:sz w:val="21"/>
                      <w:szCs w:val="21"/>
                      <w:highlight w:val="none"/>
                      <w:u w:val="single"/>
                      <w:vertAlign w:val="baseline"/>
                      <w:lang w:val="en-US" w:eastAsia="zh-CN"/>
                    </w:rPr>
                    <w:t>1、</w:t>
                  </w:r>
                  <w:r>
                    <w:rPr>
                      <w:rFonts w:hint="default" w:ascii="Times New Roman" w:hAnsi="Times New Roman" w:eastAsia="宋体" w:cs="Times New Roman"/>
                      <w:b/>
                      <w:bCs/>
                      <w:color w:val="auto"/>
                      <w:kern w:val="0"/>
                      <w:sz w:val="21"/>
                      <w:szCs w:val="21"/>
                      <w:highlight w:val="none"/>
                      <w:u w:val="single"/>
                      <w:vertAlign w:val="baseline"/>
                      <w:lang w:val="en-US" w:eastAsia="zh-CN"/>
                    </w:rPr>
                    <w:t>强化污染源监控能力</w:t>
                  </w:r>
                </w:p>
              </w:tc>
              <w:tc>
                <w:tcPr>
                  <w:tcW w:w="5302" w:type="dxa"/>
                  <w:vAlign w:val="center"/>
                </w:tcPr>
                <w:p>
                  <w:pPr>
                    <w:pStyle w:val="34"/>
                    <w:keepNext w:val="0"/>
                    <w:keepLines w:val="0"/>
                    <w:pageBreakBefore w:val="0"/>
                    <w:widowControl w:val="0"/>
                    <w:kinsoku/>
                    <w:wordWrap/>
                    <w:overflowPunct/>
                    <w:topLinePunct w:val="0"/>
                    <w:autoSpaceDE/>
                    <w:autoSpaceDN/>
                    <w:bidi w:val="0"/>
                    <w:adjustRightInd/>
                    <w:snapToGrid/>
                    <w:spacing w:before="48" w:beforeLines="15" w:after="48" w:afterLines="15" w:line="240" w:lineRule="auto"/>
                    <w:ind w:left="0" w:leftChars="0" w:right="0" w:rightChars="0" w:firstLine="0" w:firstLineChars="0"/>
                    <w:jc w:val="both"/>
                    <w:textAlignment w:val="auto"/>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扩大排污单位自动监控覆盖范围，持续推进排污单位依法安装自动监控设施并与生态环境部门联网。加强可视化监控能力建设，推进重点行业企业工况监控、视频监控等设施联网。配合做好省级监控平台和市级各类监控监管平台的融合互通工作，对现有信息化平台进行梳理整合和功能衔接。加强数据互联共享，加快涉生态环境数据互联共享能力建设。</w:t>
                  </w:r>
                </w:p>
              </w:tc>
              <w:tc>
                <w:tcPr>
                  <w:tcW w:w="1764" w:type="dxa"/>
                  <w:vAlign w:val="center"/>
                </w:tcPr>
                <w:p>
                  <w:pPr>
                    <w:pStyle w:val="34"/>
                    <w:keepNext w:val="0"/>
                    <w:keepLines w:val="0"/>
                    <w:pageBreakBefore w:val="0"/>
                    <w:widowControl w:val="0"/>
                    <w:kinsoku/>
                    <w:wordWrap/>
                    <w:overflowPunct/>
                    <w:topLinePunct w:val="0"/>
                    <w:autoSpaceDE/>
                    <w:autoSpaceDN/>
                    <w:bidi w:val="0"/>
                    <w:adjustRightInd/>
                    <w:snapToGrid/>
                    <w:spacing w:before="48" w:beforeLines="15" w:after="48" w:afterLines="15" w:line="240" w:lineRule="auto"/>
                    <w:ind w:left="0" w:leftChars="0" w:right="0" w:rightChars="0" w:firstLine="0" w:firstLineChars="0"/>
                    <w:jc w:val="both"/>
                    <w:textAlignment w:val="auto"/>
                    <w:rPr>
                      <w:rFonts w:hint="default" w:ascii="Times New Roman" w:hAnsi="Times New Roman" w:eastAsia="宋体" w:cs="Times New Roman"/>
                      <w:b/>
                      <w:bCs/>
                      <w:color w:val="auto"/>
                      <w:sz w:val="21"/>
                      <w:szCs w:val="21"/>
                      <w:highlight w:val="none"/>
                      <w:u w:val="single"/>
                      <w:lang w:eastAsia="zh-CN"/>
                    </w:rPr>
                  </w:pPr>
                  <w:r>
                    <w:rPr>
                      <w:rFonts w:hint="eastAsia" w:eastAsia="宋体" w:cs="Times New Roman"/>
                      <w:b/>
                      <w:bCs/>
                      <w:color w:val="auto"/>
                      <w:sz w:val="21"/>
                      <w:szCs w:val="21"/>
                      <w:highlight w:val="none"/>
                      <w:u w:val="single"/>
                      <w:lang w:eastAsia="zh-CN"/>
                    </w:rPr>
                    <w:t>本项目不涉及</w:t>
                  </w:r>
                  <w:r>
                    <w:rPr>
                      <w:rFonts w:hint="default" w:ascii="Times New Roman" w:hAnsi="Times New Roman" w:eastAsia="宋体" w:cs="Times New Roman"/>
                      <w:b/>
                      <w:bCs/>
                      <w:color w:val="auto"/>
                      <w:sz w:val="21"/>
                      <w:szCs w:val="21"/>
                      <w:highlight w:val="none"/>
                      <w:u w:val="single"/>
                      <w:lang w:eastAsia="zh-CN"/>
                    </w:rPr>
                    <w:t>重点排污单位和重点行业。</w:t>
                  </w:r>
                </w:p>
              </w:tc>
              <w:tc>
                <w:tcPr>
                  <w:tcW w:w="681" w:type="dxa"/>
                  <w:vAlign w:val="center"/>
                </w:tcPr>
                <w:p>
                  <w:pPr>
                    <w:pStyle w:val="34"/>
                    <w:keepNext w:val="0"/>
                    <w:keepLines w:val="0"/>
                    <w:pageBreakBefore w:val="0"/>
                    <w:widowControl w:val="0"/>
                    <w:kinsoku/>
                    <w:wordWrap/>
                    <w:overflowPunct/>
                    <w:topLinePunct w:val="0"/>
                    <w:autoSpaceDE/>
                    <w:autoSpaceDN/>
                    <w:bidi w:val="0"/>
                    <w:adjustRightInd/>
                    <w:snapToGrid/>
                    <w:spacing w:before="48" w:beforeLines="15" w:after="48" w:afterLines="15"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sz w:val="21"/>
                      <w:szCs w:val="21"/>
                      <w:highlight w:val="none"/>
                      <w:u w:val="single"/>
                      <w:vertAlign w:val="baselin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20" w:type="dxa"/>
                  <w:gridSpan w:val="4"/>
                  <w:vAlign w:val="center"/>
                </w:tcPr>
                <w:p>
                  <w:pPr>
                    <w:pStyle w:val="34"/>
                    <w:keepNext w:val="0"/>
                    <w:keepLines w:val="0"/>
                    <w:pageBreakBefore w:val="0"/>
                    <w:widowControl w:val="0"/>
                    <w:kinsoku/>
                    <w:wordWrap/>
                    <w:overflowPunct/>
                    <w:topLinePunct w:val="0"/>
                    <w:autoSpaceDE/>
                    <w:autoSpaceDN/>
                    <w:bidi w:val="0"/>
                    <w:adjustRightInd/>
                    <w:snapToGrid/>
                    <w:spacing w:before="48" w:beforeLines="15" w:after="48" w:afterLines="15"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single"/>
                      <w:vertAlign w:val="baseline"/>
                      <w:lang w:val="en-US" w:eastAsia="zh-CN"/>
                    </w:rPr>
                  </w:pPr>
                  <w:r>
                    <w:rPr>
                      <w:rFonts w:hint="default" w:ascii="Times New Roman" w:hAnsi="Times New Roman" w:eastAsia="宋体" w:cs="Times New Roman"/>
                      <w:b/>
                      <w:bCs/>
                      <w:color w:val="auto"/>
                      <w:sz w:val="21"/>
                      <w:szCs w:val="21"/>
                      <w:highlight w:val="none"/>
                      <w:u w:val="single"/>
                      <w:vertAlign w:val="baseline"/>
                      <w:lang w:val="en-US" w:eastAsia="zh-CN"/>
                    </w:rPr>
                    <w:t>《濮阳市202</w:t>
                  </w:r>
                  <w:r>
                    <w:rPr>
                      <w:rFonts w:hint="eastAsia" w:eastAsia="宋体" w:cs="Times New Roman"/>
                      <w:b/>
                      <w:bCs/>
                      <w:color w:val="auto"/>
                      <w:sz w:val="21"/>
                      <w:szCs w:val="21"/>
                      <w:highlight w:val="none"/>
                      <w:u w:val="single"/>
                      <w:vertAlign w:val="baseline"/>
                      <w:lang w:val="en-US" w:eastAsia="zh-CN"/>
                    </w:rPr>
                    <w:t>5</w:t>
                  </w:r>
                  <w:r>
                    <w:rPr>
                      <w:rFonts w:hint="default" w:ascii="Times New Roman" w:hAnsi="Times New Roman" w:eastAsia="宋体" w:cs="Times New Roman"/>
                      <w:b/>
                      <w:bCs/>
                      <w:color w:val="auto"/>
                      <w:sz w:val="21"/>
                      <w:szCs w:val="21"/>
                      <w:highlight w:val="none"/>
                      <w:u w:val="single"/>
                      <w:vertAlign w:val="baseline"/>
                      <w:lang w:val="en-US" w:eastAsia="zh-CN"/>
                    </w:rPr>
                    <w:t>年碧水保卫战实施方案》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trPr>
              <w:tc>
                <w:tcPr>
                  <w:tcW w:w="773" w:type="dxa"/>
                  <w:shd w:val="clear" w:color="auto" w:fill="auto"/>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bidi="ar-SA"/>
                    </w:rPr>
                  </w:pPr>
                  <w:r>
                    <w:rPr>
                      <w:rFonts w:hint="eastAsia" w:cs="Times New Roman"/>
                      <w:b/>
                      <w:bCs/>
                      <w:color w:val="auto"/>
                      <w:kern w:val="0"/>
                      <w:sz w:val="21"/>
                      <w:szCs w:val="21"/>
                      <w:highlight w:val="none"/>
                      <w:u w:val="single"/>
                      <w:vertAlign w:val="baseline"/>
                      <w:lang w:val="en-US" w:eastAsia="zh-CN"/>
                    </w:rPr>
                    <w:t>6</w:t>
                  </w:r>
                  <w:r>
                    <w:rPr>
                      <w:rFonts w:hint="default" w:ascii="Times New Roman" w:hAnsi="Times New Roman" w:eastAsia="宋体" w:cs="Times New Roman"/>
                      <w:b/>
                      <w:bCs/>
                      <w:color w:val="auto"/>
                      <w:kern w:val="0"/>
                      <w:sz w:val="21"/>
                      <w:szCs w:val="21"/>
                      <w:highlight w:val="none"/>
                      <w:u w:val="single"/>
                      <w:vertAlign w:val="baseline"/>
                      <w:lang w:val="en-US" w:eastAsia="zh-CN"/>
                    </w:rPr>
                    <w:t>、</w:t>
                  </w:r>
                  <w:r>
                    <w:rPr>
                      <w:rFonts w:hint="eastAsia" w:cs="Times New Roman"/>
                      <w:b/>
                      <w:bCs/>
                      <w:color w:val="auto"/>
                      <w:kern w:val="0"/>
                      <w:sz w:val="21"/>
                      <w:szCs w:val="21"/>
                      <w:highlight w:val="none"/>
                      <w:u w:val="single"/>
                      <w:vertAlign w:val="baseline"/>
                      <w:lang w:val="en-US" w:eastAsia="zh-CN"/>
                    </w:rPr>
                    <w:t>持续</w:t>
                  </w:r>
                  <w:r>
                    <w:rPr>
                      <w:rFonts w:hint="default" w:ascii="Times New Roman" w:hAnsi="Times New Roman" w:eastAsia="宋体" w:cs="Times New Roman"/>
                      <w:b/>
                      <w:bCs/>
                      <w:color w:val="auto"/>
                      <w:kern w:val="0"/>
                      <w:sz w:val="21"/>
                      <w:szCs w:val="21"/>
                      <w:highlight w:val="none"/>
                      <w:u w:val="single"/>
                      <w:vertAlign w:val="baseline"/>
                      <w:lang w:val="en-US" w:eastAsia="zh-CN"/>
                    </w:rPr>
                    <w:t>推动企业绿色转型发展</w:t>
                  </w:r>
                </w:p>
              </w:tc>
              <w:tc>
                <w:tcPr>
                  <w:tcW w:w="5302" w:type="dxa"/>
                  <w:shd w:val="clear" w:color="auto" w:fill="auto"/>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firstLineChars="0"/>
                    <w:jc w:val="both"/>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bidi="ar-SA"/>
                    </w:rPr>
                  </w:pPr>
                  <w:r>
                    <w:rPr>
                      <w:rFonts w:hint="default" w:ascii="Times New Roman" w:hAnsi="Times New Roman" w:eastAsia="宋体" w:cs="Times New Roman"/>
                      <w:b/>
                      <w:bCs/>
                      <w:color w:val="auto"/>
                      <w:kern w:val="0"/>
                      <w:sz w:val="21"/>
                      <w:szCs w:val="21"/>
                      <w:highlight w:val="none"/>
                      <w:u w:val="single"/>
                      <w:vertAlign w:val="baseline"/>
                      <w:lang w:val="en-US" w:eastAsia="zh-CN"/>
                    </w:rPr>
                    <w:t>严格项目准入，坚决遏制</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两高一低</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项目盲目发展</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严格落实生态环境分区管控，加快推进工业企业绿色转型发展</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深入推进重点水污染物排放行业清洁生产审核</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培育壮大节能、节水、环保和资源综合利用产业，提高能源资源利用效率</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对有色金属、化工、石油开采、造纸、印染、农副食品加工等行业，全面推进清洁生产改造或清洁化改造。</w:t>
                  </w:r>
                </w:p>
              </w:tc>
              <w:tc>
                <w:tcPr>
                  <w:tcW w:w="1764" w:type="dxa"/>
                  <w:shd w:val="clear" w:color="auto" w:fill="auto"/>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firstLineChars="0"/>
                    <w:jc w:val="both"/>
                    <w:textAlignment w:val="baseline"/>
                    <w:rPr>
                      <w:rFonts w:hint="default"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u w:val="single"/>
                      <w:lang w:val="en-US" w:eastAsia="zh-CN" w:bidi="ar-SA"/>
                    </w:rPr>
                    <w:t>本项目</w:t>
                  </w:r>
                  <w:r>
                    <w:rPr>
                      <w:rFonts w:hint="eastAsia" w:ascii="Times New Roman" w:hAnsi="Times New Roman" w:eastAsia="宋体" w:cs="Times New Roman"/>
                      <w:b/>
                      <w:bCs/>
                      <w:color w:val="auto"/>
                      <w:kern w:val="2"/>
                      <w:sz w:val="21"/>
                      <w:szCs w:val="21"/>
                      <w:highlight w:val="none"/>
                      <w:u w:val="single"/>
                      <w:lang w:val="en-US" w:eastAsia="zh-CN" w:bidi="ar-SA"/>
                    </w:rPr>
                    <w:t>不属于“</w:t>
                  </w:r>
                  <w:r>
                    <w:rPr>
                      <w:rFonts w:hint="default" w:ascii="Times New Roman" w:hAnsi="Times New Roman" w:eastAsia="宋体" w:cs="Times New Roman"/>
                      <w:b/>
                      <w:bCs/>
                      <w:color w:val="auto"/>
                      <w:kern w:val="2"/>
                      <w:sz w:val="21"/>
                      <w:szCs w:val="21"/>
                      <w:highlight w:val="none"/>
                      <w:u w:val="single"/>
                      <w:lang w:val="en-US" w:eastAsia="zh-CN" w:bidi="ar-SA"/>
                    </w:rPr>
                    <w:t>两高一低</w:t>
                  </w:r>
                  <w:r>
                    <w:rPr>
                      <w:rFonts w:hint="eastAsia" w:ascii="Times New Roman" w:hAnsi="Times New Roman" w:eastAsia="宋体" w:cs="Times New Roman"/>
                      <w:b/>
                      <w:bCs/>
                      <w:color w:val="auto"/>
                      <w:kern w:val="2"/>
                      <w:sz w:val="21"/>
                      <w:szCs w:val="21"/>
                      <w:highlight w:val="none"/>
                      <w:u w:val="single"/>
                      <w:lang w:val="en-US" w:eastAsia="zh-CN" w:bidi="ar-SA"/>
                    </w:rPr>
                    <w:t>”</w:t>
                  </w:r>
                  <w:r>
                    <w:rPr>
                      <w:rFonts w:hint="default" w:ascii="Times New Roman" w:hAnsi="Times New Roman" w:eastAsia="宋体" w:cs="Times New Roman"/>
                      <w:b/>
                      <w:bCs/>
                      <w:color w:val="auto"/>
                      <w:kern w:val="2"/>
                      <w:sz w:val="21"/>
                      <w:szCs w:val="21"/>
                      <w:highlight w:val="none"/>
                      <w:u w:val="single"/>
                      <w:lang w:val="en-US" w:eastAsia="zh-CN" w:bidi="ar-SA"/>
                    </w:rPr>
                    <w:t>项目</w:t>
                  </w:r>
                  <w:r>
                    <w:rPr>
                      <w:rFonts w:hint="eastAsia" w:ascii="Times New Roman" w:hAnsi="Times New Roman" w:eastAsia="宋体" w:cs="Times New Roman"/>
                      <w:b/>
                      <w:bCs/>
                      <w:color w:val="auto"/>
                      <w:kern w:val="2"/>
                      <w:sz w:val="21"/>
                      <w:szCs w:val="21"/>
                      <w:highlight w:val="none"/>
                      <w:u w:val="single"/>
                      <w:lang w:val="en-US" w:eastAsia="zh-CN" w:bidi="ar-SA"/>
                    </w:rPr>
                    <w:t>，不产生生产废水，生活污水经化粪池处理后排入</w:t>
                  </w:r>
                  <w:r>
                    <w:rPr>
                      <w:rFonts w:hint="default" w:ascii="Times New Roman" w:hAnsi="Times New Roman" w:eastAsia="宋体" w:cs="Times New Roman"/>
                      <w:b/>
                      <w:bCs/>
                      <w:color w:val="auto"/>
                      <w:kern w:val="2"/>
                      <w:sz w:val="21"/>
                      <w:szCs w:val="21"/>
                      <w:highlight w:val="none"/>
                      <w:u w:val="single"/>
                      <w:lang w:val="en-US" w:eastAsia="zh-CN" w:bidi="ar-SA"/>
                    </w:rPr>
                    <w:t>清丰中州水务有限公司第二污水处理。</w:t>
                  </w:r>
                </w:p>
              </w:tc>
              <w:tc>
                <w:tcPr>
                  <w:tcW w:w="681"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trPr>
              <w:tc>
                <w:tcPr>
                  <w:tcW w:w="773" w:type="dxa"/>
                  <w:shd w:val="clear" w:color="auto" w:fill="auto"/>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eastAsia" w:cs="Times New Roman"/>
                      <w:b/>
                      <w:bCs/>
                      <w:color w:val="auto"/>
                      <w:kern w:val="0"/>
                      <w:sz w:val="21"/>
                      <w:szCs w:val="21"/>
                      <w:highlight w:val="none"/>
                      <w:u w:val="single"/>
                      <w:vertAlign w:val="baseline"/>
                      <w:lang w:val="en-US" w:eastAsia="zh-CN"/>
                    </w:rPr>
                    <w:t>18、</w:t>
                  </w:r>
                  <w:r>
                    <w:rPr>
                      <w:rFonts w:hint="default" w:ascii="Times New Roman" w:hAnsi="Times New Roman" w:eastAsia="宋体" w:cs="Times New Roman"/>
                      <w:b/>
                      <w:bCs/>
                      <w:color w:val="auto"/>
                      <w:kern w:val="0"/>
                      <w:sz w:val="21"/>
                      <w:szCs w:val="21"/>
                      <w:highlight w:val="none"/>
                      <w:u w:val="single"/>
                      <w:vertAlign w:val="baseline"/>
                      <w:lang w:val="en-US" w:eastAsia="zh-CN"/>
                    </w:rPr>
                    <w:t>严格防范水生生态环境风险。</w:t>
                  </w:r>
                </w:p>
              </w:tc>
              <w:tc>
                <w:tcPr>
                  <w:tcW w:w="5302" w:type="dxa"/>
                  <w:shd w:val="clear" w:color="auto" w:fill="auto"/>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firstLineChars="0"/>
                    <w:jc w:val="both"/>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加强有毒有害物质环境监管，加强危险废物风险防控</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持续推动重点河流突发水污染事件环境应急</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一河一策一图</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成果应用，有序推进化工园区环境应急三级防控体系建设</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加强交通运输领域水环境风险防范，健全流域上下游突发水污染事件联防联控机制</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加强汛期水环境风险防控，强化次生环境事件风险管控。</w:t>
                  </w:r>
                </w:p>
              </w:tc>
              <w:tc>
                <w:tcPr>
                  <w:tcW w:w="1764" w:type="dxa"/>
                  <w:shd w:val="clear" w:color="auto" w:fill="auto"/>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firstLineChars="0"/>
                    <w:jc w:val="both"/>
                    <w:textAlignment w:val="baseline"/>
                    <w:rPr>
                      <w:rFonts w:hint="default" w:ascii="Times New Roman" w:hAnsi="Times New Roman" w:eastAsia="宋体" w:cs="Times New Roman"/>
                      <w:b/>
                      <w:bCs/>
                      <w:color w:val="auto"/>
                      <w:sz w:val="21"/>
                      <w:szCs w:val="21"/>
                      <w:highlight w:val="none"/>
                      <w:u w:val="single"/>
                      <w:lang w:eastAsia="zh-CN"/>
                    </w:rPr>
                  </w:pPr>
                  <w:r>
                    <w:rPr>
                      <w:rFonts w:hint="eastAsia" w:cs="Times New Roman"/>
                      <w:b/>
                      <w:bCs/>
                      <w:color w:val="auto"/>
                      <w:sz w:val="21"/>
                      <w:szCs w:val="21"/>
                      <w:highlight w:val="none"/>
                      <w:u w:val="single"/>
                      <w:lang w:eastAsia="zh-CN"/>
                    </w:rPr>
                    <w:t>本项目不涉及</w:t>
                  </w:r>
                  <w:r>
                    <w:rPr>
                      <w:rFonts w:hint="default" w:ascii="Times New Roman" w:hAnsi="Times New Roman" w:eastAsia="宋体" w:cs="Times New Roman"/>
                      <w:b/>
                      <w:bCs/>
                      <w:color w:val="auto"/>
                      <w:sz w:val="21"/>
                      <w:szCs w:val="21"/>
                      <w:highlight w:val="none"/>
                      <w:u w:val="single"/>
                      <w:lang w:eastAsia="zh-CN"/>
                    </w:rPr>
                    <w:t>涉危涉重企业。</w:t>
                  </w:r>
                </w:p>
              </w:tc>
              <w:tc>
                <w:tcPr>
                  <w:tcW w:w="681"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0" w:type="dxa"/>
                  <w:gridSpan w:val="4"/>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sz w:val="21"/>
                      <w:szCs w:val="21"/>
                      <w:highlight w:val="none"/>
                      <w:u w:val="single"/>
                      <w:vertAlign w:val="baseline"/>
                      <w:lang w:val="en-US" w:eastAsia="zh-CN"/>
                    </w:rPr>
                    <w:t>《濮阳市202</w:t>
                  </w:r>
                  <w:r>
                    <w:rPr>
                      <w:rFonts w:hint="eastAsia" w:cs="Times New Roman"/>
                      <w:b/>
                      <w:bCs/>
                      <w:color w:val="auto"/>
                      <w:sz w:val="21"/>
                      <w:szCs w:val="21"/>
                      <w:highlight w:val="none"/>
                      <w:u w:val="single"/>
                      <w:vertAlign w:val="baseline"/>
                      <w:lang w:val="en-US" w:eastAsia="zh-CN"/>
                    </w:rPr>
                    <w:t>5</w:t>
                  </w:r>
                  <w:r>
                    <w:rPr>
                      <w:rFonts w:hint="default" w:ascii="Times New Roman" w:hAnsi="Times New Roman" w:eastAsia="宋体" w:cs="Times New Roman"/>
                      <w:b/>
                      <w:bCs/>
                      <w:color w:val="auto"/>
                      <w:sz w:val="21"/>
                      <w:szCs w:val="21"/>
                      <w:highlight w:val="none"/>
                      <w:u w:val="single"/>
                      <w:vertAlign w:val="baseline"/>
                      <w:lang w:val="en-US" w:eastAsia="zh-CN"/>
                    </w:rPr>
                    <w:t>年净土保卫战实施方案》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773"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eastAsia" w:cs="Times New Roman"/>
                      <w:b/>
                      <w:bCs/>
                      <w:color w:val="auto"/>
                      <w:kern w:val="0"/>
                      <w:sz w:val="21"/>
                      <w:szCs w:val="21"/>
                      <w:highlight w:val="none"/>
                      <w:u w:val="single"/>
                      <w:vertAlign w:val="baseline"/>
                      <w:lang w:val="en-US" w:eastAsia="zh-CN"/>
                    </w:rPr>
                    <w:t>7</w:t>
                  </w:r>
                  <w:r>
                    <w:rPr>
                      <w:rFonts w:hint="default" w:ascii="Times New Roman" w:hAnsi="Times New Roman" w:eastAsia="宋体" w:cs="Times New Roman"/>
                      <w:b/>
                      <w:bCs/>
                      <w:color w:val="auto"/>
                      <w:kern w:val="0"/>
                      <w:sz w:val="21"/>
                      <w:szCs w:val="21"/>
                      <w:highlight w:val="none"/>
                      <w:u w:val="single"/>
                      <w:vertAlign w:val="baseline"/>
                      <w:lang w:val="en-US" w:eastAsia="zh-CN"/>
                    </w:rPr>
                    <w:t>.加强地下水污染风险管控</w:t>
                  </w:r>
                </w:p>
              </w:tc>
              <w:tc>
                <w:tcPr>
                  <w:tcW w:w="5302"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both"/>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持续加强</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十四五</w:t>
                  </w:r>
                  <w:r>
                    <w:rPr>
                      <w:rFonts w:hint="eastAsia" w:cs="Times New Roman"/>
                      <w:b/>
                      <w:bCs/>
                      <w:color w:val="auto"/>
                      <w:kern w:val="0"/>
                      <w:sz w:val="21"/>
                      <w:szCs w:val="21"/>
                      <w:highlight w:val="none"/>
                      <w:u w:val="single"/>
                      <w:vertAlign w:val="baseline"/>
                      <w:lang w:val="en-US" w:eastAsia="zh-CN"/>
                    </w:rPr>
                    <w:t>”</w:t>
                  </w:r>
                  <w:r>
                    <w:rPr>
                      <w:rFonts w:hint="default" w:ascii="Times New Roman" w:hAnsi="Times New Roman" w:eastAsia="宋体" w:cs="Times New Roman"/>
                      <w:b/>
                      <w:bCs/>
                      <w:color w:val="auto"/>
                      <w:kern w:val="0"/>
                      <w:sz w:val="21"/>
                      <w:szCs w:val="21"/>
                      <w:highlight w:val="none"/>
                      <w:u w:val="single"/>
                      <w:vertAlign w:val="baseline"/>
                      <w:lang w:val="en-US" w:eastAsia="zh-CN"/>
                    </w:rPr>
                    <w:t>国家地下水考核点位水质管理，我市有3个地下水国考水质点位，分别在工业园区滹沱村、经开区后皇甫村、经开区王助镇前漳消村，工业园区、经开区应高度关注国考点位周边环境状况，定期开展国考点位周边污染隐患排查，确保国考点位水质总体保持稳定。针对出现水质恶化或水质持续较差的点位，分析研判超标原因，因地制宜采取措施改善水质状况。有序建立并动态更新地下水污染防治重点排污单位名录。</w:t>
                  </w:r>
                </w:p>
              </w:tc>
              <w:tc>
                <w:tcPr>
                  <w:tcW w:w="1764" w:type="dxa"/>
                  <w:vAlign w:val="center"/>
                </w:tcPr>
                <w:p>
                  <w:pPr>
                    <w:pStyle w:val="17"/>
                    <w:keepNext w:val="0"/>
                    <w:keepLines w:val="0"/>
                    <w:pageBreakBefore w:val="0"/>
                    <w:widowControl w:val="0"/>
                    <w:kinsoku/>
                    <w:wordWrap/>
                    <w:overflowPunct/>
                    <w:topLinePunct w:val="0"/>
                    <w:autoSpaceDE/>
                    <w:autoSpaceDN/>
                    <w:bidi w:val="0"/>
                    <w:adjustRightInd w:val="0"/>
                    <w:snapToGrid w:val="0"/>
                    <w:spacing w:before="48" w:beforeLines="15" w:after="48" w:afterLines="15" w:line="240" w:lineRule="auto"/>
                    <w:jc w:val="both"/>
                    <w:textAlignment w:val="auto"/>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bCs/>
                      <w:color w:val="auto"/>
                      <w:sz w:val="21"/>
                      <w:szCs w:val="21"/>
                      <w:highlight w:val="none"/>
                      <w:u w:val="single"/>
                      <w:lang w:val="en-US" w:eastAsia="zh-CN"/>
                    </w:rPr>
                    <w:t>制定相关制度，厂区采取防渗措施管理，提高管理水平。</w:t>
                  </w:r>
                </w:p>
              </w:tc>
              <w:tc>
                <w:tcPr>
                  <w:tcW w:w="681" w:type="dxa"/>
                  <w:vAlign w:val="center"/>
                </w:tcPr>
                <w:p>
                  <w:pPr>
                    <w:pStyle w:val="9"/>
                    <w:keepNext w:val="0"/>
                    <w:keepLines w:val="0"/>
                    <w:pageBreakBefore w:val="0"/>
                    <w:widowControl w:val="0"/>
                    <w:kinsoku/>
                    <w:wordWrap/>
                    <w:overflowPunct/>
                    <w:topLinePunct w:val="0"/>
                    <w:autoSpaceDE w:val="0"/>
                    <w:autoSpaceDN w:val="0"/>
                    <w:bidi w:val="0"/>
                    <w:adjustRightInd w:val="0"/>
                    <w:snapToGrid w:val="0"/>
                    <w:spacing w:before="48" w:beforeLines="15" w:after="48" w:afterLines="15" w:line="240" w:lineRule="auto"/>
                    <w:ind w:firstLine="0"/>
                    <w:jc w:val="center"/>
                    <w:textAlignment w:val="baseline"/>
                    <w:rPr>
                      <w:rFonts w:hint="default" w:ascii="Times New Roman" w:hAnsi="Times New Roman" w:eastAsia="宋体" w:cs="Times New Roman"/>
                      <w:b/>
                      <w:bCs/>
                      <w:color w:val="auto"/>
                      <w:kern w:val="0"/>
                      <w:sz w:val="21"/>
                      <w:szCs w:val="21"/>
                      <w:highlight w:val="none"/>
                      <w:u w:val="single"/>
                      <w:vertAlign w:val="baseline"/>
                      <w:lang w:val="en-US" w:eastAsia="zh-CN"/>
                    </w:rPr>
                  </w:pPr>
                  <w:r>
                    <w:rPr>
                      <w:rFonts w:hint="default" w:ascii="Times New Roman" w:hAnsi="Times New Roman" w:eastAsia="宋体" w:cs="Times New Roman"/>
                      <w:b/>
                      <w:bCs/>
                      <w:color w:val="auto"/>
                      <w:kern w:val="0"/>
                      <w:sz w:val="21"/>
                      <w:szCs w:val="21"/>
                      <w:highlight w:val="none"/>
                      <w:u w:val="single"/>
                      <w:vertAlign w:val="baseline"/>
                      <w:lang w:val="en-US" w:eastAsia="zh-CN"/>
                    </w:rPr>
                    <w:t>相符</w:t>
                  </w:r>
                </w:p>
              </w:tc>
            </w:tr>
          </w:tbl>
          <w:p>
            <w:pPr>
              <w:jc w:val="center"/>
              <w:rPr>
                <w:color w:val="auto"/>
              </w:rPr>
            </w:pPr>
          </w:p>
          <w:p>
            <w:pPr>
              <w:widowControl/>
              <w:spacing w:line="360" w:lineRule="auto"/>
              <w:jc w:val="left"/>
              <w:rPr>
                <w:color w:val="auto"/>
              </w:rPr>
            </w:pPr>
            <w:r>
              <w:rPr>
                <w:rFonts w:hint="eastAsia"/>
                <w:b/>
                <w:bCs/>
                <w:color w:val="auto"/>
                <w:kern w:val="0"/>
                <w:lang w:bidi="ar"/>
              </w:rPr>
              <w:t>3.4</w:t>
            </w:r>
            <w:r>
              <w:rPr>
                <w:b/>
                <w:bCs/>
                <w:color w:val="auto"/>
                <w:kern w:val="0"/>
                <w:lang w:bidi="ar"/>
              </w:rPr>
              <w:t>与《重污染天气重点行业应急减排措施制定技术指南（2020年修订版）》相符性分析</w:t>
            </w:r>
          </w:p>
          <w:p>
            <w:pPr>
              <w:pStyle w:val="10"/>
              <w:ind w:firstLine="480" w:firstLineChars="200"/>
              <w:jc w:val="both"/>
              <w:rPr>
                <w:rFonts w:eastAsia="宋体"/>
                <w:color w:val="auto"/>
              </w:rPr>
            </w:pPr>
            <w:r>
              <w:rPr>
                <w:rFonts w:eastAsia="宋体"/>
                <w:color w:val="auto"/>
                <w:kern w:val="0"/>
                <w:szCs w:val="24"/>
                <w:lang w:bidi="ar"/>
              </w:rPr>
              <w:t>经查阅生态环境部《重污染天气重点行业应急减排措施制定技术指南（2020年修订版）》（环办大气函〔2020〕340号），本项目属于家具制造行业，其相符性分析见下表。</w:t>
            </w:r>
          </w:p>
          <w:p>
            <w:pPr>
              <w:pStyle w:val="10"/>
              <w:rPr>
                <w:rFonts w:eastAsia="宋体"/>
                <w:b/>
                <w:bCs/>
                <w:color w:val="auto"/>
              </w:rPr>
            </w:pPr>
            <w:r>
              <w:rPr>
                <w:rFonts w:eastAsia="宋体"/>
                <w:b/>
                <w:bCs/>
                <w:color w:val="auto"/>
              </w:rPr>
              <w:t>表1-</w:t>
            </w:r>
            <w:r>
              <w:rPr>
                <w:rFonts w:hint="eastAsia" w:eastAsia="宋体"/>
                <w:b/>
                <w:bCs/>
                <w:color w:val="auto"/>
                <w:lang w:val="en-US" w:eastAsia="zh-CN"/>
              </w:rPr>
              <w:t>7</w:t>
            </w:r>
            <w:r>
              <w:rPr>
                <w:rFonts w:eastAsia="宋体"/>
                <w:b/>
                <w:bCs/>
                <w:color w:val="auto"/>
              </w:rPr>
              <w:t xml:space="preserve"> </w:t>
            </w:r>
            <w:r>
              <w:rPr>
                <w:rFonts w:hint="eastAsia" w:eastAsia="宋体"/>
                <w:b/>
                <w:bCs/>
                <w:color w:val="auto"/>
                <w:lang w:val="en-US" w:eastAsia="zh-CN"/>
              </w:rPr>
              <w:t xml:space="preserve"> </w:t>
            </w:r>
            <w:r>
              <w:rPr>
                <w:rFonts w:eastAsia="宋体"/>
                <w:b/>
                <w:bCs/>
                <w:color w:val="auto"/>
              </w:rPr>
              <w:t>本项目与家具制造绩效分级指标（</w:t>
            </w:r>
            <w:r>
              <w:rPr>
                <w:rFonts w:hint="eastAsia" w:eastAsia="宋体"/>
                <w:b/>
                <w:bCs/>
                <w:color w:val="auto"/>
                <w:lang w:val="en-US" w:eastAsia="zh-CN"/>
              </w:rPr>
              <w:t>A</w:t>
            </w:r>
            <w:r>
              <w:rPr>
                <w:rFonts w:eastAsia="宋体"/>
                <w:b/>
                <w:bCs/>
                <w:color w:val="auto"/>
              </w:rPr>
              <w:t>级企业）相符性分析一览表</w:t>
            </w:r>
          </w:p>
          <w:tbl>
            <w:tblPr>
              <w:tblStyle w:val="23"/>
              <w:tblW w:w="84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495"/>
              <w:gridCol w:w="4558"/>
              <w:gridCol w:w="2299"/>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1" w:hRule="atLeast"/>
                <w:jc w:val="center"/>
              </w:trPr>
              <w:tc>
                <w:tcPr>
                  <w:tcW w:w="913" w:type="dxa"/>
                  <w:gridSpan w:val="2"/>
                  <w:vAlign w:val="center"/>
                </w:tcPr>
                <w:p>
                  <w:pPr>
                    <w:widowControl/>
                    <w:jc w:val="center"/>
                    <w:rPr>
                      <w:b/>
                      <w:bCs/>
                      <w:color w:val="auto"/>
                      <w:kern w:val="0"/>
                      <w:sz w:val="21"/>
                      <w:szCs w:val="21"/>
                      <w:u w:val="single"/>
                      <w:lang w:bidi="ar"/>
                    </w:rPr>
                  </w:pPr>
                  <w:r>
                    <w:rPr>
                      <w:b/>
                      <w:bCs/>
                      <w:color w:val="auto"/>
                      <w:kern w:val="0"/>
                      <w:sz w:val="21"/>
                      <w:szCs w:val="21"/>
                      <w:u w:val="single"/>
                      <w:lang w:bidi="ar"/>
                    </w:rPr>
                    <w:t>差异化指标</w:t>
                  </w:r>
                </w:p>
              </w:tc>
              <w:tc>
                <w:tcPr>
                  <w:tcW w:w="4558" w:type="dxa"/>
                  <w:vAlign w:val="center"/>
                </w:tcPr>
                <w:p>
                  <w:pPr>
                    <w:widowControl/>
                    <w:jc w:val="center"/>
                    <w:rPr>
                      <w:b/>
                      <w:bCs/>
                      <w:color w:val="auto"/>
                      <w:kern w:val="0"/>
                      <w:sz w:val="21"/>
                      <w:szCs w:val="21"/>
                      <w:u w:val="single"/>
                      <w:lang w:bidi="ar"/>
                    </w:rPr>
                  </w:pPr>
                  <w:r>
                    <w:rPr>
                      <w:b/>
                      <w:bCs/>
                      <w:color w:val="auto"/>
                      <w:kern w:val="0"/>
                      <w:sz w:val="21"/>
                      <w:szCs w:val="21"/>
                      <w:u w:val="single"/>
                      <w:lang w:bidi="ar"/>
                    </w:rPr>
                    <w:t>A级企业要求</w:t>
                  </w:r>
                </w:p>
              </w:tc>
              <w:tc>
                <w:tcPr>
                  <w:tcW w:w="2299" w:type="dxa"/>
                  <w:shd w:val="clear" w:color="auto" w:fill="auto"/>
                  <w:vAlign w:val="center"/>
                </w:tcPr>
                <w:p>
                  <w:pPr>
                    <w:widowControl/>
                    <w:jc w:val="center"/>
                    <w:rPr>
                      <w:rFonts w:hint="default" w:eastAsia="宋体"/>
                      <w:b/>
                      <w:bCs/>
                      <w:color w:val="auto"/>
                      <w:kern w:val="0"/>
                      <w:sz w:val="21"/>
                      <w:szCs w:val="21"/>
                      <w:highlight w:val="none"/>
                      <w:u w:val="single"/>
                      <w:lang w:val="en-US" w:eastAsia="zh-CN" w:bidi="ar"/>
                    </w:rPr>
                  </w:pPr>
                  <w:r>
                    <w:rPr>
                      <w:rFonts w:hint="eastAsia"/>
                      <w:b/>
                      <w:bCs/>
                      <w:color w:val="auto"/>
                      <w:kern w:val="0"/>
                      <w:sz w:val="21"/>
                      <w:szCs w:val="21"/>
                      <w:highlight w:val="none"/>
                      <w:u w:val="single"/>
                      <w:lang w:val="en-US" w:eastAsia="zh-CN" w:bidi="ar"/>
                    </w:rPr>
                    <w:t>本项目情况</w:t>
                  </w:r>
                </w:p>
              </w:tc>
              <w:tc>
                <w:tcPr>
                  <w:tcW w:w="679" w:type="dxa"/>
                  <w:shd w:val="clear" w:color="auto" w:fill="auto"/>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02" w:hRule="atLeast"/>
                <w:jc w:val="center"/>
              </w:trPr>
              <w:tc>
                <w:tcPr>
                  <w:tcW w:w="913" w:type="dxa"/>
                  <w:gridSpan w:val="2"/>
                  <w:vAlign w:val="center"/>
                </w:tcPr>
                <w:p>
                  <w:pPr>
                    <w:widowControl/>
                    <w:jc w:val="center"/>
                    <w:rPr>
                      <w:b/>
                      <w:bCs/>
                      <w:color w:val="auto"/>
                      <w:kern w:val="0"/>
                      <w:sz w:val="21"/>
                      <w:szCs w:val="21"/>
                      <w:u w:val="single"/>
                      <w:lang w:bidi="ar"/>
                    </w:rPr>
                  </w:pPr>
                  <w:r>
                    <w:rPr>
                      <w:b/>
                      <w:bCs/>
                      <w:color w:val="auto"/>
                      <w:kern w:val="0"/>
                      <w:sz w:val="21"/>
                      <w:szCs w:val="21"/>
                      <w:u w:val="single"/>
                      <w:lang w:bidi="ar"/>
                    </w:rPr>
                    <w:t>原辅材料</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使用的水性涂料（含水性UV、腻子）满足《木器涂料中有害物质限量》（GB18581-2020）要求；使用的无溶剂UV涂料、溶剂型涂料满足《低挥发性有机化合物含量涂料产品技术要求》（GB/T38597-2020）要求；使用的水性和本体胶粘剂满足《胶粘剂挥发性有机化合物限量》（GB33372-2020）要求；使用的清洗剂满足《清洗剂挥发性有机化合物含量限值》（GB38508-2020）要求。</w:t>
                  </w:r>
                </w:p>
              </w:tc>
              <w:tc>
                <w:tcPr>
                  <w:tcW w:w="2299" w:type="dxa"/>
                  <w:shd w:val="clear" w:color="auto" w:fill="auto"/>
                  <w:vAlign w:val="center"/>
                </w:tcPr>
                <w:p>
                  <w:pPr>
                    <w:widowControl/>
                    <w:jc w:val="left"/>
                    <w:rPr>
                      <w:b/>
                      <w:bCs/>
                      <w:color w:val="auto"/>
                      <w:kern w:val="0"/>
                      <w:sz w:val="21"/>
                      <w:szCs w:val="21"/>
                      <w:highlight w:val="none"/>
                      <w:u w:val="single"/>
                      <w:lang w:bidi="ar"/>
                    </w:rPr>
                  </w:pPr>
                  <w:r>
                    <w:rPr>
                      <w:b/>
                      <w:bCs/>
                      <w:color w:val="auto"/>
                      <w:kern w:val="0"/>
                      <w:sz w:val="21"/>
                      <w:szCs w:val="21"/>
                      <w:highlight w:val="none"/>
                      <w:u w:val="single"/>
                      <w:lang w:bidi="ar"/>
                    </w:rPr>
                    <w:t>本项目</w:t>
                  </w:r>
                  <w:r>
                    <w:rPr>
                      <w:rFonts w:hint="eastAsia"/>
                      <w:b/>
                      <w:bCs/>
                      <w:color w:val="auto"/>
                      <w:kern w:val="0"/>
                      <w:sz w:val="21"/>
                      <w:szCs w:val="21"/>
                      <w:highlight w:val="none"/>
                      <w:u w:val="single"/>
                      <w:lang w:val="en-US" w:eastAsia="zh-CN" w:bidi="ar"/>
                    </w:rPr>
                    <w:t>不</w:t>
                  </w:r>
                  <w:r>
                    <w:rPr>
                      <w:b/>
                      <w:bCs/>
                      <w:color w:val="auto"/>
                      <w:kern w:val="0"/>
                      <w:sz w:val="21"/>
                      <w:szCs w:val="21"/>
                      <w:highlight w:val="none"/>
                      <w:u w:val="single"/>
                      <w:lang w:bidi="ar"/>
                    </w:rPr>
                    <w:t>涉及喷漆涂料</w:t>
                  </w:r>
                  <w:r>
                    <w:rPr>
                      <w:rFonts w:hint="eastAsia"/>
                      <w:b/>
                      <w:bCs/>
                      <w:color w:val="auto"/>
                      <w:kern w:val="0"/>
                      <w:sz w:val="21"/>
                      <w:szCs w:val="21"/>
                      <w:highlight w:val="none"/>
                      <w:u w:val="single"/>
                      <w:lang w:eastAsia="zh-CN" w:bidi="ar"/>
                    </w:rPr>
                    <w:t>。</w:t>
                  </w:r>
                  <w:r>
                    <w:rPr>
                      <w:b/>
                      <w:bCs/>
                      <w:color w:val="auto"/>
                      <w:kern w:val="0"/>
                      <w:sz w:val="21"/>
                      <w:szCs w:val="21"/>
                      <w:highlight w:val="none"/>
                      <w:u w:val="single"/>
                      <w:lang w:bidi="ar"/>
                    </w:rPr>
                    <w:t>所使用的胶粘剂为封边胶、</w:t>
                  </w:r>
                  <w:r>
                    <w:rPr>
                      <w:rFonts w:hint="eastAsia"/>
                      <w:b/>
                      <w:bCs/>
                      <w:color w:val="auto"/>
                      <w:kern w:val="0"/>
                      <w:sz w:val="21"/>
                      <w:szCs w:val="21"/>
                      <w:highlight w:val="none"/>
                      <w:u w:val="single"/>
                      <w:lang w:val="en-US" w:eastAsia="zh-CN" w:bidi="ar"/>
                    </w:rPr>
                    <w:t>水性海绵胶</w:t>
                  </w:r>
                  <w:r>
                    <w:rPr>
                      <w:b/>
                      <w:bCs/>
                      <w:color w:val="auto"/>
                      <w:kern w:val="0"/>
                      <w:sz w:val="21"/>
                      <w:szCs w:val="21"/>
                      <w:highlight w:val="none"/>
                      <w:u w:val="single"/>
                      <w:lang w:bidi="ar"/>
                    </w:rPr>
                    <w:t>，满足《低挥发性有机化合物含量涂料产品技术要求》（GB/T38597-2020）要求。</w:t>
                  </w:r>
                </w:p>
              </w:tc>
              <w:tc>
                <w:tcPr>
                  <w:tcW w:w="679" w:type="dxa"/>
                  <w:shd w:val="clear" w:color="auto" w:fill="auto"/>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jc w:val="center"/>
              </w:trPr>
              <w:tc>
                <w:tcPr>
                  <w:tcW w:w="913" w:type="dxa"/>
                  <w:gridSpan w:val="2"/>
                  <w:vAlign w:val="center"/>
                </w:tcPr>
                <w:p>
                  <w:pPr>
                    <w:widowControl/>
                    <w:jc w:val="center"/>
                    <w:rPr>
                      <w:b/>
                      <w:bCs/>
                      <w:color w:val="auto"/>
                      <w:kern w:val="0"/>
                      <w:sz w:val="21"/>
                      <w:szCs w:val="21"/>
                      <w:u w:val="single"/>
                      <w:lang w:bidi="ar"/>
                    </w:rPr>
                  </w:pPr>
                  <w:r>
                    <w:rPr>
                      <w:b/>
                      <w:bCs/>
                      <w:color w:val="auto"/>
                      <w:kern w:val="0"/>
                      <w:sz w:val="21"/>
                      <w:szCs w:val="21"/>
                      <w:u w:val="single"/>
                      <w:lang w:bidi="ar"/>
                    </w:rPr>
                    <w:t>生产工艺</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80%以上的产品使用高效涂装设备，包括往复式喷涂箱、辊涂、淋涂、机械手、静电喷涂等技术。</w:t>
                  </w:r>
                </w:p>
              </w:tc>
              <w:tc>
                <w:tcPr>
                  <w:tcW w:w="2299" w:type="dxa"/>
                  <w:vAlign w:val="center"/>
                </w:tcPr>
                <w:p>
                  <w:pPr>
                    <w:widowControl/>
                    <w:jc w:val="left"/>
                    <w:rPr>
                      <w:rFonts w:hint="default" w:eastAsia="宋体"/>
                      <w:b/>
                      <w:bCs/>
                      <w:color w:val="auto"/>
                      <w:kern w:val="0"/>
                      <w:sz w:val="21"/>
                      <w:szCs w:val="21"/>
                      <w:highlight w:val="yellow"/>
                      <w:u w:val="single"/>
                      <w:lang w:val="en-US" w:eastAsia="zh-CN" w:bidi="ar"/>
                    </w:rPr>
                  </w:pPr>
                  <w:r>
                    <w:rPr>
                      <w:b/>
                      <w:bCs/>
                      <w:color w:val="auto"/>
                      <w:kern w:val="0"/>
                      <w:sz w:val="21"/>
                      <w:szCs w:val="21"/>
                      <w:highlight w:val="none"/>
                      <w:u w:val="single"/>
                      <w:lang w:bidi="ar"/>
                    </w:rPr>
                    <w:t>本项目</w:t>
                  </w:r>
                  <w:r>
                    <w:rPr>
                      <w:rFonts w:hint="eastAsia"/>
                      <w:b/>
                      <w:bCs/>
                      <w:color w:val="auto"/>
                      <w:kern w:val="0"/>
                      <w:sz w:val="21"/>
                      <w:szCs w:val="21"/>
                      <w:highlight w:val="none"/>
                      <w:u w:val="single"/>
                      <w:lang w:val="en-US" w:eastAsia="zh-CN" w:bidi="ar"/>
                    </w:rPr>
                    <w:t>不涉及涂装</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71" w:hRule="atLeast"/>
                <w:jc w:val="center"/>
              </w:trPr>
              <w:tc>
                <w:tcPr>
                  <w:tcW w:w="913" w:type="dxa"/>
                  <w:gridSpan w:val="2"/>
                  <w:vMerge w:val="restart"/>
                  <w:vAlign w:val="center"/>
                </w:tcPr>
                <w:p>
                  <w:pPr>
                    <w:widowControl/>
                    <w:jc w:val="center"/>
                    <w:rPr>
                      <w:b/>
                      <w:bCs/>
                      <w:color w:val="auto"/>
                      <w:kern w:val="0"/>
                      <w:sz w:val="21"/>
                      <w:szCs w:val="21"/>
                      <w:u w:val="single"/>
                      <w:lang w:bidi="ar"/>
                    </w:rPr>
                  </w:pPr>
                  <w:r>
                    <w:rPr>
                      <w:b/>
                      <w:bCs/>
                      <w:color w:val="auto"/>
                      <w:kern w:val="0"/>
                      <w:sz w:val="21"/>
                      <w:szCs w:val="21"/>
                      <w:u w:val="single"/>
                      <w:lang w:bidi="ar"/>
                    </w:rPr>
                    <w:t>无组织排放</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涂料、稀释剂、清洗剂等原辅材料密闭存储，原辅材料调配、使用、回收等过程采用密闭设备或在密闭空间内操作，采用密闭管道或密闭容器等输送；施胶、调配、喷涂、流平和干燥工序在密闭空间内操作，废气排至VOCs废气收集处理系统。</w:t>
                  </w:r>
                </w:p>
              </w:tc>
              <w:tc>
                <w:tcPr>
                  <w:tcW w:w="2299" w:type="dxa"/>
                  <w:vAlign w:val="center"/>
                </w:tcPr>
                <w:p>
                  <w:pPr>
                    <w:widowControl/>
                    <w:jc w:val="left"/>
                    <w:rPr>
                      <w:rFonts w:hint="default" w:eastAsia="宋体"/>
                      <w:b/>
                      <w:bCs/>
                      <w:color w:val="auto"/>
                      <w:kern w:val="0"/>
                      <w:sz w:val="21"/>
                      <w:szCs w:val="21"/>
                      <w:highlight w:val="yellow"/>
                      <w:u w:val="single"/>
                      <w:lang w:val="en-US" w:eastAsia="zh-CN" w:bidi="ar"/>
                    </w:rPr>
                  </w:pPr>
                  <w:r>
                    <w:rPr>
                      <w:b/>
                      <w:bCs/>
                      <w:color w:val="auto"/>
                      <w:kern w:val="0"/>
                      <w:sz w:val="21"/>
                      <w:szCs w:val="21"/>
                      <w:highlight w:val="none"/>
                      <w:u w:val="single"/>
                      <w:lang w:bidi="ar"/>
                    </w:rPr>
                    <w:t>本项目车间密闭，原辅材料密闭存储。</w:t>
                  </w:r>
                  <w:r>
                    <w:rPr>
                      <w:rFonts w:hint="eastAsia"/>
                      <w:b/>
                      <w:bCs/>
                      <w:color w:val="auto"/>
                      <w:kern w:val="0"/>
                      <w:sz w:val="21"/>
                      <w:szCs w:val="21"/>
                      <w:highlight w:val="none"/>
                      <w:u w:val="single"/>
                      <w:lang w:val="en-US" w:eastAsia="zh-CN" w:bidi="ar"/>
                    </w:rPr>
                    <w:t>粘贴工序在密闭车间内进行，废气经集气罩收集后，引入</w:t>
                  </w:r>
                  <w:r>
                    <w:rPr>
                      <w:rFonts w:hint="eastAsia" w:cs="Times New Roman"/>
                      <w:b/>
                      <w:bCs/>
                      <w:color w:val="auto"/>
                      <w:spacing w:val="14"/>
                      <w:sz w:val="21"/>
                      <w:szCs w:val="21"/>
                      <w:u w:val="single"/>
                      <w:lang w:eastAsia="zh-CN"/>
                    </w:rPr>
                    <w:t>两级活性炭吸附</w:t>
                  </w:r>
                  <w:r>
                    <w:rPr>
                      <w:rFonts w:hint="default" w:ascii="Times New Roman" w:hAnsi="Times New Roman" w:cs="Times New Roman"/>
                      <w:b/>
                      <w:bCs/>
                      <w:color w:val="auto"/>
                      <w:spacing w:val="10"/>
                      <w:sz w:val="21"/>
                      <w:szCs w:val="21"/>
                      <w:u w:val="single"/>
                      <w:lang w:eastAsia="zh-CN"/>
                    </w:rPr>
                    <w:t>装置</w:t>
                  </w:r>
                  <w:r>
                    <w:rPr>
                      <w:rFonts w:hint="eastAsia" w:cs="Times New Roman"/>
                      <w:b/>
                      <w:bCs/>
                      <w:color w:val="auto"/>
                      <w:spacing w:val="10"/>
                      <w:sz w:val="21"/>
                      <w:szCs w:val="21"/>
                      <w:u w:val="single"/>
                      <w:lang w:val="en-US" w:eastAsia="zh-CN"/>
                    </w:rPr>
                    <w:t>进行处理</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jc w:val="center"/>
              </w:trPr>
              <w:tc>
                <w:tcPr>
                  <w:tcW w:w="913" w:type="dxa"/>
                  <w:gridSpan w:val="2"/>
                  <w:vMerge w:val="continue"/>
                  <w:vAlign w:val="center"/>
                </w:tcPr>
                <w:p>
                  <w:pPr>
                    <w:widowControl/>
                    <w:jc w:val="center"/>
                    <w:rPr>
                      <w:b/>
                      <w:bCs/>
                      <w:color w:val="auto"/>
                      <w:kern w:val="0"/>
                      <w:sz w:val="21"/>
                      <w:szCs w:val="21"/>
                      <w:u w:val="single"/>
                      <w:lang w:bidi="ar"/>
                    </w:rPr>
                  </w:pP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开料、砂光等工序设置中央除尘系统；机加工、打磨工序设置中央除尘系统或采用袋式除尘、滤筒除尘等除尘工艺</w:t>
                  </w:r>
                </w:p>
              </w:tc>
              <w:tc>
                <w:tcPr>
                  <w:tcW w:w="2299" w:type="dxa"/>
                  <w:vAlign w:val="center"/>
                </w:tcPr>
                <w:p>
                  <w:pPr>
                    <w:widowControl/>
                    <w:jc w:val="left"/>
                    <w:rPr>
                      <w:b/>
                      <w:bCs/>
                      <w:color w:val="auto"/>
                      <w:kern w:val="0"/>
                      <w:sz w:val="21"/>
                      <w:szCs w:val="21"/>
                      <w:highlight w:val="none"/>
                      <w:u w:val="single"/>
                      <w:lang w:bidi="ar"/>
                    </w:rPr>
                  </w:pPr>
                  <w:r>
                    <w:rPr>
                      <w:b/>
                      <w:bCs/>
                      <w:color w:val="auto"/>
                      <w:kern w:val="0"/>
                      <w:sz w:val="21"/>
                      <w:szCs w:val="21"/>
                      <w:highlight w:val="none"/>
                      <w:u w:val="single"/>
                      <w:lang w:bidi="ar"/>
                    </w:rPr>
                    <w:t>开料</w:t>
                  </w:r>
                  <w:r>
                    <w:rPr>
                      <w:rFonts w:hint="eastAsia"/>
                      <w:b/>
                      <w:bCs/>
                      <w:color w:val="auto"/>
                      <w:kern w:val="0"/>
                      <w:sz w:val="21"/>
                      <w:szCs w:val="21"/>
                      <w:highlight w:val="none"/>
                      <w:u w:val="single"/>
                      <w:lang w:eastAsia="zh-CN" w:bidi="ar"/>
                    </w:rPr>
                    <w:t>、</w:t>
                  </w:r>
                  <w:r>
                    <w:rPr>
                      <w:b/>
                      <w:bCs/>
                      <w:color w:val="auto"/>
                      <w:kern w:val="0"/>
                      <w:sz w:val="21"/>
                      <w:szCs w:val="21"/>
                      <w:highlight w:val="none"/>
                      <w:u w:val="single"/>
                      <w:lang w:bidi="ar"/>
                    </w:rPr>
                    <w:t>机加工工序均设置中央除尘系统进行废气处理。</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81" w:hRule="atLeast"/>
                <w:jc w:val="center"/>
              </w:trPr>
              <w:tc>
                <w:tcPr>
                  <w:tcW w:w="913" w:type="dxa"/>
                  <w:gridSpan w:val="2"/>
                  <w:vAlign w:val="center"/>
                </w:tcPr>
                <w:p>
                  <w:pPr>
                    <w:widowControl/>
                    <w:jc w:val="center"/>
                    <w:rPr>
                      <w:b/>
                      <w:bCs/>
                      <w:color w:val="auto"/>
                      <w:kern w:val="0"/>
                      <w:sz w:val="21"/>
                      <w:szCs w:val="21"/>
                      <w:u w:val="single"/>
                      <w:lang w:bidi="ar"/>
                    </w:rPr>
                  </w:pPr>
                  <w:r>
                    <w:rPr>
                      <w:b/>
                      <w:bCs/>
                      <w:color w:val="auto"/>
                      <w:kern w:val="0"/>
                      <w:sz w:val="21"/>
                      <w:szCs w:val="21"/>
                      <w:u w:val="single"/>
                      <w:lang w:bidi="ar"/>
                    </w:rPr>
                    <w:t>废气治理工艺</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1、溶剂型涂料：涂饰（含UV涂料喷涂）、干燥。调配、流平等废气采用漆雾预处理+吸附浓缩+燃烧（蓄热燃烧、催化燃烧）工艺处理；</w:t>
                  </w:r>
                </w:p>
                <w:p>
                  <w:pPr>
                    <w:widowControl/>
                    <w:jc w:val="left"/>
                    <w:rPr>
                      <w:b/>
                      <w:bCs/>
                      <w:color w:val="auto"/>
                      <w:kern w:val="0"/>
                      <w:sz w:val="21"/>
                      <w:szCs w:val="21"/>
                      <w:u w:val="single"/>
                      <w:lang w:bidi="ar"/>
                    </w:rPr>
                  </w:pPr>
                  <w:r>
                    <w:rPr>
                      <w:b/>
                      <w:bCs/>
                      <w:color w:val="auto"/>
                      <w:kern w:val="0"/>
                      <w:sz w:val="21"/>
                      <w:szCs w:val="21"/>
                      <w:u w:val="single"/>
                      <w:lang w:bidi="ar"/>
                    </w:rPr>
                    <w:t>2、其他涂料：涂饰、干燥。调配、流平等废气采用漆雾预处理+吸附浓缩+燃烧（蓄热燃烧、催化燃烧），NMHC排放速率＜2kg/末端采用漆雾预处理+吸附法等技术工艺处理。</w:t>
                  </w:r>
                </w:p>
              </w:tc>
              <w:tc>
                <w:tcPr>
                  <w:tcW w:w="2299" w:type="dxa"/>
                  <w:vAlign w:val="center"/>
                </w:tcPr>
                <w:p>
                  <w:pPr>
                    <w:widowControl/>
                    <w:jc w:val="left"/>
                    <w:rPr>
                      <w:rFonts w:hint="default" w:eastAsia="宋体"/>
                      <w:b/>
                      <w:bCs/>
                      <w:color w:val="auto"/>
                      <w:kern w:val="0"/>
                      <w:sz w:val="21"/>
                      <w:szCs w:val="21"/>
                      <w:highlight w:val="none"/>
                      <w:u w:val="single"/>
                      <w:lang w:val="en-US" w:eastAsia="zh-CN" w:bidi="ar"/>
                    </w:rPr>
                  </w:pPr>
                  <w:r>
                    <w:rPr>
                      <w:b/>
                      <w:bCs/>
                      <w:color w:val="auto"/>
                      <w:kern w:val="0"/>
                      <w:sz w:val="21"/>
                      <w:szCs w:val="21"/>
                      <w:highlight w:val="none"/>
                      <w:u w:val="single"/>
                      <w:lang w:bidi="ar"/>
                    </w:rPr>
                    <w:t>本项目</w:t>
                  </w:r>
                  <w:r>
                    <w:rPr>
                      <w:rFonts w:hint="eastAsia"/>
                      <w:b/>
                      <w:bCs/>
                      <w:color w:val="auto"/>
                      <w:kern w:val="0"/>
                      <w:sz w:val="21"/>
                      <w:szCs w:val="21"/>
                      <w:highlight w:val="none"/>
                      <w:u w:val="single"/>
                      <w:lang w:val="en-US" w:eastAsia="zh-CN" w:bidi="ar"/>
                    </w:rPr>
                    <w:t>不</w:t>
                  </w:r>
                  <w:r>
                    <w:rPr>
                      <w:b/>
                      <w:bCs/>
                      <w:color w:val="auto"/>
                      <w:kern w:val="0"/>
                      <w:sz w:val="21"/>
                      <w:szCs w:val="21"/>
                      <w:highlight w:val="none"/>
                      <w:u w:val="single"/>
                      <w:lang w:bidi="ar"/>
                    </w:rPr>
                    <w:t>涉及喷涂工艺。</w:t>
                  </w:r>
                  <w:r>
                    <w:rPr>
                      <w:rFonts w:hint="eastAsia"/>
                      <w:b/>
                      <w:bCs/>
                      <w:color w:val="auto"/>
                      <w:kern w:val="0"/>
                      <w:sz w:val="21"/>
                      <w:szCs w:val="21"/>
                      <w:highlight w:val="none"/>
                      <w:u w:val="single"/>
                      <w:lang w:val="en-US" w:eastAsia="zh-CN" w:bidi="ar"/>
                    </w:rPr>
                    <w:t>封边、粘贴工序产生的有机废气采用两级活性炭吸附处理。</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jc w:val="center"/>
              </w:trPr>
              <w:tc>
                <w:tcPr>
                  <w:tcW w:w="913" w:type="dxa"/>
                  <w:gridSpan w:val="2"/>
                  <w:vAlign w:val="center"/>
                </w:tcPr>
                <w:p>
                  <w:pPr>
                    <w:widowControl/>
                    <w:jc w:val="center"/>
                    <w:rPr>
                      <w:b/>
                      <w:bCs/>
                      <w:color w:val="auto"/>
                      <w:kern w:val="0"/>
                      <w:sz w:val="21"/>
                      <w:szCs w:val="21"/>
                      <w:u w:val="single"/>
                      <w:lang w:bidi="ar"/>
                    </w:rPr>
                  </w:pPr>
                  <w:r>
                    <w:rPr>
                      <w:b/>
                      <w:bCs/>
                      <w:color w:val="auto"/>
                      <w:kern w:val="0"/>
                      <w:sz w:val="21"/>
                      <w:szCs w:val="21"/>
                      <w:u w:val="single"/>
                      <w:lang w:bidi="ar"/>
                    </w:rPr>
                    <w:t>排放限值</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PM、NMHC排放浓度分别不高于10、20mg/m</w:t>
                  </w:r>
                  <w:r>
                    <w:rPr>
                      <w:b/>
                      <w:bCs/>
                      <w:color w:val="auto"/>
                      <w:kern w:val="0"/>
                      <w:sz w:val="21"/>
                      <w:szCs w:val="21"/>
                      <w:u w:val="single"/>
                      <w:vertAlign w:val="superscript"/>
                      <w:lang w:bidi="ar"/>
                    </w:rPr>
                    <w:t>3</w:t>
                  </w:r>
                  <w:r>
                    <w:rPr>
                      <w:b/>
                      <w:bCs/>
                      <w:color w:val="auto"/>
                      <w:kern w:val="0"/>
                      <w:sz w:val="21"/>
                      <w:szCs w:val="21"/>
                      <w:u w:val="single"/>
                      <w:lang w:bidi="ar"/>
                    </w:rPr>
                    <w:t>；且所有污染物稳定达到地标排放限值。</w:t>
                  </w:r>
                </w:p>
              </w:tc>
              <w:tc>
                <w:tcPr>
                  <w:tcW w:w="2299" w:type="dxa"/>
                  <w:vAlign w:val="center"/>
                </w:tcPr>
                <w:p>
                  <w:pPr>
                    <w:widowControl/>
                    <w:jc w:val="left"/>
                    <w:rPr>
                      <w:b/>
                      <w:bCs/>
                      <w:color w:val="auto"/>
                      <w:kern w:val="0"/>
                      <w:sz w:val="21"/>
                      <w:szCs w:val="21"/>
                      <w:highlight w:val="none"/>
                      <w:u w:val="single"/>
                      <w:lang w:bidi="ar"/>
                    </w:rPr>
                  </w:pPr>
                  <w:r>
                    <w:rPr>
                      <w:b/>
                      <w:bCs/>
                      <w:color w:val="auto"/>
                      <w:kern w:val="0"/>
                      <w:sz w:val="21"/>
                      <w:szCs w:val="21"/>
                      <w:highlight w:val="none"/>
                      <w:u w:val="single"/>
                      <w:lang w:bidi="ar"/>
                    </w:rPr>
                    <w:t>本项目PM、NMHC排放浓度分别不高于10、20mg/m</w:t>
                  </w:r>
                  <w:r>
                    <w:rPr>
                      <w:b/>
                      <w:bCs/>
                      <w:color w:val="auto"/>
                      <w:kern w:val="0"/>
                      <w:sz w:val="21"/>
                      <w:szCs w:val="21"/>
                      <w:highlight w:val="none"/>
                      <w:u w:val="single"/>
                      <w:vertAlign w:val="superscript"/>
                      <w:lang w:bidi="ar"/>
                    </w:rPr>
                    <w:t>3</w:t>
                  </w:r>
                  <w:r>
                    <w:rPr>
                      <w:b/>
                      <w:bCs/>
                      <w:color w:val="auto"/>
                      <w:kern w:val="0"/>
                      <w:sz w:val="21"/>
                      <w:szCs w:val="21"/>
                      <w:highlight w:val="none"/>
                      <w:u w:val="single"/>
                      <w:lang w:bidi="ar"/>
                    </w:rPr>
                    <w:t>；且所有污染物稳定达到地标排放限值。</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913" w:type="dxa"/>
                  <w:gridSpan w:val="2"/>
                  <w:vAlign w:val="center"/>
                </w:tcPr>
                <w:p>
                  <w:pPr>
                    <w:widowControl/>
                    <w:jc w:val="center"/>
                    <w:rPr>
                      <w:b/>
                      <w:bCs/>
                      <w:color w:val="auto"/>
                      <w:kern w:val="0"/>
                      <w:sz w:val="21"/>
                      <w:szCs w:val="21"/>
                      <w:u w:val="single"/>
                      <w:lang w:bidi="ar"/>
                    </w:rPr>
                  </w:pPr>
                  <w:r>
                    <w:rPr>
                      <w:b/>
                      <w:bCs/>
                      <w:color w:val="auto"/>
                      <w:kern w:val="0"/>
                      <w:sz w:val="21"/>
                      <w:szCs w:val="21"/>
                      <w:u w:val="single"/>
                      <w:lang w:bidi="ar"/>
                    </w:rPr>
                    <w:t>监测监控水平</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重点排污企业风量大于10000m</w:t>
                  </w:r>
                  <w:r>
                    <w:rPr>
                      <w:b/>
                      <w:bCs/>
                      <w:color w:val="auto"/>
                      <w:kern w:val="0"/>
                      <w:sz w:val="21"/>
                      <w:szCs w:val="21"/>
                      <w:u w:val="single"/>
                      <w:vertAlign w:val="superscript"/>
                      <w:lang w:bidi="ar"/>
                    </w:rPr>
                    <w:t>3</w:t>
                  </w:r>
                  <w:r>
                    <w:rPr>
                      <w:b/>
                      <w:bCs/>
                      <w:color w:val="auto"/>
                      <w:kern w:val="0"/>
                      <w:sz w:val="21"/>
                      <w:szCs w:val="21"/>
                      <w:u w:val="single"/>
                      <w:lang w:bidi="ar"/>
                    </w:rPr>
                    <w:t>/h的主要排放口安装NMHC自动监测设施（FID检测器），自动监控数据保存一年以上。</w:t>
                  </w:r>
                </w:p>
              </w:tc>
              <w:tc>
                <w:tcPr>
                  <w:tcW w:w="2299" w:type="dxa"/>
                  <w:vAlign w:val="center"/>
                </w:tcPr>
                <w:p>
                  <w:pPr>
                    <w:widowControl/>
                    <w:jc w:val="left"/>
                    <w:rPr>
                      <w:b/>
                      <w:bCs/>
                      <w:color w:val="auto"/>
                      <w:kern w:val="0"/>
                      <w:sz w:val="21"/>
                      <w:szCs w:val="21"/>
                      <w:highlight w:val="none"/>
                      <w:u w:val="single"/>
                      <w:lang w:bidi="ar"/>
                    </w:rPr>
                  </w:pPr>
                  <w:r>
                    <w:rPr>
                      <w:b/>
                      <w:bCs/>
                      <w:color w:val="auto"/>
                      <w:kern w:val="0"/>
                      <w:sz w:val="21"/>
                      <w:szCs w:val="21"/>
                      <w:highlight w:val="none"/>
                      <w:u w:val="single"/>
                      <w:lang w:bidi="ar"/>
                    </w:rPr>
                    <w:t>本项目建设单位不属于重点排污企业。</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1" w:hRule="atLeast"/>
                <w:jc w:val="center"/>
              </w:trPr>
              <w:tc>
                <w:tcPr>
                  <w:tcW w:w="418" w:type="dxa"/>
                  <w:vMerge w:val="restart"/>
                  <w:vAlign w:val="center"/>
                </w:tcPr>
                <w:p>
                  <w:pPr>
                    <w:widowControl/>
                    <w:jc w:val="center"/>
                    <w:rPr>
                      <w:b/>
                      <w:bCs/>
                      <w:color w:val="auto"/>
                      <w:kern w:val="0"/>
                      <w:sz w:val="21"/>
                      <w:szCs w:val="21"/>
                      <w:u w:val="single"/>
                      <w:lang w:bidi="ar"/>
                    </w:rPr>
                  </w:pPr>
                  <w:r>
                    <w:rPr>
                      <w:b/>
                      <w:bCs/>
                      <w:color w:val="auto"/>
                      <w:kern w:val="0"/>
                      <w:sz w:val="21"/>
                      <w:szCs w:val="21"/>
                      <w:u w:val="single"/>
                      <w:lang w:bidi="ar"/>
                    </w:rPr>
                    <w:t>环境管理水平</w:t>
                  </w:r>
                </w:p>
              </w:tc>
              <w:tc>
                <w:tcPr>
                  <w:tcW w:w="495" w:type="dxa"/>
                  <w:vAlign w:val="center"/>
                </w:tcPr>
                <w:p>
                  <w:pPr>
                    <w:widowControl/>
                    <w:jc w:val="center"/>
                    <w:rPr>
                      <w:b/>
                      <w:bCs/>
                      <w:color w:val="auto"/>
                      <w:kern w:val="0"/>
                      <w:sz w:val="21"/>
                      <w:szCs w:val="21"/>
                      <w:u w:val="single"/>
                      <w:lang w:bidi="ar"/>
                    </w:rPr>
                  </w:pPr>
                  <w:r>
                    <w:rPr>
                      <w:b/>
                      <w:bCs/>
                      <w:color w:val="auto"/>
                      <w:kern w:val="0"/>
                      <w:sz w:val="21"/>
                      <w:szCs w:val="21"/>
                      <w:u w:val="single"/>
                      <w:lang w:bidi="ar"/>
                    </w:rPr>
                    <w:t>环保档案</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1.环评批复文件；</w:t>
                  </w:r>
                </w:p>
                <w:p>
                  <w:pPr>
                    <w:widowControl/>
                    <w:jc w:val="left"/>
                    <w:rPr>
                      <w:b/>
                      <w:bCs/>
                      <w:color w:val="auto"/>
                      <w:kern w:val="0"/>
                      <w:sz w:val="21"/>
                      <w:szCs w:val="21"/>
                      <w:u w:val="single"/>
                      <w:lang w:bidi="ar"/>
                    </w:rPr>
                  </w:pPr>
                  <w:r>
                    <w:rPr>
                      <w:b/>
                      <w:bCs/>
                      <w:color w:val="auto"/>
                      <w:kern w:val="0"/>
                      <w:sz w:val="21"/>
                      <w:szCs w:val="21"/>
                      <w:u w:val="single"/>
                      <w:lang w:bidi="ar"/>
                    </w:rPr>
                    <w:t>2.排污许可证及季度、年度执行报告；</w:t>
                  </w:r>
                </w:p>
                <w:p>
                  <w:pPr>
                    <w:widowControl/>
                    <w:jc w:val="left"/>
                    <w:rPr>
                      <w:b/>
                      <w:bCs/>
                      <w:color w:val="auto"/>
                      <w:kern w:val="0"/>
                      <w:sz w:val="21"/>
                      <w:szCs w:val="21"/>
                      <w:u w:val="single"/>
                      <w:lang w:bidi="ar"/>
                    </w:rPr>
                  </w:pPr>
                  <w:r>
                    <w:rPr>
                      <w:b/>
                      <w:bCs/>
                      <w:color w:val="auto"/>
                      <w:kern w:val="0"/>
                      <w:sz w:val="21"/>
                      <w:szCs w:val="21"/>
                      <w:u w:val="single"/>
                      <w:lang w:bidi="ar"/>
                    </w:rPr>
                    <w:t>3.竣工验收文件；</w:t>
                  </w:r>
                </w:p>
                <w:p>
                  <w:pPr>
                    <w:widowControl/>
                    <w:jc w:val="left"/>
                    <w:rPr>
                      <w:b/>
                      <w:bCs/>
                      <w:color w:val="auto"/>
                      <w:kern w:val="0"/>
                      <w:sz w:val="21"/>
                      <w:szCs w:val="21"/>
                      <w:u w:val="single"/>
                      <w:lang w:bidi="ar"/>
                    </w:rPr>
                  </w:pPr>
                  <w:r>
                    <w:rPr>
                      <w:b/>
                      <w:bCs/>
                      <w:color w:val="auto"/>
                      <w:kern w:val="0"/>
                      <w:sz w:val="21"/>
                      <w:szCs w:val="21"/>
                      <w:u w:val="single"/>
                      <w:lang w:bidi="ar"/>
                    </w:rPr>
                    <w:t>4.废气治理设施运行管理规程；</w:t>
                  </w:r>
                </w:p>
                <w:p>
                  <w:pPr>
                    <w:widowControl/>
                    <w:jc w:val="left"/>
                    <w:rPr>
                      <w:b/>
                      <w:bCs/>
                      <w:color w:val="auto"/>
                      <w:kern w:val="0"/>
                      <w:sz w:val="21"/>
                      <w:szCs w:val="21"/>
                      <w:u w:val="single"/>
                      <w:lang w:bidi="ar"/>
                    </w:rPr>
                  </w:pPr>
                  <w:r>
                    <w:rPr>
                      <w:b/>
                      <w:bCs/>
                      <w:color w:val="auto"/>
                      <w:kern w:val="0"/>
                      <w:sz w:val="21"/>
                      <w:szCs w:val="21"/>
                      <w:u w:val="single"/>
                      <w:lang w:bidi="ar"/>
                    </w:rPr>
                    <w:t>5.一年内废气监测报告；</w:t>
                  </w:r>
                </w:p>
                <w:p>
                  <w:pPr>
                    <w:widowControl/>
                    <w:jc w:val="left"/>
                    <w:rPr>
                      <w:b/>
                      <w:bCs/>
                      <w:color w:val="auto"/>
                      <w:kern w:val="0"/>
                      <w:sz w:val="21"/>
                      <w:szCs w:val="21"/>
                      <w:u w:val="single"/>
                      <w:lang w:bidi="ar"/>
                    </w:rPr>
                  </w:pPr>
                  <w:r>
                    <w:rPr>
                      <w:b/>
                      <w:bCs/>
                      <w:color w:val="auto"/>
                      <w:kern w:val="0"/>
                      <w:sz w:val="21"/>
                      <w:szCs w:val="21"/>
                      <w:u w:val="single"/>
                      <w:lang w:bidi="ar"/>
                    </w:rPr>
                    <w:t>6.涂料、胶黏剂、清洗剂中VOCs含量检测报告（包括密度、含水率等）。</w:t>
                  </w:r>
                </w:p>
              </w:tc>
              <w:tc>
                <w:tcPr>
                  <w:tcW w:w="2299" w:type="dxa"/>
                  <w:vAlign w:val="center"/>
                </w:tcPr>
                <w:p>
                  <w:pPr>
                    <w:widowControl/>
                    <w:jc w:val="left"/>
                    <w:rPr>
                      <w:rFonts w:hint="default" w:eastAsia="宋体"/>
                      <w:b/>
                      <w:bCs/>
                      <w:color w:val="auto"/>
                      <w:kern w:val="0"/>
                      <w:sz w:val="21"/>
                      <w:szCs w:val="21"/>
                      <w:highlight w:val="none"/>
                      <w:u w:val="single"/>
                      <w:lang w:val="en-US" w:eastAsia="zh-CN" w:bidi="ar"/>
                    </w:rPr>
                  </w:pPr>
                  <w:r>
                    <w:rPr>
                      <w:rFonts w:hint="eastAsia"/>
                      <w:b/>
                      <w:bCs/>
                      <w:color w:val="auto"/>
                      <w:kern w:val="0"/>
                      <w:sz w:val="21"/>
                      <w:szCs w:val="21"/>
                      <w:highlight w:val="none"/>
                      <w:u w:val="single"/>
                      <w:lang w:val="en-US" w:eastAsia="zh-CN" w:bidi="ar"/>
                    </w:rPr>
                    <w:t>本项目建成后，评价要求建设单位按照上述要求逐项落实环保档案。</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12" w:hRule="atLeast"/>
                <w:jc w:val="center"/>
              </w:trPr>
              <w:tc>
                <w:tcPr>
                  <w:tcW w:w="418" w:type="dxa"/>
                  <w:vMerge w:val="continue"/>
                  <w:vAlign w:val="center"/>
                </w:tcPr>
                <w:p>
                  <w:pPr>
                    <w:widowControl/>
                    <w:jc w:val="center"/>
                    <w:rPr>
                      <w:b/>
                      <w:bCs/>
                      <w:color w:val="auto"/>
                      <w:kern w:val="0"/>
                      <w:sz w:val="21"/>
                      <w:szCs w:val="21"/>
                      <w:u w:val="single"/>
                      <w:lang w:bidi="ar"/>
                    </w:rPr>
                  </w:pPr>
                </w:p>
              </w:tc>
              <w:tc>
                <w:tcPr>
                  <w:tcW w:w="495" w:type="dxa"/>
                  <w:vAlign w:val="center"/>
                </w:tcPr>
                <w:p>
                  <w:pPr>
                    <w:widowControl/>
                    <w:jc w:val="center"/>
                    <w:rPr>
                      <w:b/>
                      <w:bCs/>
                      <w:color w:val="auto"/>
                      <w:kern w:val="0"/>
                      <w:sz w:val="21"/>
                      <w:szCs w:val="21"/>
                      <w:u w:val="single"/>
                      <w:lang w:bidi="ar"/>
                    </w:rPr>
                  </w:pPr>
                  <w:r>
                    <w:rPr>
                      <w:b/>
                      <w:bCs/>
                      <w:color w:val="auto"/>
                      <w:kern w:val="0"/>
                      <w:sz w:val="21"/>
                      <w:szCs w:val="21"/>
                      <w:u w:val="single"/>
                      <w:lang w:bidi="ar"/>
                    </w:rPr>
                    <w:t>台账记录</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1.生产设施运行管理信息（生产时间、运行负荷、产品产量等）；</w:t>
                  </w:r>
                </w:p>
                <w:p>
                  <w:pPr>
                    <w:widowControl/>
                    <w:jc w:val="left"/>
                    <w:rPr>
                      <w:b/>
                      <w:bCs/>
                      <w:color w:val="auto"/>
                      <w:kern w:val="0"/>
                      <w:sz w:val="21"/>
                      <w:szCs w:val="21"/>
                      <w:u w:val="single"/>
                      <w:lang w:bidi="ar"/>
                    </w:rPr>
                  </w:pPr>
                  <w:r>
                    <w:rPr>
                      <w:b/>
                      <w:bCs/>
                      <w:color w:val="auto"/>
                      <w:kern w:val="0"/>
                      <w:sz w:val="21"/>
                      <w:szCs w:val="21"/>
                      <w:u w:val="single"/>
                      <w:lang w:bidi="ar"/>
                    </w:rPr>
                    <w:t>2.废气污染治理设施运行管理信息（除尘滤料更换量和时间、吸附剂更换频次、催化剂更换频次等）；</w:t>
                  </w:r>
                </w:p>
                <w:p>
                  <w:pPr>
                    <w:widowControl/>
                    <w:jc w:val="left"/>
                    <w:rPr>
                      <w:b/>
                      <w:bCs/>
                      <w:color w:val="auto"/>
                      <w:kern w:val="0"/>
                      <w:sz w:val="21"/>
                      <w:szCs w:val="21"/>
                      <w:u w:val="single"/>
                      <w:lang w:bidi="ar"/>
                    </w:rPr>
                  </w:pPr>
                  <w:r>
                    <w:rPr>
                      <w:b/>
                      <w:bCs/>
                      <w:color w:val="auto"/>
                      <w:kern w:val="0"/>
                      <w:sz w:val="21"/>
                      <w:szCs w:val="21"/>
                      <w:u w:val="single"/>
                      <w:lang w:bidi="ar"/>
                    </w:rPr>
                    <w:t>3.监测记录信息（主要污染排放口废气排放记录（手工监测和在线监测）等）；</w:t>
                  </w:r>
                </w:p>
                <w:p>
                  <w:pPr>
                    <w:widowControl/>
                    <w:jc w:val="left"/>
                    <w:rPr>
                      <w:b/>
                      <w:bCs/>
                      <w:color w:val="auto"/>
                      <w:kern w:val="0"/>
                      <w:sz w:val="21"/>
                      <w:szCs w:val="21"/>
                      <w:u w:val="single"/>
                      <w:lang w:bidi="ar"/>
                    </w:rPr>
                  </w:pPr>
                  <w:r>
                    <w:rPr>
                      <w:b/>
                      <w:bCs/>
                      <w:color w:val="auto"/>
                      <w:kern w:val="0"/>
                      <w:sz w:val="21"/>
                      <w:szCs w:val="21"/>
                      <w:u w:val="single"/>
                      <w:lang w:bidi="ar"/>
                    </w:rPr>
                    <w:t>4.主要原辅材料消耗记录（一年内涂料、胶黏剂、清洗剂用量记录）；</w:t>
                  </w:r>
                </w:p>
                <w:p>
                  <w:pPr>
                    <w:widowControl/>
                    <w:jc w:val="left"/>
                    <w:rPr>
                      <w:b/>
                      <w:bCs/>
                      <w:color w:val="auto"/>
                      <w:kern w:val="0"/>
                      <w:sz w:val="21"/>
                      <w:szCs w:val="21"/>
                      <w:u w:val="single"/>
                      <w:lang w:bidi="ar"/>
                    </w:rPr>
                  </w:pPr>
                  <w:r>
                    <w:rPr>
                      <w:b/>
                      <w:bCs/>
                      <w:color w:val="auto"/>
                      <w:kern w:val="0"/>
                      <w:sz w:val="21"/>
                      <w:szCs w:val="21"/>
                      <w:u w:val="single"/>
                      <w:lang w:bidi="ar"/>
                    </w:rPr>
                    <w:t>5.燃料（天然气）消耗记录。</w:t>
                  </w:r>
                </w:p>
              </w:tc>
              <w:tc>
                <w:tcPr>
                  <w:tcW w:w="2299" w:type="dxa"/>
                  <w:vAlign w:val="center"/>
                </w:tcPr>
                <w:p>
                  <w:pPr>
                    <w:widowControl/>
                    <w:jc w:val="left"/>
                    <w:rPr>
                      <w:b/>
                      <w:bCs/>
                      <w:color w:val="auto"/>
                      <w:kern w:val="0"/>
                      <w:sz w:val="21"/>
                      <w:szCs w:val="21"/>
                      <w:highlight w:val="none"/>
                      <w:u w:val="single"/>
                      <w:lang w:bidi="ar"/>
                    </w:rPr>
                  </w:pPr>
                  <w:r>
                    <w:rPr>
                      <w:b/>
                      <w:bCs/>
                      <w:color w:val="auto"/>
                      <w:kern w:val="0"/>
                      <w:sz w:val="21"/>
                      <w:szCs w:val="21"/>
                      <w:highlight w:val="none"/>
                      <w:u w:val="single"/>
                      <w:lang w:bidi="ar"/>
                    </w:rPr>
                    <w:t>本项目建成后，评价要求建设单位按照上述台账记录要求逐项落实。</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1" w:hRule="atLeast"/>
                <w:jc w:val="center"/>
              </w:trPr>
              <w:tc>
                <w:tcPr>
                  <w:tcW w:w="418" w:type="dxa"/>
                  <w:vMerge w:val="continue"/>
                  <w:vAlign w:val="center"/>
                </w:tcPr>
                <w:p>
                  <w:pPr>
                    <w:widowControl/>
                    <w:jc w:val="center"/>
                    <w:rPr>
                      <w:b/>
                      <w:bCs/>
                      <w:color w:val="auto"/>
                      <w:kern w:val="0"/>
                      <w:sz w:val="21"/>
                      <w:szCs w:val="21"/>
                      <w:u w:val="single"/>
                      <w:lang w:bidi="ar"/>
                    </w:rPr>
                  </w:pPr>
                </w:p>
              </w:tc>
              <w:tc>
                <w:tcPr>
                  <w:tcW w:w="495" w:type="dxa"/>
                  <w:vAlign w:val="center"/>
                </w:tcPr>
                <w:p>
                  <w:pPr>
                    <w:widowControl/>
                    <w:jc w:val="center"/>
                    <w:rPr>
                      <w:b/>
                      <w:bCs/>
                      <w:color w:val="auto"/>
                      <w:kern w:val="0"/>
                      <w:sz w:val="21"/>
                      <w:szCs w:val="21"/>
                      <w:u w:val="single"/>
                      <w:lang w:bidi="ar"/>
                    </w:rPr>
                  </w:pPr>
                  <w:r>
                    <w:rPr>
                      <w:b/>
                      <w:bCs/>
                      <w:color w:val="auto"/>
                      <w:kern w:val="0"/>
                      <w:sz w:val="21"/>
                      <w:szCs w:val="21"/>
                      <w:u w:val="single"/>
                      <w:lang w:bidi="ar"/>
                    </w:rPr>
                    <w:t>人员配置</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设置环保部门，配备专职环保人员，并具备相应的环境管理能力。</w:t>
                  </w:r>
                </w:p>
              </w:tc>
              <w:tc>
                <w:tcPr>
                  <w:tcW w:w="2299" w:type="dxa"/>
                  <w:vAlign w:val="center"/>
                </w:tcPr>
                <w:p>
                  <w:pPr>
                    <w:widowControl/>
                    <w:jc w:val="left"/>
                    <w:rPr>
                      <w:b/>
                      <w:bCs/>
                      <w:color w:val="auto"/>
                      <w:kern w:val="0"/>
                      <w:sz w:val="21"/>
                      <w:szCs w:val="21"/>
                      <w:highlight w:val="none"/>
                      <w:u w:val="single"/>
                      <w:lang w:bidi="ar"/>
                    </w:rPr>
                  </w:pPr>
                  <w:r>
                    <w:rPr>
                      <w:b/>
                      <w:bCs/>
                      <w:color w:val="auto"/>
                      <w:kern w:val="0"/>
                      <w:sz w:val="21"/>
                      <w:szCs w:val="21"/>
                      <w:highlight w:val="none"/>
                      <w:u w:val="single"/>
                      <w:lang w:bidi="ar"/>
                    </w:rPr>
                    <w:t>本项目建成后，评价要求建设单位按照上述人员配置要求逐项落实。</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jc w:val="center"/>
              </w:trPr>
              <w:tc>
                <w:tcPr>
                  <w:tcW w:w="913" w:type="dxa"/>
                  <w:gridSpan w:val="2"/>
                  <w:vAlign w:val="center"/>
                </w:tcPr>
                <w:p>
                  <w:pPr>
                    <w:widowControl/>
                    <w:jc w:val="center"/>
                    <w:rPr>
                      <w:b/>
                      <w:bCs/>
                      <w:color w:val="auto"/>
                      <w:kern w:val="0"/>
                      <w:sz w:val="21"/>
                      <w:szCs w:val="21"/>
                      <w:u w:val="single"/>
                      <w:lang w:bidi="ar"/>
                    </w:rPr>
                  </w:pPr>
                  <w:r>
                    <w:rPr>
                      <w:b/>
                      <w:bCs/>
                      <w:color w:val="auto"/>
                      <w:kern w:val="0"/>
                      <w:sz w:val="21"/>
                      <w:szCs w:val="21"/>
                      <w:u w:val="single"/>
                      <w:lang w:bidi="ar"/>
                    </w:rPr>
                    <w:t>运输方式</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1.物料公路运输全部使用达到国五及以上排放标准重型载货车辆（含燃气）或新能源车辆；</w:t>
                  </w:r>
                </w:p>
                <w:p>
                  <w:pPr>
                    <w:widowControl/>
                    <w:jc w:val="left"/>
                    <w:rPr>
                      <w:b/>
                      <w:bCs/>
                      <w:color w:val="auto"/>
                      <w:kern w:val="0"/>
                      <w:sz w:val="21"/>
                      <w:szCs w:val="21"/>
                      <w:u w:val="single"/>
                      <w:lang w:bidi="ar"/>
                    </w:rPr>
                  </w:pPr>
                  <w:r>
                    <w:rPr>
                      <w:b/>
                      <w:bCs/>
                      <w:color w:val="auto"/>
                      <w:kern w:val="0"/>
                      <w:sz w:val="21"/>
                      <w:szCs w:val="21"/>
                      <w:u w:val="single"/>
                      <w:lang w:bidi="ar"/>
                    </w:rPr>
                    <w:t>2.厂内运输车辆全部达到国五及以上排放标准车辆（含燃气）或使用新能源车辆；</w:t>
                  </w:r>
                </w:p>
                <w:p>
                  <w:pPr>
                    <w:widowControl/>
                    <w:jc w:val="left"/>
                    <w:rPr>
                      <w:b/>
                      <w:bCs/>
                      <w:color w:val="auto"/>
                      <w:kern w:val="0"/>
                      <w:sz w:val="21"/>
                      <w:szCs w:val="21"/>
                      <w:u w:val="single"/>
                      <w:lang w:bidi="ar"/>
                    </w:rPr>
                  </w:pPr>
                  <w:r>
                    <w:rPr>
                      <w:b/>
                      <w:bCs/>
                      <w:color w:val="auto"/>
                      <w:kern w:val="0"/>
                      <w:sz w:val="21"/>
                      <w:szCs w:val="21"/>
                      <w:u w:val="single"/>
                      <w:lang w:bidi="ar"/>
                    </w:rPr>
                    <w:t>3.厂内非道路移动机械全部达到国三及以上排放标准或新能源机械。</w:t>
                  </w:r>
                </w:p>
              </w:tc>
              <w:tc>
                <w:tcPr>
                  <w:tcW w:w="2299" w:type="dxa"/>
                  <w:vAlign w:val="center"/>
                </w:tcPr>
                <w:p>
                  <w:pPr>
                    <w:widowControl/>
                    <w:jc w:val="left"/>
                    <w:rPr>
                      <w:b/>
                      <w:bCs/>
                      <w:color w:val="auto"/>
                      <w:kern w:val="0"/>
                      <w:sz w:val="21"/>
                      <w:szCs w:val="21"/>
                      <w:highlight w:val="none"/>
                      <w:u w:val="single"/>
                      <w:lang w:bidi="ar"/>
                    </w:rPr>
                  </w:pPr>
                  <w:r>
                    <w:rPr>
                      <w:b/>
                      <w:bCs/>
                      <w:color w:val="auto"/>
                      <w:kern w:val="0"/>
                      <w:sz w:val="21"/>
                      <w:szCs w:val="21"/>
                      <w:highlight w:val="none"/>
                      <w:u w:val="single"/>
                      <w:lang w:bidi="ar"/>
                    </w:rPr>
                    <w:t>本项目建成后，评价要求建设单位物料公路运输和厂内运输车辆达到国五及以上排放标准。</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913" w:type="dxa"/>
                  <w:gridSpan w:val="2"/>
                  <w:vAlign w:val="center"/>
                </w:tcPr>
                <w:p>
                  <w:pPr>
                    <w:widowControl/>
                    <w:jc w:val="center"/>
                    <w:rPr>
                      <w:b/>
                      <w:bCs/>
                      <w:color w:val="auto"/>
                      <w:kern w:val="0"/>
                      <w:sz w:val="21"/>
                      <w:szCs w:val="21"/>
                      <w:u w:val="single"/>
                      <w:lang w:bidi="ar"/>
                    </w:rPr>
                  </w:pPr>
                  <w:r>
                    <w:rPr>
                      <w:b/>
                      <w:bCs/>
                      <w:color w:val="auto"/>
                      <w:kern w:val="0"/>
                      <w:sz w:val="21"/>
                      <w:szCs w:val="21"/>
                      <w:u w:val="single"/>
                      <w:lang w:bidi="ar"/>
                    </w:rPr>
                    <w:t>运输监管</w:t>
                  </w:r>
                </w:p>
              </w:tc>
              <w:tc>
                <w:tcPr>
                  <w:tcW w:w="4558" w:type="dxa"/>
                  <w:vAlign w:val="center"/>
                </w:tcPr>
                <w:p>
                  <w:pPr>
                    <w:widowControl/>
                    <w:jc w:val="left"/>
                    <w:rPr>
                      <w:b/>
                      <w:bCs/>
                      <w:color w:val="auto"/>
                      <w:kern w:val="0"/>
                      <w:sz w:val="21"/>
                      <w:szCs w:val="21"/>
                      <w:u w:val="single"/>
                      <w:lang w:bidi="ar"/>
                    </w:rPr>
                  </w:pPr>
                  <w:r>
                    <w:rPr>
                      <w:b/>
                      <w:bCs/>
                      <w:color w:val="auto"/>
                      <w:kern w:val="0"/>
                      <w:sz w:val="21"/>
                      <w:szCs w:val="21"/>
                      <w:u w:val="single"/>
                      <w:lang w:bidi="ar"/>
                    </w:rPr>
                    <w:t>参照《重污染天气重点行业移动源应急管理技术指南》建立门禁系统和电子台账。</w:t>
                  </w:r>
                </w:p>
              </w:tc>
              <w:tc>
                <w:tcPr>
                  <w:tcW w:w="2299" w:type="dxa"/>
                  <w:vAlign w:val="center"/>
                </w:tcPr>
                <w:p>
                  <w:pPr>
                    <w:widowControl/>
                    <w:jc w:val="left"/>
                    <w:rPr>
                      <w:b/>
                      <w:bCs/>
                      <w:color w:val="auto"/>
                      <w:kern w:val="0"/>
                      <w:sz w:val="21"/>
                      <w:szCs w:val="21"/>
                      <w:highlight w:val="none"/>
                      <w:u w:val="single"/>
                      <w:lang w:bidi="ar"/>
                    </w:rPr>
                  </w:pPr>
                  <w:r>
                    <w:rPr>
                      <w:b/>
                      <w:bCs/>
                      <w:color w:val="auto"/>
                      <w:kern w:val="0"/>
                      <w:sz w:val="21"/>
                      <w:szCs w:val="21"/>
                      <w:highlight w:val="none"/>
                      <w:u w:val="single"/>
                      <w:lang w:bidi="ar"/>
                    </w:rPr>
                    <w:t>建议建设单位建立门禁系统和电子台账。</w:t>
                  </w:r>
                </w:p>
              </w:tc>
              <w:tc>
                <w:tcPr>
                  <w:tcW w:w="679" w:type="dxa"/>
                  <w:vAlign w:val="center"/>
                </w:tcPr>
                <w:p>
                  <w:pPr>
                    <w:widowControl/>
                    <w:jc w:val="center"/>
                    <w:rPr>
                      <w:b/>
                      <w:bCs/>
                      <w:color w:val="auto"/>
                      <w:kern w:val="0"/>
                      <w:sz w:val="21"/>
                      <w:szCs w:val="21"/>
                      <w:highlight w:val="none"/>
                      <w:u w:val="single"/>
                      <w:lang w:bidi="ar"/>
                    </w:rPr>
                  </w:pPr>
                  <w:r>
                    <w:rPr>
                      <w:b/>
                      <w:bCs/>
                      <w:color w:val="auto"/>
                      <w:kern w:val="0"/>
                      <w:sz w:val="21"/>
                      <w:szCs w:val="21"/>
                      <w:highlight w:val="none"/>
                      <w:u w:val="single"/>
                      <w:lang w:bidi="ar"/>
                    </w:rPr>
                    <w:t>相符</w:t>
                  </w:r>
                </w:p>
              </w:tc>
            </w:tr>
          </w:tbl>
          <w:p>
            <w:pPr>
              <w:widowControl/>
              <w:spacing w:line="360" w:lineRule="auto"/>
              <w:ind w:firstLine="480" w:firstLineChars="200"/>
              <w:jc w:val="left"/>
              <w:rPr>
                <w:color w:val="auto"/>
              </w:rPr>
            </w:pPr>
            <w:r>
              <w:rPr>
                <w:color w:val="auto"/>
                <w:kern w:val="0"/>
                <w:lang w:bidi="ar"/>
              </w:rPr>
              <w:t>经对比分析，项目符合A级企业要求。</w:t>
            </w:r>
          </w:p>
          <w:p>
            <w:pPr>
              <w:widowControl/>
              <w:jc w:val="left"/>
              <w:rPr>
                <w:rFonts w:hint="eastAsia" w:eastAsia="宋体"/>
                <w:color w:val="auto"/>
                <w:lang w:eastAsia="zh-CN"/>
              </w:rPr>
            </w:pPr>
            <w:r>
              <w:rPr>
                <w:b/>
                <w:bCs/>
                <w:color w:val="auto"/>
                <w:kern w:val="0"/>
                <w:lang w:bidi="ar"/>
              </w:rPr>
              <w:t>4、与饮用水水源保护区区划相符性分析</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left="0" w:leftChars="0" w:firstLine="560" w:firstLineChars="200"/>
              <w:textAlignment w:val="baseline"/>
              <w:rPr>
                <w:rFonts w:hint="default" w:cs="Times New Roman"/>
                <w:b/>
                <w:bCs/>
                <w:color w:val="auto"/>
                <w:kern w:val="0"/>
                <w:sz w:val="24"/>
                <w:szCs w:val="24"/>
                <w:highlight w:val="none"/>
                <w:vertAlign w:val="baseline"/>
                <w:lang w:val="en-US" w:eastAsia="zh-CN" w:bidi="ar-SA"/>
              </w:rPr>
            </w:pPr>
            <w:r>
              <w:rPr>
                <w:rFonts w:hint="eastAsia"/>
                <w:color w:val="auto"/>
                <w:kern w:val="0"/>
                <w:lang w:val="en-US" w:eastAsia="zh-CN" w:bidi="ar"/>
              </w:rPr>
              <w:t>4.1</w:t>
            </w:r>
            <w:r>
              <w:rPr>
                <w:rFonts w:hint="eastAsia" w:cs="Times New Roman"/>
                <w:b/>
                <w:bCs/>
                <w:color w:val="auto"/>
                <w:kern w:val="0"/>
                <w:sz w:val="24"/>
                <w:szCs w:val="24"/>
                <w:highlight w:val="none"/>
                <w:vertAlign w:val="baseline"/>
                <w:lang w:val="en-US" w:eastAsia="zh-CN" w:bidi="ar-SA"/>
              </w:rPr>
              <w:t>与濮阳市集中式饮用水源相符性</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根据《河南省城市集中式饮用水源保护区划》（豫政办</w:t>
            </w:r>
            <w:r>
              <w:rPr>
                <w:rFonts w:hint="eastAsia" w:ascii="仿宋" w:hAnsi="仿宋" w:eastAsia="仿宋" w:cs="仿宋"/>
                <w:b w:val="0"/>
                <w:bCs w:val="0"/>
                <w:color w:val="auto"/>
                <w:kern w:val="0"/>
                <w:sz w:val="24"/>
                <w:szCs w:val="24"/>
                <w:highlight w:val="none"/>
                <w:vertAlign w:val="baseline"/>
                <w:lang w:val="en-US" w:eastAsia="zh-CN" w:bidi="ar-SA"/>
              </w:rPr>
              <w:t>〔</w:t>
            </w:r>
            <w:r>
              <w:rPr>
                <w:rFonts w:hint="eastAsia" w:cs="Times New Roman"/>
                <w:b w:val="0"/>
                <w:bCs w:val="0"/>
                <w:color w:val="auto"/>
                <w:kern w:val="0"/>
                <w:sz w:val="24"/>
                <w:szCs w:val="24"/>
                <w:highlight w:val="none"/>
                <w:vertAlign w:val="baseline"/>
                <w:lang w:val="en-US" w:eastAsia="zh-CN" w:bidi="ar-SA"/>
              </w:rPr>
              <w:t>2007</w:t>
            </w:r>
            <w:r>
              <w:rPr>
                <w:rFonts w:hint="eastAsia" w:ascii="仿宋" w:hAnsi="仿宋" w:eastAsia="仿宋" w:cs="仿宋"/>
                <w:b w:val="0"/>
                <w:bCs w:val="0"/>
                <w:color w:val="auto"/>
                <w:kern w:val="0"/>
                <w:sz w:val="24"/>
                <w:szCs w:val="24"/>
                <w:highlight w:val="none"/>
                <w:vertAlign w:val="baseline"/>
                <w:lang w:val="en-US" w:eastAsia="zh-CN" w:bidi="ar-SA"/>
              </w:rPr>
              <w:t>〕</w:t>
            </w:r>
            <w:r>
              <w:rPr>
                <w:rFonts w:hint="eastAsia" w:cs="Times New Roman"/>
                <w:b w:val="0"/>
                <w:bCs w:val="0"/>
                <w:color w:val="auto"/>
                <w:kern w:val="0"/>
                <w:sz w:val="24"/>
                <w:szCs w:val="24"/>
                <w:highlight w:val="none"/>
                <w:vertAlign w:val="baseline"/>
                <w:lang w:val="en-US" w:eastAsia="zh-CN" w:bidi="ar-SA"/>
              </w:rPr>
              <w:t>125号）、河南省环境保护厅及河南省水利厅批复（豫环函</w:t>
            </w:r>
            <w:r>
              <w:rPr>
                <w:rFonts w:hint="eastAsia" w:ascii="仿宋" w:hAnsi="仿宋" w:eastAsia="仿宋" w:cs="仿宋"/>
                <w:b w:val="0"/>
                <w:bCs w:val="0"/>
                <w:color w:val="auto"/>
                <w:kern w:val="0"/>
                <w:sz w:val="24"/>
                <w:szCs w:val="24"/>
                <w:highlight w:val="none"/>
                <w:vertAlign w:val="baseline"/>
                <w:lang w:val="en-US" w:eastAsia="zh-CN" w:bidi="ar-SA"/>
              </w:rPr>
              <w:t>〔</w:t>
            </w:r>
            <w:r>
              <w:rPr>
                <w:rFonts w:hint="eastAsia" w:cs="Times New Roman"/>
                <w:b w:val="0"/>
                <w:bCs w:val="0"/>
                <w:color w:val="auto"/>
                <w:kern w:val="0"/>
                <w:sz w:val="24"/>
                <w:szCs w:val="24"/>
                <w:highlight w:val="none"/>
                <w:vertAlign w:val="baseline"/>
                <w:lang w:val="en-US" w:eastAsia="zh-CN" w:bidi="ar-SA"/>
              </w:rPr>
              <w:t>2014</w:t>
            </w:r>
            <w:r>
              <w:rPr>
                <w:rFonts w:hint="eastAsia" w:ascii="仿宋" w:hAnsi="仿宋" w:eastAsia="仿宋" w:cs="仿宋"/>
                <w:b w:val="0"/>
                <w:bCs w:val="0"/>
                <w:color w:val="auto"/>
                <w:kern w:val="0"/>
                <w:sz w:val="24"/>
                <w:szCs w:val="24"/>
                <w:highlight w:val="none"/>
                <w:vertAlign w:val="baseline"/>
                <w:lang w:val="en-US" w:eastAsia="zh-CN" w:bidi="ar-SA"/>
              </w:rPr>
              <w:t>〕</w:t>
            </w:r>
            <w:r>
              <w:rPr>
                <w:rFonts w:hint="eastAsia" w:cs="Times New Roman"/>
                <w:b w:val="0"/>
                <w:bCs w:val="0"/>
                <w:color w:val="auto"/>
                <w:kern w:val="0"/>
                <w:sz w:val="24"/>
                <w:szCs w:val="24"/>
                <w:highlight w:val="none"/>
                <w:vertAlign w:val="baseline"/>
                <w:lang w:val="en-US" w:eastAsia="zh-CN" w:bidi="ar-SA"/>
              </w:rPr>
              <w:t>61号）的《河南省濮阳市地下饮用水源地调整及保护区核定技术报告》、《河南省人民政府关于调整部分集中式饮用水水源保护区的通知》（豫政文</w:t>
            </w:r>
            <w:r>
              <w:rPr>
                <w:rFonts w:hint="eastAsia" w:ascii="仿宋" w:hAnsi="仿宋" w:eastAsia="仿宋" w:cs="仿宋"/>
                <w:b w:val="0"/>
                <w:bCs w:val="0"/>
                <w:color w:val="auto"/>
                <w:kern w:val="0"/>
                <w:sz w:val="24"/>
                <w:szCs w:val="24"/>
                <w:highlight w:val="none"/>
                <w:vertAlign w:val="baseline"/>
                <w:lang w:val="en-US" w:eastAsia="zh-CN" w:bidi="ar-SA"/>
              </w:rPr>
              <w:t>〔</w:t>
            </w:r>
            <w:r>
              <w:rPr>
                <w:rFonts w:hint="eastAsia" w:cs="Times New Roman"/>
                <w:b w:val="0"/>
                <w:bCs w:val="0"/>
                <w:color w:val="auto"/>
                <w:kern w:val="0"/>
                <w:sz w:val="24"/>
                <w:szCs w:val="24"/>
                <w:highlight w:val="none"/>
                <w:vertAlign w:val="baseline"/>
                <w:lang w:val="en-US" w:eastAsia="zh-CN" w:bidi="ar-SA"/>
              </w:rPr>
              <w:t>2019</w:t>
            </w:r>
            <w:r>
              <w:rPr>
                <w:rFonts w:hint="eastAsia" w:ascii="仿宋" w:hAnsi="仿宋" w:eastAsia="仿宋" w:cs="仿宋"/>
                <w:b w:val="0"/>
                <w:bCs w:val="0"/>
                <w:color w:val="auto"/>
                <w:kern w:val="0"/>
                <w:sz w:val="24"/>
                <w:szCs w:val="24"/>
                <w:highlight w:val="none"/>
                <w:vertAlign w:val="baseline"/>
                <w:lang w:val="en-US" w:eastAsia="zh-CN" w:bidi="ar-SA"/>
              </w:rPr>
              <w:t>〕</w:t>
            </w:r>
            <w:r>
              <w:rPr>
                <w:rFonts w:hint="eastAsia" w:cs="Times New Roman"/>
                <w:b w:val="0"/>
                <w:bCs w:val="0"/>
                <w:color w:val="auto"/>
                <w:kern w:val="0"/>
                <w:sz w:val="24"/>
                <w:szCs w:val="24"/>
                <w:highlight w:val="none"/>
                <w:vertAlign w:val="baseline"/>
                <w:lang w:val="en-US" w:eastAsia="zh-CN" w:bidi="ar-SA"/>
              </w:rPr>
              <w:t>19号）、《河南省人民政府关于调整取消部分集中式饮用水水源保护区的通知》（豫政文</w:t>
            </w:r>
            <w:r>
              <w:rPr>
                <w:rFonts w:hint="eastAsia" w:ascii="仿宋" w:hAnsi="仿宋" w:eastAsia="仿宋" w:cs="仿宋"/>
                <w:b w:val="0"/>
                <w:bCs w:val="0"/>
                <w:color w:val="auto"/>
                <w:kern w:val="0"/>
                <w:sz w:val="24"/>
                <w:szCs w:val="24"/>
                <w:highlight w:val="none"/>
                <w:vertAlign w:val="baseline"/>
                <w:lang w:val="en-US" w:eastAsia="zh-CN" w:bidi="ar-SA"/>
              </w:rPr>
              <w:t>〔</w:t>
            </w:r>
            <w:r>
              <w:rPr>
                <w:rFonts w:hint="eastAsia" w:cs="Times New Roman"/>
                <w:b w:val="0"/>
                <w:bCs w:val="0"/>
                <w:color w:val="auto"/>
                <w:kern w:val="0"/>
                <w:sz w:val="24"/>
                <w:szCs w:val="24"/>
                <w:highlight w:val="none"/>
                <w:vertAlign w:val="baseline"/>
                <w:lang w:val="en-US" w:eastAsia="zh-CN" w:bidi="ar-SA"/>
              </w:rPr>
              <w:t>2021</w:t>
            </w:r>
            <w:r>
              <w:rPr>
                <w:rFonts w:hint="eastAsia" w:ascii="仿宋" w:hAnsi="仿宋" w:eastAsia="仿宋" w:cs="仿宋"/>
                <w:b w:val="0"/>
                <w:bCs w:val="0"/>
                <w:color w:val="auto"/>
                <w:kern w:val="0"/>
                <w:sz w:val="24"/>
                <w:szCs w:val="24"/>
                <w:highlight w:val="none"/>
                <w:vertAlign w:val="baseline"/>
                <w:lang w:val="en-US" w:eastAsia="zh-CN" w:bidi="ar-SA"/>
              </w:rPr>
              <w:t>〕</w:t>
            </w:r>
            <w:r>
              <w:rPr>
                <w:rFonts w:hint="eastAsia" w:cs="Times New Roman"/>
                <w:b w:val="0"/>
                <w:bCs w:val="0"/>
                <w:color w:val="auto"/>
                <w:kern w:val="0"/>
                <w:sz w:val="24"/>
                <w:szCs w:val="24"/>
                <w:highlight w:val="none"/>
                <w:vertAlign w:val="baseline"/>
                <w:lang w:val="en-US" w:eastAsia="zh-CN" w:bidi="ar-SA"/>
              </w:rPr>
              <w:t>72号），濮阳市目前有2个地表水饮用水源保护区、1个地下水饮用水源保护区。濮阳市集中式饮用水源地及保护范围情况如下：</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（1）地表水饮用水源保护区</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①中原油田彭楼地表水饮用水源保护区</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一级保护区：黄河干流彭楼引水口下游100米至上游10号坝河道濮阳市界内至黄河左岸连坝坡角线外50米的区域，彭楼引水口至彭楼闸之间输水渠两侧生产堤内的区域，彭楼闸至水源取水口下游100m之间输水渠及两侧50米的区域。</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二级保护区：一级保护区外，黄河干流彭楼引水口至上游范县界河道、濮阳市界内至黄河左岸生产堤内的区域，彭楼闸至彭楼取水口下游300m的输水渠及两侧1000米至黄河大堤外侧的区域。</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②西水坡地表水饮用水源保护区</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一级保护区：黄河干流渠村引水口下游100米至上游青庄1号坝河道濮阳市界内至黄河左岸连坝坡角线外50米的区域，渠村引水口至渠首闸输水渠两侧连坝路之内的区域，渠村沉砂池外200米至黄河大堤外侧及濮清南干渠东侧的区域，西水坡调节池围墙以内的区域。</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二级保护区：一级保护区外，黄河干流渠村引水口至上游8号坝河道濮阳市界内至黄河左岸生产堤以内的区域，渠村沉砂池一级保护区外1000米至黄河大堤外侧的区域。</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（2）地下水饮用水源保护区</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①李子园地下水饮用水源保护区</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一级保护区：取水井外围50米的区域。</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二级保护区：一级保护区外，取水井外围550米所包含的区域。</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准保护区：二级保护区外，北至北线4号水井以北1000米、西至西线6号井以西1000米、南至高铺干渠—濮清南干渠—016县道、东至五星沟西侧范围内的区域。</w:t>
            </w:r>
          </w:p>
          <w:p>
            <w:pPr>
              <w:pStyle w:val="9"/>
              <w:keepNext w:val="0"/>
              <w:keepLines w:val="0"/>
              <w:pageBreakBefore w:val="0"/>
              <w:widowControl w:val="0"/>
              <w:kinsoku/>
              <w:wordWrap/>
              <w:overflowPunct/>
              <w:topLinePunct w:val="0"/>
              <w:autoSpaceDE w:val="0"/>
              <w:autoSpaceDN w:val="0"/>
              <w:bidi w:val="0"/>
              <w:adjustRightInd w:val="0"/>
              <w:snapToGrid w:val="0"/>
              <w:spacing w:before="0" w:beforeLines="0" w:line="500" w:lineRule="exact"/>
              <w:ind w:firstLine="480" w:firstLineChars="200"/>
              <w:textAlignment w:val="baseline"/>
              <w:rPr>
                <w:rFonts w:hint="eastAsia" w:cs="Times New Roman"/>
                <w:b w:val="0"/>
                <w:bCs w:val="0"/>
                <w:color w:val="auto"/>
                <w:kern w:val="0"/>
                <w:sz w:val="24"/>
                <w:szCs w:val="24"/>
                <w:highlight w:val="none"/>
                <w:vertAlign w:val="baseline"/>
                <w:lang w:val="en-US" w:eastAsia="zh-CN" w:bidi="ar-SA"/>
              </w:rPr>
            </w:pPr>
            <w:r>
              <w:rPr>
                <w:rFonts w:hint="eastAsia" w:cs="Times New Roman"/>
                <w:b w:val="0"/>
                <w:bCs w:val="0"/>
                <w:color w:val="auto"/>
                <w:kern w:val="0"/>
                <w:sz w:val="24"/>
                <w:szCs w:val="24"/>
                <w:highlight w:val="none"/>
                <w:vertAlign w:val="baseline"/>
                <w:lang w:val="en-US" w:eastAsia="zh-CN" w:bidi="ar-SA"/>
              </w:rPr>
              <w:t>本项目位于清丰先进制造开发区，距离最近的西水坡地表水水源保护区17.9km，不在其保护区范围内，符合保护规划。</w:t>
            </w:r>
          </w:p>
          <w:p>
            <w:pPr>
              <w:widowControl/>
              <w:spacing w:line="360" w:lineRule="auto"/>
              <w:ind w:firstLine="482" w:firstLineChars="200"/>
              <w:jc w:val="left"/>
              <w:rPr>
                <w:color w:val="auto"/>
                <w:kern w:val="0"/>
                <w:lang w:bidi="ar"/>
              </w:rPr>
            </w:pPr>
            <w:r>
              <w:rPr>
                <w:rFonts w:hint="eastAsia" w:cs="Times New Roman"/>
                <w:b/>
                <w:bCs/>
                <w:color w:val="auto"/>
                <w:kern w:val="0"/>
                <w:sz w:val="24"/>
                <w:szCs w:val="24"/>
                <w:highlight w:val="none"/>
                <w:vertAlign w:val="baseline"/>
                <w:lang w:val="en-US" w:eastAsia="zh-CN" w:bidi="ar-SA"/>
              </w:rPr>
              <w:t>4.2</w:t>
            </w:r>
            <w:r>
              <w:rPr>
                <w:rFonts w:hint="default" w:cs="Times New Roman"/>
                <w:b/>
                <w:bCs/>
                <w:color w:val="auto"/>
                <w:kern w:val="0"/>
                <w:sz w:val="24"/>
                <w:szCs w:val="24"/>
                <w:highlight w:val="none"/>
                <w:vertAlign w:val="baseline"/>
                <w:lang w:val="en-US" w:eastAsia="zh-CN" w:bidi="ar-SA"/>
              </w:rPr>
              <w:t>与县级集中式饮用水源保护区相符性</w:t>
            </w:r>
          </w:p>
          <w:p>
            <w:pPr>
              <w:widowControl/>
              <w:spacing w:line="360" w:lineRule="auto"/>
              <w:ind w:firstLine="480" w:firstLineChars="200"/>
              <w:jc w:val="left"/>
              <w:rPr>
                <w:color w:val="auto"/>
                <w:kern w:val="0"/>
                <w:lang w:bidi="ar"/>
              </w:rPr>
            </w:pPr>
            <w:r>
              <w:rPr>
                <w:color w:val="auto"/>
                <w:kern w:val="0"/>
                <w:lang w:bidi="ar"/>
              </w:rPr>
              <w:t>依据《河南省人民政府办公厅关于印发河南省县级集中式饮用水水源保护区划的通知》（豫政办〔2013〕107号），清丰县集中供水取水地点位于清丰县城关镇八里庄一带，布置在骆家南至纸房一线。清丰县八里庄水源地共有12个取水点，分别为1#骆家村西南、2#卞家村北、3#卞家村东北、4#梅庄北、5#=郝庄西北、6#孟楼北、7#张二庄西北、8#张二庄西、9#张二庄西南、10#也庄村西北、11#也庄村西、12#也庄村西南。每个点位设置一深一浅两眼井，取水点间间距均在500m左右，开采的目的层位分别为：深层水开采层位为深埋330m-500m的含水层组，浅层水含水层主要为60m-150m的含水层组。开采方式采用浅、深井分层开采方案，综合便于井排抽水方式，各井水汇合后采用管道运至清丰县先进制造业开发区水厂，产业集聚区水厂将地下水集中处理后供县城生活用水以及集聚区工业用水。</w:t>
            </w:r>
          </w:p>
          <w:p>
            <w:pPr>
              <w:widowControl/>
              <w:spacing w:line="360" w:lineRule="auto"/>
              <w:ind w:firstLine="480" w:firstLineChars="200"/>
              <w:jc w:val="left"/>
              <w:rPr>
                <w:color w:val="auto"/>
                <w:kern w:val="0"/>
                <w:lang w:bidi="ar"/>
              </w:rPr>
            </w:pPr>
            <w:r>
              <w:rPr>
                <w:color w:val="auto"/>
                <w:kern w:val="0"/>
                <w:lang w:bidi="ar"/>
              </w:rPr>
              <w:t>依据《清丰县集中式饮用水源保护区划分技术报告》，清丰县八里庄地下水井群（共24眼井）一级保护区范围：1～2号、3～4号、5～6号、7～8号、9～10号各组井群外包线内及外围30米、北至</w:t>
            </w:r>
            <w:r>
              <w:rPr>
                <w:rFonts w:hint="eastAsia"/>
                <w:color w:val="auto"/>
                <w:kern w:val="0"/>
                <w:lang w:eastAsia="zh-CN" w:bidi="ar"/>
              </w:rPr>
              <w:t>潴泷河</w:t>
            </w:r>
            <w:r>
              <w:rPr>
                <w:color w:val="auto"/>
                <w:kern w:val="0"/>
                <w:lang w:bidi="ar"/>
              </w:rPr>
              <w:t>所包含的区域；11～12号、13～14号、15～16号、17～18号、19～20号、21～22号、23～24号各组井群外包线内及外围30米的区域。准保护区范围</w:t>
            </w:r>
            <w:r>
              <w:rPr>
                <w:rFonts w:hint="eastAsia"/>
                <w:color w:val="auto"/>
                <w:kern w:val="0"/>
                <w:lang w:bidi="ar"/>
              </w:rPr>
              <w:t>：</w:t>
            </w:r>
            <w:r>
              <w:rPr>
                <w:rFonts w:hint="eastAsia"/>
                <w:color w:val="auto"/>
                <w:kern w:val="0"/>
                <w:lang w:eastAsia="zh-CN" w:bidi="ar"/>
              </w:rPr>
              <w:t>潴泷河</w:t>
            </w:r>
            <w:r>
              <w:rPr>
                <w:color w:val="auto"/>
                <w:kern w:val="0"/>
                <w:lang w:bidi="ar"/>
              </w:rPr>
              <w:t>017县道公路桥上游1560米至下游4166米河道内水域。</w:t>
            </w:r>
          </w:p>
          <w:p>
            <w:pPr>
              <w:widowControl/>
              <w:spacing w:line="360" w:lineRule="auto"/>
              <w:ind w:firstLine="480" w:firstLineChars="200"/>
              <w:jc w:val="left"/>
              <w:rPr>
                <w:color w:val="auto"/>
                <w:kern w:val="0"/>
                <w:highlight w:val="none"/>
                <w:lang w:bidi="ar"/>
              </w:rPr>
            </w:pPr>
            <w:r>
              <w:rPr>
                <w:color w:val="auto"/>
                <w:kern w:val="0"/>
                <w:highlight w:val="none"/>
                <w:lang w:bidi="ar"/>
              </w:rPr>
              <w:t>本项目厂址位于清丰县饮用水源准保护区西南侧</w:t>
            </w:r>
            <w:r>
              <w:rPr>
                <w:rFonts w:hint="eastAsia"/>
                <w:color w:val="auto"/>
                <w:kern w:val="0"/>
                <w:highlight w:val="none"/>
                <w:lang w:val="en-US" w:eastAsia="zh-CN" w:bidi="ar"/>
              </w:rPr>
              <w:t>2.8</w:t>
            </w:r>
            <w:r>
              <w:rPr>
                <w:color w:val="auto"/>
                <w:kern w:val="0"/>
                <w:highlight w:val="none"/>
                <w:lang w:bidi="ar"/>
              </w:rPr>
              <w:t>km，位于饮用水源一级保护区西南侧</w:t>
            </w:r>
            <w:r>
              <w:rPr>
                <w:rFonts w:hint="eastAsia"/>
                <w:color w:val="auto"/>
                <w:kern w:val="0"/>
                <w:highlight w:val="none"/>
                <w:lang w:val="en-US" w:eastAsia="zh-CN" w:bidi="ar"/>
              </w:rPr>
              <w:t>1.2</w:t>
            </w:r>
            <w:r>
              <w:rPr>
                <w:color w:val="auto"/>
                <w:kern w:val="0"/>
                <w:highlight w:val="none"/>
                <w:lang w:bidi="ar"/>
              </w:rPr>
              <w:t>km，不在清丰县八里庄地下水井群保护区范围内，符合清丰县县级饮用水水源地保护规划。</w:t>
            </w:r>
          </w:p>
          <w:p>
            <w:pPr>
              <w:widowControl/>
              <w:spacing w:line="360" w:lineRule="auto"/>
              <w:ind w:firstLine="482" w:firstLineChars="200"/>
              <w:jc w:val="left"/>
              <w:rPr>
                <w:color w:val="auto"/>
                <w:kern w:val="0"/>
                <w:lang w:bidi="ar"/>
              </w:rPr>
            </w:pPr>
            <w:r>
              <w:rPr>
                <w:rFonts w:hint="eastAsia" w:cs="Times New Roman"/>
                <w:b/>
                <w:bCs w:val="0"/>
                <w:color w:val="auto"/>
                <w:sz w:val="24"/>
                <w:highlight w:val="none"/>
                <w:u w:val="none"/>
                <w:lang w:val="en-US" w:eastAsia="zh-CN"/>
              </w:rPr>
              <w:t>4.3与清丰县“千吨万人”集中式饮用水水源保护区相符性</w:t>
            </w:r>
          </w:p>
          <w:p>
            <w:pPr>
              <w:widowControl/>
              <w:spacing w:line="360" w:lineRule="auto"/>
              <w:ind w:firstLine="480" w:firstLineChars="200"/>
              <w:jc w:val="left"/>
              <w:rPr>
                <w:color w:val="auto"/>
                <w:kern w:val="0"/>
                <w:lang w:bidi="ar"/>
              </w:rPr>
            </w:pPr>
            <w:r>
              <w:rPr>
                <w:color w:val="auto"/>
                <w:kern w:val="0"/>
                <w:lang w:bidi="ar"/>
              </w:rPr>
              <w:t>依据《清丰县人民政府办公室关于划分部分集中式饮用水水源保护区的通知》（清政办〔2019〕24号），对全县7个乡镇的8个水厂、21口井集中式饮用水水源保护区划定如下：</w:t>
            </w:r>
          </w:p>
          <w:p>
            <w:pPr>
              <w:widowControl/>
              <w:spacing w:line="360" w:lineRule="auto"/>
              <w:ind w:firstLine="480" w:firstLineChars="200"/>
              <w:jc w:val="left"/>
              <w:rPr>
                <w:color w:val="auto"/>
                <w:kern w:val="0"/>
                <w:lang w:bidi="ar"/>
              </w:rPr>
            </w:pPr>
            <w:r>
              <w:rPr>
                <w:color w:val="auto"/>
                <w:kern w:val="0"/>
                <w:lang w:bidi="ar"/>
              </w:rPr>
              <w:t>（一）高堡乡</w:t>
            </w:r>
          </w:p>
          <w:p>
            <w:pPr>
              <w:widowControl/>
              <w:spacing w:line="360" w:lineRule="auto"/>
              <w:ind w:firstLine="480" w:firstLineChars="200"/>
              <w:jc w:val="left"/>
              <w:rPr>
                <w:color w:val="auto"/>
                <w:kern w:val="0"/>
                <w:lang w:bidi="ar"/>
              </w:rPr>
            </w:pPr>
            <w:r>
              <w:rPr>
                <w:color w:val="auto"/>
                <w:kern w:val="0"/>
                <w:lang w:bidi="ar"/>
              </w:rPr>
              <w:t>1．清丰县高堡乡王庄供水厂饮用水源保护区</w:t>
            </w:r>
          </w:p>
          <w:p>
            <w:pPr>
              <w:widowControl/>
              <w:spacing w:line="360" w:lineRule="auto"/>
              <w:ind w:firstLine="480" w:firstLineChars="200"/>
              <w:jc w:val="left"/>
              <w:rPr>
                <w:color w:val="auto"/>
                <w:kern w:val="0"/>
                <w:lang w:bidi="ar"/>
              </w:rPr>
            </w:pPr>
            <w:r>
              <w:rPr>
                <w:color w:val="auto"/>
                <w:kern w:val="0"/>
                <w:lang w:bidi="ar"/>
              </w:rPr>
              <w:t>一级保护区范围：以外围井的外接多边形为边界，向外径向30米距离的区域。</w:t>
            </w:r>
          </w:p>
          <w:p>
            <w:pPr>
              <w:widowControl/>
              <w:spacing w:line="360" w:lineRule="auto"/>
              <w:ind w:firstLine="480" w:firstLineChars="200"/>
              <w:jc w:val="left"/>
              <w:rPr>
                <w:color w:val="auto"/>
                <w:kern w:val="0"/>
                <w:lang w:bidi="ar"/>
              </w:rPr>
            </w:pPr>
            <w:r>
              <w:rPr>
                <w:color w:val="auto"/>
                <w:kern w:val="0"/>
                <w:lang w:bidi="ar"/>
              </w:rPr>
              <w:t>2．清丰县高堡乡第三供水厂饮用水源保护区</w:t>
            </w:r>
          </w:p>
          <w:p>
            <w:pPr>
              <w:widowControl/>
              <w:spacing w:line="360" w:lineRule="auto"/>
              <w:ind w:firstLine="480" w:firstLineChars="200"/>
              <w:jc w:val="left"/>
              <w:rPr>
                <w:color w:val="auto"/>
                <w:kern w:val="0"/>
                <w:lang w:bidi="ar"/>
              </w:rPr>
            </w:pPr>
            <w:r>
              <w:rPr>
                <w:color w:val="auto"/>
                <w:kern w:val="0"/>
                <w:lang w:bidi="ar"/>
              </w:rPr>
              <w:t>一级保护区范围：1号水井以开采井为中心，半径30米的区域；2号水井以开采井为中心，半径30米的区域；3号水井以开采井为中心，半径30米的区域。</w:t>
            </w:r>
          </w:p>
          <w:p>
            <w:pPr>
              <w:widowControl/>
              <w:spacing w:line="360" w:lineRule="auto"/>
              <w:ind w:firstLine="480" w:firstLineChars="200"/>
              <w:jc w:val="left"/>
              <w:rPr>
                <w:color w:val="auto"/>
                <w:kern w:val="0"/>
                <w:lang w:bidi="ar"/>
              </w:rPr>
            </w:pPr>
            <w:r>
              <w:rPr>
                <w:color w:val="auto"/>
                <w:kern w:val="0"/>
                <w:lang w:bidi="ar"/>
              </w:rPr>
              <w:t>（二）纸房乡</w:t>
            </w:r>
          </w:p>
          <w:p>
            <w:pPr>
              <w:widowControl/>
              <w:spacing w:line="360" w:lineRule="auto"/>
              <w:ind w:firstLine="480" w:firstLineChars="200"/>
              <w:jc w:val="left"/>
              <w:rPr>
                <w:color w:val="auto"/>
                <w:kern w:val="0"/>
                <w:lang w:bidi="ar"/>
              </w:rPr>
            </w:pPr>
            <w:r>
              <w:rPr>
                <w:color w:val="auto"/>
                <w:kern w:val="0"/>
                <w:lang w:bidi="ar"/>
              </w:rPr>
              <w:t>清丰县纸房乡谢朱娄供水厂饮用水源保护区</w:t>
            </w:r>
          </w:p>
          <w:p>
            <w:pPr>
              <w:widowControl/>
              <w:spacing w:line="360" w:lineRule="auto"/>
              <w:ind w:firstLine="480" w:firstLineChars="200"/>
              <w:jc w:val="left"/>
              <w:rPr>
                <w:rFonts w:hint="eastAsia" w:eastAsia="宋体"/>
                <w:color w:val="auto"/>
                <w:kern w:val="0"/>
                <w:lang w:eastAsia="zh-CN" w:bidi="ar"/>
              </w:rPr>
            </w:pPr>
            <w:r>
              <w:rPr>
                <w:color w:val="auto"/>
                <w:kern w:val="0"/>
                <w:lang w:bidi="ar"/>
              </w:rPr>
              <w:t>一级保护区范围：以外围井的外接多边形为边界，向外径向30米距离的区域。</w:t>
            </w:r>
          </w:p>
          <w:p>
            <w:pPr>
              <w:widowControl/>
              <w:spacing w:line="360" w:lineRule="auto"/>
              <w:ind w:firstLine="480" w:firstLineChars="200"/>
              <w:jc w:val="left"/>
              <w:rPr>
                <w:color w:val="auto"/>
                <w:kern w:val="0"/>
                <w:lang w:bidi="ar"/>
              </w:rPr>
            </w:pPr>
            <w:r>
              <w:rPr>
                <w:color w:val="auto"/>
                <w:kern w:val="0"/>
                <w:lang w:bidi="ar"/>
              </w:rPr>
              <w:t>（三）瓦屋头镇</w:t>
            </w:r>
          </w:p>
          <w:p>
            <w:pPr>
              <w:widowControl/>
              <w:spacing w:line="360" w:lineRule="auto"/>
              <w:ind w:firstLine="480" w:firstLineChars="200"/>
              <w:jc w:val="left"/>
              <w:rPr>
                <w:color w:val="auto"/>
                <w:kern w:val="0"/>
                <w:lang w:bidi="ar"/>
              </w:rPr>
            </w:pPr>
            <w:r>
              <w:rPr>
                <w:color w:val="auto"/>
                <w:kern w:val="0"/>
                <w:lang w:bidi="ar"/>
              </w:rPr>
              <w:t>清丰县瓦屋头镇第二供水厂饮用水源保护区</w:t>
            </w:r>
          </w:p>
          <w:p>
            <w:pPr>
              <w:widowControl/>
              <w:spacing w:line="360" w:lineRule="auto"/>
              <w:ind w:firstLine="480" w:firstLineChars="200"/>
              <w:jc w:val="left"/>
              <w:rPr>
                <w:color w:val="auto"/>
                <w:kern w:val="0"/>
                <w:lang w:bidi="ar"/>
              </w:rPr>
            </w:pPr>
            <w:r>
              <w:rPr>
                <w:color w:val="auto"/>
                <w:kern w:val="0"/>
                <w:lang w:bidi="ar"/>
              </w:rPr>
              <w:t>一级保护区范围：1号水井以开采井为中心，半径30米的区域；2号水井以开采井为中心，半径30米的区域，其中西侧以道路为界；3号水井以开采井为中心，半径30米的区域；4号水井以开采井为中心，半径30米的区域，其中南侧以瓦屋头镇第二中学北侧外墙为界。</w:t>
            </w:r>
          </w:p>
          <w:p>
            <w:pPr>
              <w:widowControl/>
              <w:spacing w:line="360" w:lineRule="auto"/>
              <w:ind w:firstLine="480" w:firstLineChars="200"/>
              <w:jc w:val="left"/>
              <w:rPr>
                <w:color w:val="auto"/>
                <w:kern w:val="0"/>
                <w:lang w:bidi="ar"/>
              </w:rPr>
            </w:pPr>
            <w:r>
              <w:rPr>
                <w:color w:val="auto"/>
                <w:kern w:val="0"/>
                <w:lang w:bidi="ar"/>
              </w:rPr>
              <w:t>（四）马庄桥镇</w:t>
            </w:r>
          </w:p>
          <w:p>
            <w:pPr>
              <w:widowControl/>
              <w:spacing w:line="360" w:lineRule="auto"/>
              <w:ind w:firstLine="480" w:firstLineChars="200"/>
              <w:jc w:val="left"/>
              <w:rPr>
                <w:color w:val="auto"/>
                <w:kern w:val="0"/>
                <w:lang w:bidi="ar"/>
              </w:rPr>
            </w:pPr>
            <w:r>
              <w:rPr>
                <w:color w:val="auto"/>
                <w:kern w:val="0"/>
                <w:lang w:bidi="ar"/>
              </w:rPr>
              <w:t>清丰县马庄桥镇供水厂饮用水源保护区</w:t>
            </w:r>
          </w:p>
          <w:p>
            <w:pPr>
              <w:widowControl/>
              <w:spacing w:line="360" w:lineRule="auto"/>
              <w:ind w:firstLine="480" w:firstLineChars="200"/>
              <w:jc w:val="left"/>
              <w:rPr>
                <w:color w:val="auto"/>
                <w:kern w:val="0"/>
                <w:lang w:bidi="ar"/>
              </w:rPr>
            </w:pPr>
            <w:r>
              <w:rPr>
                <w:color w:val="auto"/>
                <w:kern w:val="0"/>
                <w:lang w:bidi="ar"/>
              </w:rPr>
              <w:t>一级保护区范围：以外围井的外接多边形为边界，向外径向30米距离的区域。</w:t>
            </w:r>
          </w:p>
          <w:p>
            <w:pPr>
              <w:widowControl/>
              <w:spacing w:line="360" w:lineRule="auto"/>
              <w:ind w:firstLine="480" w:firstLineChars="200"/>
              <w:jc w:val="left"/>
              <w:rPr>
                <w:color w:val="auto"/>
                <w:kern w:val="0"/>
                <w:lang w:bidi="ar"/>
              </w:rPr>
            </w:pPr>
            <w:r>
              <w:rPr>
                <w:color w:val="auto"/>
                <w:kern w:val="0"/>
                <w:lang w:bidi="ar"/>
              </w:rPr>
              <w:t>（五）大流乡</w:t>
            </w:r>
          </w:p>
          <w:p>
            <w:pPr>
              <w:widowControl/>
              <w:spacing w:line="360" w:lineRule="auto"/>
              <w:ind w:firstLine="480" w:firstLineChars="200"/>
              <w:jc w:val="left"/>
              <w:rPr>
                <w:color w:val="auto"/>
                <w:kern w:val="0"/>
                <w:lang w:bidi="ar"/>
              </w:rPr>
            </w:pPr>
            <w:r>
              <w:rPr>
                <w:color w:val="auto"/>
                <w:kern w:val="0"/>
                <w:lang w:bidi="ar"/>
              </w:rPr>
              <w:t>清丰县大流乡供水厂饮用水源保护区一级保护区范围：1号井以单个开采井为中心，半径30米的区域；2号与3号井以外围井的外接多边形为边界，向外径向30米距离的区域。</w:t>
            </w:r>
          </w:p>
          <w:p>
            <w:pPr>
              <w:widowControl/>
              <w:spacing w:line="360" w:lineRule="auto"/>
              <w:ind w:firstLine="480" w:firstLineChars="200"/>
              <w:jc w:val="left"/>
              <w:rPr>
                <w:color w:val="auto"/>
                <w:kern w:val="0"/>
                <w:lang w:bidi="ar"/>
              </w:rPr>
            </w:pPr>
            <w:r>
              <w:rPr>
                <w:color w:val="auto"/>
                <w:kern w:val="0"/>
                <w:lang w:bidi="ar"/>
              </w:rPr>
              <w:t>（六）双庙乡</w:t>
            </w:r>
          </w:p>
          <w:p>
            <w:pPr>
              <w:widowControl/>
              <w:spacing w:line="360" w:lineRule="auto"/>
              <w:ind w:firstLine="480" w:firstLineChars="200"/>
              <w:jc w:val="left"/>
              <w:rPr>
                <w:color w:val="auto"/>
                <w:kern w:val="0"/>
                <w:lang w:bidi="ar"/>
              </w:rPr>
            </w:pPr>
            <w:r>
              <w:rPr>
                <w:color w:val="auto"/>
                <w:kern w:val="0"/>
                <w:lang w:bidi="ar"/>
              </w:rPr>
              <w:t>清丰县双庙乡供水厂饮用水源保护区</w:t>
            </w:r>
          </w:p>
          <w:p>
            <w:pPr>
              <w:widowControl/>
              <w:spacing w:line="360" w:lineRule="auto"/>
              <w:ind w:firstLine="480" w:firstLineChars="200"/>
              <w:jc w:val="left"/>
              <w:rPr>
                <w:color w:val="auto"/>
                <w:kern w:val="0"/>
                <w:lang w:bidi="ar"/>
              </w:rPr>
            </w:pPr>
            <w:r>
              <w:rPr>
                <w:color w:val="auto"/>
                <w:kern w:val="0"/>
                <w:lang w:bidi="ar"/>
              </w:rPr>
              <w:t>一级保护区范围：1号井以单个开采井为中心，半径30米的区域；2号井以单个开采井为中心，半径30米的区域。</w:t>
            </w:r>
          </w:p>
          <w:p>
            <w:pPr>
              <w:widowControl/>
              <w:spacing w:line="360" w:lineRule="auto"/>
              <w:ind w:firstLine="480" w:firstLineChars="200"/>
              <w:jc w:val="left"/>
              <w:rPr>
                <w:color w:val="auto"/>
                <w:kern w:val="0"/>
                <w:lang w:bidi="ar"/>
              </w:rPr>
            </w:pPr>
            <w:r>
              <w:rPr>
                <w:color w:val="auto"/>
                <w:kern w:val="0"/>
                <w:lang w:bidi="ar"/>
              </w:rPr>
              <w:t>（七）柳格镇</w:t>
            </w:r>
          </w:p>
          <w:p>
            <w:pPr>
              <w:widowControl/>
              <w:spacing w:line="360" w:lineRule="auto"/>
              <w:ind w:firstLine="480" w:firstLineChars="200"/>
              <w:jc w:val="left"/>
              <w:rPr>
                <w:color w:val="auto"/>
                <w:kern w:val="0"/>
                <w:lang w:bidi="ar"/>
              </w:rPr>
            </w:pPr>
            <w:r>
              <w:rPr>
                <w:color w:val="auto"/>
                <w:kern w:val="0"/>
                <w:lang w:bidi="ar"/>
              </w:rPr>
              <w:t>清丰县柳格镇供水厂饮用水源保护区</w:t>
            </w:r>
          </w:p>
          <w:p>
            <w:pPr>
              <w:widowControl/>
              <w:spacing w:line="360" w:lineRule="auto"/>
              <w:ind w:firstLine="480" w:firstLineChars="200"/>
              <w:jc w:val="left"/>
              <w:rPr>
                <w:color w:val="auto"/>
                <w:kern w:val="0"/>
                <w:lang w:bidi="ar"/>
              </w:rPr>
            </w:pPr>
            <w:r>
              <w:rPr>
                <w:color w:val="auto"/>
                <w:kern w:val="0"/>
                <w:lang w:bidi="ar"/>
              </w:rPr>
              <w:t>一级保护区范围：1号井以单个开采井为中心，半径30米的区域。</w:t>
            </w:r>
          </w:p>
          <w:p>
            <w:pPr>
              <w:widowControl/>
              <w:shd w:val="clear"/>
              <w:spacing w:line="360" w:lineRule="auto"/>
              <w:ind w:firstLine="480" w:firstLineChars="200"/>
              <w:jc w:val="left"/>
              <w:rPr>
                <w:color w:val="auto"/>
                <w:kern w:val="0"/>
                <w:highlight w:val="none"/>
                <w:lang w:bidi="ar"/>
              </w:rPr>
            </w:pPr>
            <w:r>
              <w:rPr>
                <w:color w:val="auto"/>
                <w:kern w:val="0"/>
                <w:highlight w:val="none"/>
                <w:lang w:bidi="ar"/>
              </w:rPr>
              <w:t>距离本项目厂址最近的乡镇饮用水源地保护区为清丰县柳格镇供水厂饮用水源保护区，位于本项目厂址南侧约2.</w:t>
            </w:r>
            <w:r>
              <w:rPr>
                <w:rFonts w:hint="eastAsia"/>
                <w:color w:val="auto"/>
                <w:kern w:val="0"/>
                <w:highlight w:val="none"/>
                <w:lang w:val="en-US" w:eastAsia="zh-CN" w:bidi="ar"/>
              </w:rPr>
              <w:t>7</w:t>
            </w:r>
            <w:r>
              <w:rPr>
                <w:color w:val="auto"/>
                <w:kern w:val="0"/>
                <w:highlight w:val="none"/>
                <w:lang w:bidi="ar"/>
              </w:rPr>
              <w:t>km，</w:t>
            </w:r>
            <w:r>
              <w:rPr>
                <w:rFonts w:hint="eastAsia"/>
                <w:color w:val="auto"/>
                <w:kern w:val="0"/>
                <w:highlight w:val="none"/>
                <w:lang w:val="en-US" w:eastAsia="zh-CN" w:bidi="ar"/>
              </w:rPr>
              <w:t>本项目</w:t>
            </w:r>
            <w:r>
              <w:rPr>
                <w:color w:val="auto"/>
                <w:kern w:val="0"/>
                <w:highlight w:val="none"/>
                <w:lang w:bidi="ar"/>
              </w:rPr>
              <w:t>不在清丰县柳格镇供水厂饮用水源保护区范围内，符合清丰县乡镇级“千吨万人”饮用水水源地保护规划</w:t>
            </w:r>
            <w:r>
              <w:rPr>
                <w:rFonts w:hint="eastAsia"/>
                <w:color w:val="auto"/>
                <w:kern w:val="0"/>
                <w:highlight w:val="none"/>
                <w:lang w:bidi="ar"/>
              </w:rPr>
              <w:t>。</w:t>
            </w:r>
          </w:p>
          <w:p>
            <w:pPr>
              <w:pStyle w:val="11"/>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482" w:firstLineChars="200"/>
              <w:jc w:val="both"/>
              <w:textAlignment w:val="auto"/>
              <w:rPr>
                <w:rFonts w:hint="default" w:ascii="Times New Roman" w:hAnsi="Times New Roman" w:cs="Times New Roman"/>
                <w:b/>
                <w:bCs/>
                <w:sz w:val="24"/>
                <w:szCs w:val="24"/>
                <w:highlight w:val="none"/>
                <w:u w:val="single"/>
                <w:lang w:val="en-US" w:eastAsia="zh-CN"/>
              </w:rPr>
            </w:pPr>
            <w:r>
              <w:rPr>
                <w:rFonts w:hint="eastAsia"/>
                <w:b/>
                <w:bCs/>
                <w:color w:val="auto"/>
                <w:kern w:val="0"/>
                <w:u w:val="single"/>
                <w:lang w:val="en-US" w:eastAsia="zh-CN" w:bidi="ar"/>
              </w:rPr>
              <w:t>5、</w:t>
            </w:r>
            <w:r>
              <w:rPr>
                <w:rFonts w:hint="default" w:ascii="Times New Roman" w:hAnsi="Times New Roman" w:cs="Times New Roman"/>
                <w:b/>
                <w:bCs/>
                <w:sz w:val="24"/>
                <w:szCs w:val="24"/>
                <w:highlight w:val="none"/>
                <w:u w:val="single"/>
                <w:lang w:val="en-US" w:eastAsia="zh-CN"/>
              </w:rPr>
              <w:t>项目选址可行性分析</w:t>
            </w:r>
          </w:p>
          <w:p>
            <w:pPr>
              <w:widowControl/>
              <w:spacing w:line="360" w:lineRule="auto"/>
              <w:ind w:firstLine="482" w:firstLineChars="200"/>
              <w:jc w:val="left"/>
              <w:rPr>
                <w:rFonts w:hint="eastAsia" w:ascii="Times New Roman" w:hAnsi="Times New Roman" w:cs="Times New Roman"/>
                <w:b/>
                <w:bCs/>
                <w:color w:val="auto"/>
                <w:kern w:val="0"/>
                <w:u w:val="single"/>
                <w:lang w:val="en-US" w:eastAsia="zh-CN" w:bidi="ar"/>
              </w:rPr>
            </w:pPr>
            <w:r>
              <w:rPr>
                <w:rFonts w:hint="default" w:ascii="Times New Roman" w:hAnsi="Times New Roman" w:cs="Times New Roman"/>
                <w:b/>
                <w:bCs/>
                <w:color w:val="auto"/>
                <w:kern w:val="0"/>
                <w:u w:val="single"/>
                <w:lang w:val="en-US" w:eastAsia="zh-CN" w:bidi="ar"/>
              </w:rPr>
              <w:t>本项目位于</w:t>
            </w:r>
            <w:r>
              <w:rPr>
                <w:rFonts w:hint="eastAsia" w:ascii="Times New Roman" w:hAnsi="Times New Roman" w:cs="Times New Roman"/>
                <w:b/>
                <w:bCs/>
                <w:color w:val="auto"/>
                <w:u w:val="single"/>
                <w:lang w:val="en-US"/>
              </w:rPr>
              <w:t>濮阳市</w:t>
            </w:r>
            <w:r>
              <w:rPr>
                <w:rFonts w:hint="eastAsia" w:ascii="Times New Roman" w:hAnsi="Times New Roman" w:cs="Times New Roman"/>
                <w:b/>
                <w:bCs/>
                <w:color w:val="auto"/>
                <w:u w:val="single"/>
                <w:lang w:val="en-US" w:eastAsia="zh-CN"/>
              </w:rPr>
              <w:t>清丰县先进制造业开发区伯特利家具产业园东环路东侧、兴园路南侧2号车间</w:t>
            </w:r>
            <w:r>
              <w:rPr>
                <w:rFonts w:hint="eastAsia" w:ascii="Times New Roman" w:hAnsi="Times New Roman" w:cs="Times New Roman"/>
                <w:b/>
                <w:bCs/>
                <w:color w:val="auto"/>
                <w:kern w:val="0"/>
                <w:u w:val="single"/>
                <w:lang w:val="en-US" w:eastAsia="zh-CN" w:bidi="ar"/>
              </w:rPr>
              <w:t>，本项目所在位置属于清丰县先进制造业开发区中城区综合制造产业园，用地为工业用地，该项目符合清丰县先进制造业开发区总体规划，已</w:t>
            </w:r>
            <w:r>
              <w:rPr>
                <w:rFonts w:hint="eastAsia" w:cs="Times New Roman"/>
                <w:b/>
                <w:bCs/>
                <w:color w:val="auto"/>
                <w:kern w:val="0"/>
                <w:u w:val="single"/>
                <w:lang w:val="en-US" w:eastAsia="zh-CN" w:bidi="ar"/>
              </w:rPr>
              <w:t>经取</w:t>
            </w:r>
            <w:r>
              <w:rPr>
                <w:rFonts w:hint="eastAsia" w:ascii="Times New Roman" w:hAnsi="Times New Roman" w:cs="Times New Roman"/>
                <w:b/>
                <w:bCs/>
                <w:color w:val="auto"/>
                <w:kern w:val="0"/>
                <w:u w:val="single"/>
                <w:lang w:val="en-US" w:eastAsia="zh-CN" w:bidi="ar"/>
              </w:rPr>
              <w:t>得清丰县先进制造业开发区管理委员会同意准予入驻（见附件5），租赁冠美（清丰县）家具有限公司闲置厂房</w:t>
            </w:r>
            <w:r>
              <w:rPr>
                <w:rFonts w:hint="default" w:ascii="Times New Roman" w:hAnsi="Times New Roman" w:cs="Times New Roman"/>
                <w:b/>
                <w:bCs/>
                <w:color w:val="auto"/>
                <w:kern w:val="0"/>
                <w:u w:val="single"/>
                <w:lang w:val="en-US" w:eastAsia="zh-CN" w:bidi="ar"/>
              </w:rPr>
              <w:t>，</w:t>
            </w:r>
            <w:r>
              <w:rPr>
                <w:rFonts w:hint="eastAsia" w:ascii="Times New Roman" w:hAnsi="Times New Roman" w:cs="Times New Roman"/>
                <w:b/>
                <w:bCs/>
                <w:color w:val="auto"/>
                <w:kern w:val="0"/>
                <w:u w:val="single"/>
                <w:lang w:val="en-US" w:eastAsia="zh-CN" w:bidi="ar"/>
              </w:rPr>
              <w:t>项目北侧为平盛木业，西侧为途辉家具，南侧为</w:t>
            </w:r>
            <w:r>
              <w:rPr>
                <w:rFonts w:hint="eastAsia" w:ascii="Times New Roman" w:hAnsi="Times New Roman" w:cs="Times New Roman"/>
                <w:b/>
                <w:bCs/>
                <w:color w:val="auto"/>
                <w:u w:val="single"/>
                <w:lang w:val="en-US" w:eastAsia="zh-CN"/>
              </w:rPr>
              <w:t>伯特利家具产业园内其他企业</w:t>
            </w:r>
            <w:r>
              <w:rPr>
                <w:rFonts w:hint="eastAsia" w:ascii="Times New Roman" w:hAnsi="Times New Roman" w:cs="Times New Roman"/>
                <w:b/>
                <w:bCs/>
                <w:color w:val="auto"/>
                <w:kern w:val="0"/>
                <w:u w:val="single"/>
                <w:lang w:val="en-US" w:eastAsia="zh-CN" w:bidi="ar"/>
              </w:rPr>
              <w:t>。本项目建成后产生的废气和噪声经采取相应的措施治理后可达标排放，对周边环境空气质量和声环境影响较小。</w:t>
            </w:r>
          </w:p>
          <w:p>
            <w:pPr>
              <w:widowControl/>
              <w:spacing w:line="360" w:lineRule="auto"/>
              <w:ind w:firstLine="482" w:firstLineChars="200"/>
              <w:jc w:val="left"/>
              <w:rPr>
                <w:rFonts w:hint="default" w:ascii="Times New Roman" w:hAnsi="Times New Roman" w:cs="Times New Roman"/>
                <w:b/>
                <w:bCs/>
                <w:color w:val="auto"/>
                <w:kern w:val="0"/>
                <w:u w:val="single"/>
                <w:lang w:bidi="ar"/>
              </w:rPr>
            </w:pPr>
            <w:r>
              <w:rPr>
                <w:rFonts w:hint="eastAsia" w:ascii="Times New Roman" w:hAnsi="Times New Roman" w:cs="Times New Roman"/>
                <w:b/>
                <w:bCs/>
                <w:color w:val="auto"/>
                <w:kern w:val="0"/>
                <w:u w:val="single"/>
                <w:lang w:val="en-US" w:eastAsia="zh-CN" w:bidi="ar"/>
              </w:rPr>
              <w:t>综上分析，本项目对周边环境影响较小，从环保角度看，该项目选址是可行合理的。</w:t>
            </w:r>
          </w:p>
          <w:p>
            <w:pPr>
              <w:widowControl/>
              <w:spacing w:line="360" w:lineRule="auto"/>
              <w:ind w:firstLine="480" w:firstLineChars="200"/>
              <w:jc w:val="left"/>
              <w:rPr>
                <w:rFonts w:hint="eastAsia" w:ascii="Times New Roman" w:hAnsi="Times New Roman" w:cs="Times New Roman"/>
                <w:color w:val="auto"/>
                <w:kern w:val="0"/>
                <w:lang w:val="en-US" w:eastAsia="zh-CN" w:bidi="ar"/>
              </w:rPr>
            </w:pPr>
          </w:p>
          <w:p>
            <w:pPr>
              <w:widowControl/>
              <w:spacing w:line="360" w:lineRule="auto"/>
              <w:ind w:firstLine="480" w:firstLineChars="200"/>
              <w:jc w:val="left"/>
              <w:rPr>
                <w:rFonts w:ascii="Times New Roman" w:hAnsi="Times New Roman" w:cs="Times New Roman"/>
                <w:color w:val="auto"/>
                <w:kern w:val="0"/>
                <w:lang w:bidi="ar"/>
              </w:rPr>
            </w:pPr>
          </w:p>
          <w:p>
            <w:pPr>
              <w:widowControl/>
              <w:spacing w:line="360" w:lineRule="auto"/>
              <w:ind w:firstLine="480" w:firstLineChars="200"/>
              <w:jc w:val="left"/>
              <w:rPr>
                <w:color w:val="auto"/>
                <w:kern w:val="0"/>
                <w:lang w:bidi="ar"/>
              </w:rPr>
            </w:pPr>
          </w:p>
          <w:p>
            <w:pPr>
              <w:widowControl/>
              <w:spacing w:line="360" w:lineRule="auto"/>
              <w:ind w:firstLine="480" w:firstLineChars="200"/>
              <w:jc w:val="left"/>
              <w:rPr>
                <w:color w:val="auto"/>
                <w:kern w:val="0"/>
                <w:lang w:bidi="ar"/>
              </w:rPr>
            </w:pPr>
          </w:p>
          <w:p>
            <w:pPr>
              <w:widowControl/>
              <w:spacing w:line="360" w:lineRule="auto"/>
              <w:ind w:firstLine="480" w:firstLineChars="200"/>
              <w:jc w:val="left"/>
              <w:rPr>
                <w:color w:val="auto"/>
                <w:kern w:val="0"/>
                <w:lang w:bidi="ar"/>
              </w:rPr>
            </w:pPr>
          </w:p>
          <w:p>
            <w:pPr>
              <w:widowControl/>
              <w:spacing w:line="360" w:lineRule="auto"/>
              <w:ind w:firstLine="480" w:firstLineChars="200"/>
              <w:jc w:val="left"/>
              <w:rPr>
                <w:color w:val="auto"/>
                <w:kern w:val="0"/>
                <w:lang w:bidi="ar"/>
              </w:rPr>
            </w:pPr>
          </w:p>
          <w:p>
            <w:pPr>
              <w:widowControl/>
              <w:spacing w:line="360" w:lineRule="auto"/>
              <w:ind w:firstLine="480" w:firstLineChars="200"/>
              <w:jc w:val="left"/>
              <w:rPr>
                <w:color w:val="auto"/>
                <w:kern w:val="0"/>
                <w:lang w:bidi="ar"/>
              </w:rPr>
            </w:pPr>
          </w:p>
          <w:p>
            <w:pPr>
              <w:widowControl/>
              <w:spacing w:line="360" w:lineRule="auto"/>
              <w:ind w:firstLine="480" w:firstLineChars="200"/>
              <w:jc w:val="left"/>
              <w:rPr>
                <w:color w:val="auto"/>
                <w:kern w:val="0"/>
                <w:lang w:bidi="ar"/>
              </w:rPr>
            </w:pPr>
          </w:p>
          <w:p>
            <w:pPr>
              <w:widowControl/>
              <w:spacing w:line="360" w:lineRule="auto"/>
              <w:ind w:firstLine="480" w:firstLineChars="200"/>
              <w:jc w:val="left"/>
              <w:rPr>
                <w:color w:val="auto"/>
              </w:rPr>
            </w:pPr>
          </w:p>
        </w:tc>
      </w:tr>
    </w:tbl>
    <w:p>
      <w:pPr>
        <w:pStyle w:val="3"/>
        <w:spacing w:before="0" w:after="0" w:line="360" w:lineRule="auto"/>
        <w:jc w:val="center"/>
        <w:rPr>
          <w:color w:val="auto"/>
        </w:rPr>
      </w:pPr>
      <w:bookmarkStart w:id="6" w:name="_Toc31387"/>
      <w:r>
        <w:rPr>
          <w:rFonts w:hint="eastAsia"/>
          <w:color w:val="auto"/>
        </w:rPr>
        <w:t>二、建设项目工程分析</w:t>
      </w:r>
      <w:bookmarkEnd w:id="6"/>
    </w:p>
    <w:tbl>
      <w:tblPr>
        <w:tblStyle w:val="23"/>
        <w:tblW w:w="10125"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8"/>
        <w:gridCol w:w="940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181" w:hRule="atLeast"/>
          <w:jc w:val="center"/>
        </w:trPr>
        <w:tc>
          <w:tcPr>
            <w:tcW w:w="718" w:type="dxa"/>
            <w:tcBorders>
              <w:tl2br w:val="nil"/>
              <w:tr2bl w:val="nil"/>
            </w:tcBorders>
            <w:vAlign w:val="center"/>
          </w:tcPr>
          <w:p>
            <w:pPr>
              <w:jc w:val="center"/>
              <w:rPr>
                <w:rFonts w:eastAsia="黑体"/>
                <w:color w:val="auto"/>
              </w:rPr>
            </w:pPr>
            <w:r>
              <w:rPr>
                <w:rFonts w:hint="eastAsia" w:ascii="宋体" w:hAnsi="宋体" w:cs="宋体"/>
                <w:b/>
                <w:bCs/>
                <w:color w:val="auto"/>
                <w:kern w:val="21"/>
                <w:szCs w:val="21"/>
              </w:rPr>
              <w:t>建设内容</w:t>
            </w:r>
          </w:p>
        </w:tc>
        <w:tc>
          <w:tcPr>
            <w:tcW w:w="9407" w:type="dxa"/>
            <w:tcBorders>
              <w:tl2br w:val="nil"/>
              <w:tr2bl w:val="nil"/>
            </w:tcBorders>
          </w:tcPr>
          <w:p>
            <w:pPr>
              <w:pStyle w:val="25"/>
              <w:spacing w:line="520" w:lineRule="exact"/>
              <w:ind w:firstLine="480" w:firstLineChars="200"/>
              <w:jc w:val="both"/>
              <w:rPr>
                <w:rFonts w:ascii="Times New Roman" w:hAnsi="Times New Roman" w:cs="Times New Roman"/>
                <w:color w:val="auto"/>
                <w:highlight w:val="none"/>
                <w:lang w:val="en-US"/>
              </w:rPr>
            </w:pPr>
            <w:r>
              <w:rPr>
                <w:rFonts w:hint="eastAsia" w:ascii="Times New Roman" w:hAnsi="Times New Roman" w:cs="Times New Roman"/>
                <w:color w:val="auto"/>
                <w:lang w:val="en-US" w:eastAsia="zh-CN"/>
              </w:rPr>
              <w:t>清丰县鑫星辉酒店家具有限公司</w:t>
            </w:r>
            <w:r>
              <w:rPr>
                <w:rFonts w:hint="eastAsia" w:ascii="Times New Roman" w:hAnsi="Times New Roman" w:cs="Times New Roman"/>
                <w:color w:val="auto"/>
                <w:lang w:val="en-US"/>
              </w:rPr>
              <w:t>位于濮阳市</w:t>
            </w:r>
            <w:r>
              <w:rPr>
                <w:rFonts w:hint="eastAsia" w:ascii="Times New Roman" w:hAnsi="Times New Roman" w:cs="Times New Roman"/>
                <w:color w:val="auto"/>
                <w:lang w:val="en-US" w:eastAsia="zh-CN"/>
              </w:rPr>
              <w:t>清丰县先进制造业开发区伯特利家具产业园东环路东侧、兴园路南侧2号车间</w:t>
            </w:r>
            <w:r>
              <w:rPr>
                <w:rFonts w:hint="eastAsia" w:ascii="Times New Roman" w:hAnsi="Times New Roman" w:cs="Times New Roman"/>
                <w:color w:val="auto"/>
                <w:lang w:val="en-US"/>
              </w:rPr>
              <w:t>，</w:t>
            </w:r>
            <w:r>
              <w:rPr>
                <w:rFonts w:hint="eastAsia" w:ascii="Times New Roman" w:hAnsi="Times New Roman" w:cs="Times New Roman"/>
                <w:color w:val="auto"/>
                <w:lang w:val="en-US" w:eastAsia="zh-CN"/>
              </w:rPr>
              <w:t>项目租赁冠美(清丰县)家具有限公司2号车间，</w:t>
            </w:r>
            <w:r>
              <w:rPr>
                <w:rFonts w:hint="eastAsia" w:ascii="Times New Roman" w:hAnsi="Times New Roman" w:cs="Times New Roman"/>
                <w:color w:val="auto"/>
                <w:highlight w:val="none"/>
                <w:lang w:val="en-US" w:eastAsia="zh-CN"/>
              </w:rPr>
              <w:t>厂房</w:t>
            </w:r>
            <w:r>
              <w:rPr>
                <w:rFonts w:hint="eastAsia" w:ascii="Times New Roman" w:hAnsi="Times New Roman" w:cs="Times New Roman"/>
                <w:color w:val="auto"/>
                <w:highlight w:val="none"/>
                <w:lang w:val="en-US"/>
              </w:rPr>
              <w:t>占地</w:t>
            </w:r>
            <w:r>
              <w:rPr>
                <w:rFonts w:hint="eastAsia" w:ascii="Times New Roman" w:hAnsi="Times New Roman" w:cs="Times New Roman"/>
                <w:color w:val="auto"/>
                <w:highlight w:val="none"/>
                <w:lang w:val="en-US" w:eastAsia="zh-CN"/>
              </w:rPr>
              <w:t>9800平方米</w:t>
            </w:r>
            <w:r>
              <w:rPr>
                <w:rFonts w:hint="eastAsia" w:ascii="Times New Roman" w:hAnsi="Times New Roman" w:cs="Times New Roman"/>
                <w:color w:val="auto"/>
                <w:highlight w:val="none"/>
                <w:lang w:val="en-US"/>
              </w:rPr>
              <w:t>，该项目拟投资</w:t>
            </w:r>
            <w:r>
              <w:rPr>
                <w:rFonts w:hint="eastAsia" w:ascii="Times New Roman" w:hAnsi="Times New Roman" w:cs="Times New Roman"/>
                <w:color w:val="auto"/>
                <w:highlight w:val="none"/>
                <w:lang w:val="en-US" w:eastAsia="zh-CN"/>
              </w:rPr>
              <w:t>1000万元</w:t>
            </w:r>
            <w:r>
              <w:rPr>
                <w:rFonts w:hint="eastAsia" w:ascii="Times New Roman" w:hAnsi="Times New Roman" w:cs="Times New Roman"/>
                <w:color w:val="auto"/>
                <w:highlight w:val="none"/>
                <w:lang w:val="en-US"/>
              </w:rPr>
              <w:t>建设鑫星辉家具公司年产酒店家具12000套，项目</w:t>
            </w:r>
            <w:r>
              <w:rPr>
                <w:rFonts w:hint="eastAsia" w:ascii="Times New Roman" w:hAnsi="Times New Roman" w:cs="Times New Roman"/>
                <w:color w:val="auto"/>
                <w:highlight w:val="none"/>
                <w:lang w:val="en-US" w:eastAsia="zh-CN"/>
              </w:rPr>
              <w:t>厂房分割为办公室、生产区、五金库、板材库、材料库、中转区等</w:t>
            </w:r>
            <w:r>
              <w:rPr>
                <w:rFonts w:hint="eastAsia" w:ascii="Times New Roman" w:hAnsi="Times New Roman" w:cs="Times New Roman"/>
                <w:color w:val="auto"/>
                <w:highlight w:val="none"/>
                <w:lang w:val="en-US"/>
              </w:rPr>
              <w:t>。本项目北侧为</w:t>
            </w:r>
            <w:r>
              <w:rPr>
                <w:rFonts w:hint="eastAsia" w:ascii="Times New Roman" w:hAnsi="Times New Roman" w:cs="Times New Roman"/>
                <w:color w:val="auto"/>
                <w:highlight w:val="none"/>
                <w:lang w:val="en-US" w:eastAsia="zh-CN"/>
              </w:rPr>
              <w:t>平盛木业</w:t>
            </w:r>
            <w:r>
              <w:rPr>
                <w:rFonts w:hint="eastAsia" w:ascii="Times New Roman" w:hAnsi="Times New Roman" w:cs="Times New Roman"/>
                <w:color w:val="auto"/>
                <w:highlight w:val="none"/>
                <w:lang w:val="en-US"/>
              </w:rPr>
              <w:t>，东侧为</w:t>
            </w:r>
            <w:r>
              <w:rPr>
                <w:rFonts w:hint="eastAsia" w:ascii="Times New Roman" w:hAnsi="Times New Roman" w:cs="Times New Roman"/>
                <w:color w:val="auto"/>
                <w:highlight w:val="none"/>
                <w:lang w:val="en-US" w:eastAsia="zh-CN"/>
              </w:rPr>
              <w:t>道路</w:t>
            </w:r>
            <w:r>
              <w:rPr>
                <w:rFonts w:hint="eastAsia" w:ascii="Times New Roman" w:hAnsi="Times New Roman" w:cs="Times New Roman"/>
                <w:color w:val="auto"/>
                <w:highlight w:val="none"/>
                <w:lang w:val="en-US"/>
              </w:rPr>
              <w:t>，西侧为</w:t>
            </w:r>
            <w:r>
              <w:rPr>
                <w:rFonts w:hint="eastAsia" w:ascii="Times New Roman" w:hAnsi="Times New Roman" w:cs="Times New Roman"/>
                <w:color w:val="auto"/>
                <w:highlight w:val="none"/>
                <w:lang w:val="en-US" w:eastAsia="zh-CN"/>
              </w:rPr>
              <w:t>途辉家具</w:t>
            </w:r>
            <w:r>
              <w:rPr>
                <w:rFonts w:hint="eastAsia" w:ascii="Times New Roman" w:hAnsi="Times New Roman" w:cs="Times New Roman"/>
                <w:color w:val="auto"/>
                <w:highlight w:val="none"/>
                <w:lang w:val="en-US"/>
              </w:rPr>
              <w:t>，南侧为</w:t>
            </w:r>
            <w:r>
              <w:rPr>
                <w:rFonts w:hint="eastAsia" w:ascii="Times New Roman" w:hAnsi="Times New Roman" w:cs="Times New Roman"/>
                <w:color w:val="auto"/>
                <w:highlight w:val="none"/>
                <w:lang w:val="en-US" w:eastAsia="zh-CN"/>
              </w:rPr>
              <w:t>园区其他企业</w:t>
            </w:r>
            <w:r>
              <w:rPr>
                <w:rFonts w:hint="eastAsia" w:ascii="Times New Roman" w:hAnsi="Times New Roman" w:cs="Times New Roman"/>
                <w:color w:val="auto"/>
                <w:highlight w:val="none"/>
                <w:lang w:val="en-US"/>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Times New Roman" w:hAnsi="Times New Roman" w:cs="Times New Roman"/>
                <w:color w:val="auto"/>
                <w:lang w:val="en-US"/>
              </w:rPr>
            </w:pPr>
            <w:r>
              <w:rPr>
                <w:rFonts w:hint="eastAsia" w:ascii="Times New Roman" w:hAnsi="Times New Roman" w:cs="Times New Roman"/>
                <w:color w:val="auto"/>
                <w:lang w:val="en-US"/>
              </w:rPr>
              <w:t>经查阅《建设项目环境影响评价分类管理名录》（</w:t>
            </w:r>
            <w:r>
              <w:rPr>
                <w:rFonts w:ascii="Times New Roman" w:hAnsi="Times New Roman" w:cs="Times New Roman"/>
                <w:color w:val="auto"/>
                <w:lang w:val="en-US"/>
              </w:rPr>
              <w:t>2021</w:t>
            </w:r>
            <w:r>
              <w:rPr>
                <w:rFonts w:hint="eastAsia" w:ascii="Times New Roman" w:hAnsi="Times New Roman" w:cs="Times New Roman"/>
                <w:color w:val="auto"/>
                <w:lang w:val="en-US"/>
              </w:rPr>
              <w:t>版）的规定，本项目属于“十八、家具制造业</w:t>
            </w:r>
            <w:r>
              <w:rPr>
                <w:rFonts w:ascii="Times New Roman" w:hAnsi="Times New Roman" w:cs="Times New Roman"/>
                <w:color w:val="auto"/>
                <w:lang w:val="en-US"/>
              </w:rPr>
              <w:t>21</w:t>
            </w:r>
            <w:r>
              <w:rPr>
                <w:rFonts w:hint="eastAsia" w:ascii="Times New Roman" w:hAnsi="Times New Roman" w:cs="Times New Roman"/>
                <w:color w:val="auto"/>
                <w:lang w:val="en-US"/>
              </w:rPr>
              <w:t>—</w:t>
            </w:r>
            <w:r>
              <w:rPr>
                <w:rFonts w:ascii="Times New Roman" w:hAnsi="Times New Roman" w:cs="Times New Roman"/>
                <w:color w:val="auto"/>
                <w:lang w:val="en-US"/>
              </w:rPr>
              <w:t>36</w:t>
            </w:r>
            <w:r>
              <w:rPr>
                <w:rFonts w:hint="eastAsia" w:ascii="Times New Roman" w:hAnsi="Times New Roman" w:cs="Times New Roman"/>
                <w:color w:val="auto"/>
                <w:lang w:val="en-US"/>
              </w:rPr>
              <w:t>、木质家具制造</w:t>
            </w:r>
            <w:r>
              <w:rPr>
                <w:rFonts w:ascii="Times New Roman" w:hAnsi="Times New Roman" w:cs="Times New Roman"/>
                <w:color w:val="auto"/>
                <w:lang w:val="en-US"/>
              </w:rPr>
              <w:t>211</w:t>
            </w:r>
            <w:r>
              <w:rPr>
                <w:rFonts w:hint="eastAsia" w:ascii="Times New Roman" w:hAnsi="Times New Roman" w:cs="Times New Roman"/>
                <w:color w:val="auto"/>
                <w:lang w:val="en-US"/>
              </w:rPr>
              <w:t>；竹、藤家具制造</w:t>
            </w:r>
            <w:r>
              <w:rPr>
                <w:rFonts w:ascii="Times New Roman" w:hAnsi="Times New Roman" w:cs="Times New Roman"/>
                <w:color w:val="auto"/>
                <w:lang w:val="en-US"/>
              </w:rPr>
              <w:t>212</w:t>
            </w:r>
            <w:r>
              <w:rPr>
                <w:rFonts w:hint="eastAsia" w:ascii="Times New Roman" w:hAnsi="Times New Roman" w:cs="Times New Roman"/>
                <w:color w:val="auto"/>
                <w:lang w:val="en-US"/>
              </w:rPr>
              <w:t>；金属家具制造</w:t>
            </w:r>
            <w:r>
              <w:rPr>
                <w:rFonts w:ascii="Times New Roman" w:hAnsi="Times New Roman" w:cs="Times New Roman"/>
                <w:color w:val="auto"/>
                <w:lang w:val="en-US"/>
              </w:rPr>
              <w:t>213</w:t>
            </w:r>
            <w:r>
              <w:rPr>
                <w:rFonts w:hint="eastAsia" w:ascii="Times New Roman" w:hAnsi="Times New Roman" w:cs="Times New Roman"/>
                <w:color w:val="auto"/>
                <w:lang w:val="en-US"/>
              </w:rPr>
              <w:t>；塑料家具制造</w:t>
            </w:r>
            <w:r>
              <w:rPr>
                <w:rFonts w:ascii="Times New Roman" w:hAnsi="Times New Roman" w:cs="Times New Roman"/>
                <w:color w:val="auto"/>
                <w:lang w:val="en-US"/>
              </w:rPr>
              <w:t>214</w:t>
            </w:r>
            <w:r>
              <w:rPr>
                <w:rFonts w:hint="eastAsia" w:ascii="Times New Roman" w:hAnsi="Times New Roman" w:cs="Times New Roman"/>
                <w:color w:val="auto"/>
                <w:lang w:val="en-US"/>
              </w:rPr>
              <w:t>；其他家具制造</w:t>
            </w:r>
            <w:r>
              <w:rPr>
                <w:rFonts w:ascii="Times New Roman" w:hAnsi="Times New Roman" w:cs="Times New Roman"/>
                <w:color w:val="auto"/>
                <w:lang w:val="en-US"/>
              </w:rPr>
              <w:t>19</w:t>
            </w:r>
            <w:r>
              <w:rPr>
                <w:rFonts w:hint="eastAsia" w:ascii="Times New Roman" w:hAnsi="Times New Roman" w:cs="Times New Roman"/>
                <w:color w:val="auto"/>
                <w:lang w:val="en-US"/>
              </w:rPr>
              <w:t>”中“其他（仅分割、组装的除外；年用非溶剂型低</w:t>
            </w:r>
            <w:r>
              <w:rPr>
                <w:rFonts w:ascii="Times New Roman" w:hAnsi="Times New Roman" w:cs="Times New Roman"/>
                <w:color w:val="auto"/>
                <w:lang w:val="en-US"/>
              </w:rPr>
              <w:t>VOCs</w:t>
            </w:r>
            <w:r>
              <w:rPr>
                <w:rFonts w:hint="eastAsia" w:ascii="Times New Roman" w:hAnsi="Times New Roman" w:cs="Times New Roman"/>
                <w:color w:val="auto"/>
                <w:lang w:val="en-US"/>
              </w:rPr>
              <w:t>含量涂料</w:t>
            </w:r>
            <w:r>
              <w:rPr>
                <w:rFonts w:ascii="Times New Roman" w:hAnsi="Times New Roman" w:cs="Times New Roman"/>
                <w:color w:val="auto"/>
                <w:lang w:val="en-US"/>
              </w:rPr>
              <w:t>10</w:t>
            </w:r>
            <w:r>
              <w:rPr>
                <w:rFonts w:hint="eastAsia" w:ascii="Times New Roman" w:hAnsi="Times New Roman" w:cs="Times New Roman"/>
                <w:color w:val="auto"/>
                <w:lang w:val="en-US"/>
              </w:rPr>
              <w:t>吨以下的除外）”，本项目木质家具生产</w:t>
            </w:r>
            <w:r>
              <w:rPr>
                <w:rFonts w:hint="eastAsia" w:ascii="Times New Roman" w:hAnsi="Times New Roman" w:cs="Times New Roman"/>
                <w:color w:val="auto"/>
                <w:lang w:val="en-US" w:eastAsia="zh-CN"/>
              </w:rPr>
              <w:t>采用开料、打孔、粘贴、组装等</w:t>
            </w:r>
            <w:r>
              <w:rPr>
                <w:rFonts w:hint="eastAsia" w:ascii="Times New Roman" w:hAnsi="Times New Roman" w:cs="Times New Roman"/>
                <w:color w:val="auto"/>
                <w:lang w:val="en-US"/>
              </w:rPr>
              <w:t>工艺</w:t>
            </w:r>
            <w:r>
              <w:rPr>
                <w:rFonts w:hint="eastAsia" w:ascii="Times New Roman" w:hAnsi="Times New Roman" w:cs="Times New Roman"/>
                <w:color w:val="auto"/>
                <w:lang w:val="en-US" w:eastAsia="zh-CN"/>
              </w:rPr>
              <w:t>，不属于仅分割、组装的</w:t>
            </w:r>
            <w:r>
              <w:rPr>
                <w:rFonts w:hint="eastAsia" w:ascii="Times New Roman" w:hAnsi="Times New Roman" w:cs="Times New Roman"/>
                <w:color w:val="auto"/>
                <w:lang w:val="en-US"/>
              </w:rPr>
              <w:t>，按照名录规定应编制环境影响评价报告表。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b w:val="0"/>
                <w:bCs/>
                <w:color w:val="auto"/>
                <w:sz w:val="24"/>
                <w:szCs w:val="24"/>
                <w:highlight w:val="none"/>
                <w:lang w:val="zh-CN" w:eastAsia="zh-CN"/>
              </w:rPr>
            </w:pPr>
            <w:r>
              <w:rPr>
                <w:rFonts w:hint="eastAsia"/>
                <w:bCs/>
                <w:color w:val="auto"/>
                <w:sz w:val="24"/>
              </w:rPr>
              <w:t>另外根据“河南省建设项目环评告知承诺制审批正面清单</w:t>
            </w:r>
            <w:r>
              <w:rPr>
                <w:rFonts w:hint="eastAsia"/>
                <w:bCs/>
                <w:color w:val="auto"/>
                <w:sz w:val="24"/>
                <w:lang w:eastAsia="zh-CN"/>
              </w:rPr>
              <w:t>（</w:t>
            </w:r>
            <w:r>
              <w:rPr>
                <w:rFonts w:hint="eastAsia"/>
                <w:bCs/>
                <w:color w:val="auto"/>
                <w:sz w:val="24"/>
              </w:rPr>
              <w:t>2022年版</w:t>
            </w:r>
            <w:r>
              <w:rPr>
                <w:rFonts w:hint="eastAsia"/>
                <w:bCs/>
                <w:color w:val="auto"/>
                <w:sz w:val="24"/>
                <w:lang w:eastAsia="zh-CN"/>
              </w:rPr>
              <w:t>）</w:t>
            </w:r>
            <w:r>
              <w:rPr>
                <w:rFonts w:hint="eastAsia"/>
                <w:bCs/>
                <w:color w:val="auto"/>
                <w:sz w:val="24"/>
              </w:rPr>
              <w:t>”中要求“位于市级以上产业园内，项目类别为木质家具制造211，编制环境影响报告表的项目”实施环评告知承诺制，本项目位于清丰县先进制造业开发区，属于市级以上产业园，项目类别为木质家具制造211，且编制环境影响报告表，因此本项目应实施环评告知承诺制。</w:t>
            </w:r>
          </w:p>
          <w:p>
            <w:pPr>
              <w:pStyle w:val="25"/>
              <w:spacing w:line="520" w:lineRule="exact"/>
              <w:jc w:val="both"/>
              <w:rPr>
                <w:rFonts w:ascii="Times New Roman" w:hAnsi="Times New Roman" w:cs="Times New Roman"/>
                <w:b/>
                <w:bCs/>
                <w:color w:val="auto"/>
                <w:lang w:val="en-US"/>
              </w:rPr>
            </w:pPr>
            <w:r>
              <w:rPr>
                <w:rFonts w:hint="eastAsia" w:ascii="Times New Roman" w:hAnsi="Times New Roman" w:cs="Times New Roman"/>
                <w:b/>
                <w:bCs/>
                <w:color w:val="auto"/>
                <w:lang w:val="en-US"/>
              </w:rPr>
              <w:t>1、项目组成</w:t>
            </w:r>
          </w:p>
          <w:p>
            <w:pPr>
              <w:pStyle w:val="25"/>
              <w:spacing w:line="520" w:lineRule="exact"/>
              <w:ind w:firstLine="480" w:firstLineChars="200"/>
              <w:jc w:val="both"/>
              <w:rPr>
                <w:rFonts w:ascii="Times New Roman" w:hAnsi="Times New Roman" w:cs="Times New Roman"/>
                <w:color w:val="auto"/>
                <w:lang w:val="en-US"/>
              </w:rPr>
            </w:pPr>
            <w:r>
              <w:rPr>
                <w:rFonts w:hint="eastAsia" w:ascii="Times New Roman" w:hAnsi="Times New Roman" w:cs="Times New Roman"/>
                <w:color w:val="auto"/>
                <w:lang w:val="en-US"/>
              </w:rPr>
              <w:t>本项目建设内容包括主体工程、辅助工程、公用工程和环保工程，项目主要建设内容一览表见下表。</w:t>
            </w:r>
          </w:p>
          <w:p>
            <w:pPr>
              <w:jc w:val="center"/>
              <w:rPr>
                <w:b/>
                <w:bCs/>
                <w:color w:val="auto"/>
              </w:rPr>
            </w:pPr>
            <w:r>
              <w:rPr>
                <w:b/>
                <w:bCs/>
                <w:color w:val="auto"/>
              </w:rPr>
              <w:t>表</w:t>
            </w:r>
            <w:r>
              <w:rPr>
                <w:rFonts w:hint="eastAsia"/>
                <w:b/>
                <w:bCs/>
                <w:color w:val="auto"/>
              </w:rPr>
              <w:t xml:space="preserve">2-1 </w:t>
            </w:r>
            <w:r>
              <w:rPr>
                <w:rFonts w:hint="eastAsia"/>
                <w:b/>
                <w:bCs/>
                <w:color w:val="auto"/>
                <w:lang w:val="en-US" w:eastAsia="zh-CN"/>
              </w:rPr>
              <w:t xml:space="preserve"> </w:t>
            </w:r>
            <w:r>
              <w:rPr>
                <w:rFonts w:hint="eastAsia"/>
                <w:b/>
                <w:bCs/>
                <w:color w:val="auto"/>
              </w:rPr>
              <w:t>本项目主要建设内容一览表</w:t>
            </w:r>
          </w:p>
          <w:tbl>
            <w:tblPr>
              <w:tblStyle w:val="23"/>
              <w:tblW w:w="9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04"/>
              <w:gridCol w:w="1592"/>
              <w:gridCol w:w="6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06" w:type="dxa"/>
                  <w:gridSpan w:val="3"/>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工程类别</w:t>
                  </w:r>
                </w:p>
              </w:tc>
              <w:tc>
                <w:tcPr>
                  <w:tcW w:w="6193"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主体工程</w:t>
                  </w:r>
                </w:p>
              </w:tc>
              <w:tc>
                <w:tcPr>
                  <w:tcW w:w="2296" w:type="dxa"/>
                  <w:gridSpan w:val="2"/>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厂房</w:t>
                  </w:r>
                </w:p>
              </w:tc>
              <w:tc>
                <w:tcPr>
                  <w:tcW w:w="6193"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占地面积为</w:t>
                  </w:r>
                  <w:r>
                    <w:rPr>
                      <w:rFonts w:hint="eastAsia" w:ascii="Times New Roman" w:hAnsi="Times New Roman" w:cs="Times New Roman"/>
                      <w:color w:val="auto"/>
                      <w:sz w:val="21"/>
                      <w:szCs w:val="21"/>
                      <w:lang w:val="en-US" w:eastAsia="zh-CN"/>
                    </w:rPr>
                    <w:t>98</w:t>
                  </w:r>
                  <w:r>
                    <w:rPr>
                      <w:rFonts w:hint="eastAsia" w:ascii="Times New Roman" w:hAnsi="Times New Roman" w:cs="Times New Roman"/>
                      <w:color w:val="auto"/>
                      <w:sz w:val="21"/>
                      <w:szCs w:val="21"/>
                      <w:lang w:val="en-US"/>
                    </w:rPr>
                    <w:t>00m</w:t>
                  </w:r>
                  <w:r>
                    <w:rPr>
                      <w:rFonts w:hint="eastAsia" w:ascii="Times New Roman" w:hAnsi="Times New Roman" w:cs="Times New Roman"/>
                      <w:color w:val="auto"/>
                      <w:sz w:val="21"/>
                      <w:szCs w:val="21"/>
                      <w:vertAlign w:val="superscript"/>
                      <w:lang w:val="en-US"/>
                    </w:rPr>
                    <w:t>2</w:t>
                  </w:r>
                  <w:r>
                    <w:rPr>
                      <w:rFonts w:hint="eastAsia" w:ascii="Times New Roman" w:hAnsi="Times New Roman" w:cs="Times New Roman"/>
                      <w:color w:val="auto"/>
                      <w:sz w:val="21"/>
                      <w:szCs w:val="21"/>
                      <w:lang w:val="en-US"/>
                    </w:rPr>
                    <w:t>，共1F，主要建设内容：办公室、</w:t>
                  </w:r>
                  <w:r>
                    <w:rPr>
                      <w:rFonts w:hint="eastAsia" w:ascii="Times New Roman" w:hAnsi="Times New Roman" w:cs="Times New Roman"/>
                      <w:color w:val="auto"/>
                      <w:sz w:val="21"/>
                      <w:szCs w:val="21"/>
                      <w:lang w:val="en-US" w:eastAsia="zh-CN"/>
                    </w:rPr>
                    <w:t>木门</w:t>
                  </w:r>
                  <w:r>
                    <w:rPr>
                      <w:rFonts w:hint="eastAsia" w:ascii="Times New Roman" w:hAnsi="Times New Roman" w:cs="Times New Roman"/>
                      <w:color w:val="auto"/>
                      <w:sz w:val="21"/>
                      <w:szCs w:val="21"/>
                      <w:lang w:val="en-US"/>
                    </w:rPr>
                    <w:t>生产区、</w:t>
                  </w:r>
                  <w:r>
                    <w:rPr>
                      <w:rFonts w:hint="eastAsia" w:ascii="Times New Roman" w:hAnsi="Times New Roman" w:cs="Times New Roman"/>
                      <w:color w:val="auto"/>
                      <w:sz w:val="21"/>
                      <w:szCs w:val="21"/>
                      <w:lang w:val="en-US" w:eastAsia="zh-CN"/>
                    </w:rPr>
                    <w:t>沙发生产区、床屏区、</w:t>
                  </w:r>
                  <w:r>
                    <w:rPr>
                      <w:rFonts w:hint="eastAsia" w:ascii="Times New Roman" w:hAnsi="Times New Roman" w:cs="Times New Roman"/>
                      <w:color w:val="auto"/>
                      <w:sz w:val="21"/>
                      <w:szCs w:val="21"/>
                      <w:lang w:val="en-US"/>
                    </w:rPr>
                    <w:t>五金库、板材库、材料库、中转区。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Merge w:val="restart"/>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公用过程</w:t>
                  </w:r>
                </w:p>
              </w:tc>
              <w:tc>
                <w:tcPr>
                  <w:tcW w:w="2296" w:type="dxa"/>
                  <w:gridSpan w:val="2"/>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供水</w:t>
                  </w:r>
                </w:p>
              </w:tc>
              <w:tc>
                <w:tcPr>
                  <w:tcW w:w="6193" w:type="dxa"/>
                  <w:vAlign w:val="center"/>
                </w:tcPr>
                <w:p>
                  <w:pPr>
                    <w:pStyle w:val="25"/>
                    <w:jc w:val="left"/>
                    <w:rPr>
                      <w:rFonts w:ascii="Times New Roman" w:hAnsi="Times New Roman" w:cs="Times New Roman"/>
                      <w:color w:val="auto"/>
                      <w:sz w:val="21"/>
                      <w:szCs w:val="21"/>
                      <w:lang w:val="en-US"/>
                    </w:rPr>
                  </w:pPr>
                  <w:r>
                    <w:rPr>
                      <w:rFonts w:ascii="宋体" w:hAnsi="宋体" w:eastAsia="宋体" w:cs="宋体"/>
                      <w:color w:val="auto"/>
                      <w:spacing w:val="6"/>
                      <w:sz w:val="21"/>
                      <w:szCs w:val="21"/>
                      <w:lang w:val="en-US" w:eastAsia="zh-CN"/>
                    </w:rPr>
                    <w:t>由清丰县先进制造业开发区供水管网集中供给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Merge w:val="continue"/>
                  <w:vAlign w:val="center"/>
                </w:tcPr>
                <w:p>
                  <w:pPr>
                    <w:pStyle w:val="25"/>
                    <w:rPr>
                      <w:rFonts w:ascii="Times New Roman" w:hAnsi="Times New Roman" w:cs="Times New Roman"/>
                      <w:color w:val="auto"/>
                      <w:sz w:val="21"/>
                      <w:szCs w:val="21"/>
                      <w:lang w:val="en-US"/>
                    </w:rPr>
                  </w:pPr>
                </w:p>
              </w:tc>
              <w:tc>
                <w:tcPr>
                  <w:tcW w:w="2296" w:type="dxa"/>
                  <w:gridSpan w:val="2"/>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排水系统</w:t>
                  </w:r>
                </w:p>
              </w:tc>
              <w:tc>
                <w:tcPr>
                  <w:tcW w:w="6193" w:type="dxa"/>
                  <w:shd w:val="clear" w:color="auto" w:fill="auto"/>
                  <w:vAlign w:val="center"/>
                </w:tcPr>
                <w:p>
                  <w:pPr>
                    <w:pStyle w:val="25"/>
                    <w:jc w:val="left"/>
                    <w:rPr>
                      <w:rFonts w:hint="default"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项目</w:t>
                  </w:r>
                  <w:r>
                    <w:rPr>
                      <w:rFonts w:hint="eastAsia" w:ascii="Times New Roman" w:hAnsi="Times New Roman" w:cs="Times New Roman"/>
                      <w:color w:val="auto"/>
                      <w:sz w:val="21"/>
                      <w:szCs w:val="21"/>
                      <w:lang w:val="en-US" w:eastAsia="zh-CN"/>
                    </w:rPr>
                    <w:t>生活污水</w:t>
                  </w:r>
                  <w:r>
                    <w:rPr>
                      <w:rFonts w:hint="eastAsia" w:ascii="Times New Roman" w:hAnsi="Times New Roman" w:cs="Times New Roman"/>
                      <w:color w:val="auto"/>
                      <w:sz w:val="21"/>
                      <w:szCs w:val="21"/>
                      <w:lang w:val="en-US"/>
                    </w:rPr>
                    <w:t>经化粪池处理后经园区污水管网排入清丰中州水务有限公司第二污水处理厂，后排入</w:t>
                  </w:r>
                  <w:r>
                    <w:rPr>
                      <w:rFonts w:hint="eastAsia" w:ascii="Times New Roman" w:hAnsi="Times New Roman" w:cs="Times New Roman"/>
                      <w:color w:val="auto"/>
                      <w:sz w:val="21"/>
                      <w:szCs w:val="21"/>
                      <w:lang w:val="en-US" w:eastAsia="zh-CN"/>
                    </w:rPr>
                    <w:t>潴泷河</w:t>
                  </w:r>
                  <w:r>
                    <w:rPr>
                      <w:rFonts w:hint="eastAsia" w:ascii="Times New Roman" w:hAnsi="Times New Roman" w:cs="Times New Roman"/>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10" w:type="dxa"/>
                  <w:vMerge w:val="continue"/>
                  <w:vAlign w:val="center"/>
                </w:tcPr>
                <w:p>
                  <w:pPr>
                    <w:pStyle w:val="25"/>
                    <w:rPr>
                      <w:rFonts w:ascii="Times New Roman" w:hAnsi="Times New Roman" w:cs="Times New Roman"/>
                      <w:color w:val="auto"/>
                      <w:sz w:val="21"/>
                      <w:szCs w:val="21"/>
                      <w:lang w:val="en-US"/>
                    </w:rPr>
                  </w:pPr>
                </w:p>
              </w:tc>
              <w:tc>
                <w:tcPr>
                  <w:tcW w:w="2296" w:type="dxa"/>
                  <w:gridSpan w:val="2"/>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供电</w:t>
                  </w:r>
                </w:p>
              </w:tc>
              <w:tc>
                <w:tcPr>
                  <w:tcW w:w="6193" w:type="dxa"/>
                  <w:vAlign w:val="center"/>
                </w:tcPr>
                <w:p>
                  <w:pPr>
                    <w:pStyle w:val="25"/>
                    <w:jc w:val="left"/>
                    <w:rPr>
                      <w:rFonts w:ascii="Times New Roman" w:hAnsi="Times New Roman" w:cs="Times New Roman"/>
                      <w:color w:val="auto"/>
                      <w:sz w:val="21"/>
                      <w:szCs w:val="21"/>
                      <w:lang w:val="en-US"/>
                    </w:rPr>
                  </w:pPr>
                  <w:r>
                    <w:rPr>
                      <w:rFonts w:ascii="宋体" w:hAnsi="宋体" w:eastAsia="宋体" w:cs="宋体"/>
                      <w:color w:val="auto"/>
                      <w:spacing w:val="6"/>
                      <w:sz w:val="21"/>
                      <w:szCs w:val="21"/>
                      <w:lang w:val="en-US" w:eastAsia="zh-CN"/>
                    </w:rPr>
                    <w:t>由清丰县先进制造业开发区集中供电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Merge w:val="restart"/>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环保工程</w:t>
                  </w:r>
                </w:p>
              </w:tc>
              <w:tc>
                <w:tcPr>
                  <w:tcW w:w="704"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废水</w:t>
                  </w:r>
                </w:p>
              </w:tc>
              <w:tc>
                <w:tcPr>
                  <w:tcW w:w="1592"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生活废水</w:t>
                  </w:r>
                </w:p>
              </w:tc>
              <w:tc>
                <w:tcPr>
                  <w:tcW w:w="6193"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生活污水</w:t>
                  </w:r>
                  <w:r>
                    <w:rPr>
                      <w:rFonts w:hint="eastAsia" w:ascii="Times New Roman" w:hAnsi="Times New Roman" w:cs="Times New Roman"/>
                      <w:color w:val="auto"/>
                      <w:sz w:val="21"/>
                      <w:szCs w:val="21"/>
                      <w:lang w:val="en-US"/>
                    </w:rPr>
                    <w:t>经化粪池处理后经园区污水管网排入清丰中州水务有限公司第二污水处理厂，后排入</w:t>
                  </w:r>
                  <w:r>
                    <w:rPr>
                      <w:rFonts w:hint="eastAsia" w:ascii="Times New Roman" w:hAnsi="Times New Roman" w:cs="Times New Roman"/>
                      <w:color w:val="auto"/>
                      <w:sz w:val="21"/>
                      <w:szCs w:val="21"/>
                      <w:lang w:val="en-US" w:eastAsia="zh-CN"/>
                    </w:rPr>
                    <w:t>潴泷河</w:t>
                  </w:r>
                  <w:r>
                    <w:rPr>
                      <w:rFonts w:hint="eastAsia" w:ascii="Times New Roman" w:hAnsi="Times New Roman" w:cs="Times New Roman"/>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Merge w:val="continue"/>
                  <w:vAlign w:val="center"/>
                </w:tcPr>
                <w:p>
                  <w:pPr>
                    <w:pStyle w:val="25"/>
                    <w:rPr>
                      <w:rFonts w:ascii="Times New Roman" w:hAnsi="Times New Roman" w:cs="Times New Roman"/>
                      <w:color w:val="auto"/>
                      <w:sz w:val="21"/>
                      <w:szCs w:val="21"/>
                      <w:lang w:val="en-US"/>
                    </w:rPr>
                  </w:pPr>
                </w:p>
              </w:tc>
              <w:tc>
                <w:tcPr>
                  <w:tcW w:w="704" w:type="dxa"/>
                  <w:vMerge w:val="restart"/>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废气</w:t>
                  </w:r>
                </w:p>
              </w:tc>
              <w:tc>
                <w:tcPr>
                  <w:tcW w:w="1592"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木加工</w:t>
                  </w:r>
                </w:p>
              </w:tc>
              <w:tc>
                <w:tcPr>
                  <w:tcW w:w="6193" w:type="dxa"/>
                  <w:vAlign w:val="center"/>
                </w:tcPr>
                <w:p>
                  <w:pPr>
                    <w:pStyle w:val="25"/>
                    <w:jc w:val="left"/>
                    <w:rPr>
                      <w:rFonts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lang w:val="en-US"/>
                    </w:rPr>
                    <w:t>木料加工产生的粉尘经</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rPr>
                    <w:t>套</w:t>
                  </w:r>
                  <w:r>
                    <w:rPr>
                      <w:rFonts w:hint="eastAsia" w:ascii="Times New Roman" w:hAnsi="Times New Roman" w:cs="Times New Roman"/>
                      <w:color w:val="auto"/>
                      <w:sz w:val="21"/>
                      <w:szCs w:val="21"/>
                      <w:highlight w:val="none"/>
                      <w:lang w:val="en-US" w:eastAsia="zh-CN"/>
                    </w:rPr>
                    <w:t>中央</w:t>
                  </w:r>
                  <w:r>
                    <w:rPr>
                      <w:rFonts w:hint="eastAsia" w:ascii="Times New Roman" w:hAnsi="Times New Roman" w:cs="Times New Roman"/>
                      <w:color w:val="auto"/>
                      <w:sz w:val="21"/>
                      <w:szCs w:val="21"/>
                      <w:highlight w:val="none"/>
                      <w:lang w:val="en-US"/>
                    </w:rPr>
                    <w:t>除尘器</w:t>
                  </w:r>
                  <w:r>
                    <w:rPr>
                      <w:rFonts w:hint="eastAsia" w:ascii="Times New Roman" w:hAnsi="Times New Roman" w:cs="Times New Roman"/>
                      <w:color w:val="auto"/>
                      <w:sz w:val="21"/>
                      <w:szCs w:val="21"/>
                      <w:highlight w:val="none"/>
                      <w:lang w:val="en-US" w:eastAsia="zh-CN"/>
                    </w:rPr>
                    <w:t>处理后通过1根</w:t>
                  </w:r>
                  <w:r>
                    <w:rPr>
                      <w:rFonts w:ascii="Times New Roman" w:hAnsi="Times New Roman" w:cs="Times New Roman"/>
                      <w:color w:val="auto"/>
                      <w:sz w:val="21"/>
                      <w:szCs w:val="21"/>
                      <w:highlight w:val="none"/>
                      <w:lang w:val="en-US"/>
                    </w:rPr>
                    <w:t>15m</w:t>
                  </w:r>
                  <w:r>
                    <w:rPr>
                      <w:rFonts w:hint="eastAsia" w:ascii="Times New Roman" w:hAnsi="Times New Roman" w:cs="Times New Roman"/>
                      <w:color w:val="auto"/>
                      <w:sz w:val="21"/>
                      <w:szCs w:val="21"/>
                      <w:highlight w:val="none"/>
                      <w:lang w:val="en-US"/>
                    </w:rPr>
                    <w:t>排气筒（</w:t>
                  </w:r>
                  <w:r>
                    <w:rPr>
                      <w:rFonts w:ascii="Times New Roman" w:hAnsi="Times New Roman" w:cs="Times New Roman"/>
                      <w:color w:val="auto"/>
                      <w:sz w:val="21"/>
                      <w:szCs w:val="21"/>
                      <w:highlight w:val="none"/>
                      <w:lang w:val="en-US"/>
                    </w:rPr>
                    <w:t>DA001</w:t>
                  </w:r>
                  <w:r>
                    <w:rPr>
                      <w:rFonts w:hint="eastAsia" w:ascii="Times New Roman" w:hAnsi="Times New Roman" w:cs="Times New Roman"/>
                      <w:color w:val="auto"/>
                      <w:sz w:val="21"/>
                      <w:szCs w:val="21"/>
                      <w:highlight w:val="none"/>
                      <w:lang w:val="en-US"/>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Merge w:val="continue"/>
                  <w:vAlign w:val="center"/>
                </w:tcPr>
                <w:p>
                  <w:pPr>
                    <w:pStyle w:val="25"/>
                    <w:rPr>
                      <w:rFonts w:ascii="Times New Roman" w:hAnsi="Times New Roman" w:cs="Times New Roman"/>
                      <w:color w:val="auto"/>
                      <w:sz w:val="21"/>
                      <w:szCs w:val="21"/>
                      <w:lang w:val="en-US"/>
                    </w:rPr>
                  </w:pPr>
                </w:p>
              </w:tc>
              <w:tc>
                <w:tcPr>
                  <w:tcW w:w="704" w:type="dxa"/>
                  <w:vMerge w:val="continue"/>
                  <w:vAlign w:val="center"/>
                </w:tcPr>
                <w:p>
                  <w:pPr>
                    <w:pStyle w:val="25"/>
                    <w:rPr>
                      <w:rFonts w:ascii="Times New Roman" w:hAnsi="Times New Roman" w:cs="Times New Roman"/>
                      <w:color w:val="auto"/>
                      <w:sz w:val="21"/>
                      <w:szCs w:val="21"/>
                      <w:lang w:val="en-US"/>
                    </w:rPr>
                  </w:pPr>
                </w:p>
              </w:tc>
              <w:tc>
                <w:tcPr>
                  <w:tcW w:w="1592"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封边、涂胶</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highlight w:val="none"/>
                      <w:lang w:val="en-US"/>
                    </w:rPr>
                    <w:t>危废间废气</w:t>
                  </w:r>
                </w:p>
              </w:tc>
              <w:tc>
                <w:tcPr>
                  <w:tcW w:w="6193" w:type="dxa"/>
                  <w:vAlign w:val="center"/>
                </w:tcPr>
                <w:p>
                  <w:pPr>
                    <w:pStyle w:val="25"/>
                    <w:jc w:val="left"/>
                    <w:rPr>
                      <w:rFonts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封边、涂胶</w:t>
                  </w:r>
                  <w:r>
                    <w:rPr>
                      <w:rFonts w:hint="eastAsia" w:ascii="Times New Roman" w:hAnsi="Times New Roman" w:cs="Times New Roman"/>
                      <w:color w:val="auto"/>
                      <w:sz w:val="21"/>
                      <w:szCs w:val="21"/>
                      <w:highlight w:val="none"/>
                      <w:lang w:val="en-US"/>
                    </w:rPr>
                    <w:t>废气、危废间废气经过</w:t>
                  </w:r>
                  <w:r>
                    <w:rPr>
                      <w:rFonts w:hint="eastAsia" w:ascii="Times New Roman" w:hAnsi="Times New Roman" w:cs="Times New Roman"/>
                      <w:color w:val="auto"/>
                      <w:sz w:val="21"/>
                      <w:szCs w:val="21"/>
                      <w:highlight w:val="none"/>
                      <w:lang w:val="en-US" w:eastAsia="zh-CN"/>
                    </w:rPr>
                    <w:t>1套</w:t>
                  </w:r>
                  <w:r>
                    <w:rPr>
                      <w:rFonts w:hint="eastAsia" w:ascii="Times New Roman" w:hAnsi="Times New Roman" w:cs="Times New Roman"/>
                      <w:color w:val="auto"/>
                      <w:sz w:val="21"/>
                      <w:szCs w:val="21"/>
                      <w:highlight w:val="none"/>
                      <w:lang w:val="en-US"/>
                    </w:rPr>
                    <w:t>“</w:t>
                  </w:r>
                  <w:r>
                    <w:rPr>
                      <w:rFonts w:hint="eastAsia" w:cs="Times New Roman"/>
                      <w:color w:val="auto"/>
                      <w:kern w:val="0"/>
                      <w:sz w:val="21"/>
                      <w:szCs w:val="21"/>
                      <w:highlight w:val="none"/>
                      <w:lang w:val="en-US" w:eastAsia="zh-CN" w:bidi="ar"/>
                    </w:rPr>
                    <w:t>两级活性炭吸附</w:t>
                  </w:r>
                  <w:r>
                    <w:rPr>
                      <w:rFonts w:hint="eastAsia" w:ascii="Times New Roman" w:hAnsi="Times New Roman" w:cs="Times New Roman"/>
                      <w:color w:val="auto"/>
                      <w:sz w:val="21"/>
                      <w:szCs w:val="21"/>
                      <w:highlight w:val="none"/>
                      <w:lang w:val="en-US"/>
                    </w:rPr>
                    <w:t>”处理后通过</w:t>
                  </w:r>
                  <w:r>
                    <w:rPr>
                      <w:rFonts w:hint="eastAsia" w:ascii="Times New Roman" w:hAnsi="Times New Roman" w:cs="Times New Roman"/>
                      <w:color w:val="auto"/>
                      <w:sz w:val="21"/>
                      <w:szCs w:val="21"/>
                      <w:highlight w:val="none"/>
                      <w:lang w:val="en-US" w:eastAsia="zh-CN"/>
                    </w:rPr>
                    <w:t>1根</w:t>
                  </w:r>
                  <w:r>
                    <w:rPr>
                      <w:rFonts w:ascii="Times New Roman" w:hAnsi="Times New Roman" w:cs="Times New Roman"/>
                      <w:color w:val="auto"/>
                      <w:sz w:val="21"/>
                      <w:szCs w:val="21"/>
                      <w:highlight w:val="none"/>
                      <w:lang w:val="en-US"/>
                    </w:rPr>
                    <w:t>15</w:t>
                  </w:r>
                  <w:r>
                    <w:rPr>
                      <w:rFonts w:hint="eastAsia" w:ascii="Times New Roman" w:hAnsi="Times New Roman" w:cs="Times New Roman"/>
                      <w:color w:val="auto"/>
                      <w:sz w:val="21"/>
                      <w:szCs w:val="21"/>
                      <w:highlight w:val="none"/>
                      <w:lang w:val="en-US"/>
                    </w:rPr>
                    <w:t>m高排气筒（DA00</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Merge w:val="continue"/>
                  <w:vAlign w:val="center"/>
                </w:tcPr>
                <w:p>
                  <w:pPr>
                    <w:pStyle w:val="25"/>
                    <w:rPr>
                      <w:rFonts w:ascii="Times New Roman" w:hAnsi="Times New Roman" w:cs="Times New Roman"/>
                      <w:color w:val="auto"/>
                      <w:sz w:val="21"/>
                      <w:szCs w:val="21"/>
                      <w:lang w:val="en-US"/>
                    </w:rPr>
                  </w:pPr>
                </w:p>
              </w:tc>
              <w:tc>
                <w:tcPr>
                  <w:tcW w:w="704"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噪声</w:t>
                  </w:r>
                </w:p>
              </w:tc>
              <w:tc>
                <w:tcPr>
                  <w:tcW w:w="1592"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机械设备噪声</w:t>
                  </w:r>
                </w:p>
              </w:tc>
              <w:tc>
                <w:tcPr>
                  <w:tcW w:w="6193"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加强设备管理、设置减震垫、墙体隔音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Merge w:val="continue"/>
                  <w:vAlign w:val="center"/>
                </w:tcPr>
                <w:p>
                  <w:pPr>
                    <w:pStyle w:val="25"/>
                    <w:rPr>
                      <w:rFonts w:ascii="Times New Roman" w:hAnsi="Times New Roman" w:cs="Times New Roman"/>
                      <w:color w:val="auto"/>
                      <w:sz w:val="21"/>
                      <w:szCs w:val="21"/>
                      <w:lang w:val="en-US"/>
                    </w:rPr>
                  </w:pPr>
                </w:p>
              </w:tc>
              <w:tc>
                <w:tcPr>
                  <w:tcW w:w="704" w:type="dxa"/>
                  <w:vMerge w:val="restart"/>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一般</w:t>
                  </w:r>
                  <w:r>
                    <w:rPr>
                      <w:rFonts w:hint="eastAsia" w:ascii="Times New Roman" w:hAnsi="Times New Roman" w:cs="Times New Roman"/>
                      <w:color w:val="auto"/>
                      <w:sz w:val="21"/>
                      <w:szCs w:val="21"/>
                      <w:lang w:val="en-US"/>
                    </w:rPr>
                    <w:t>固废</w:t>
                  </w:r>
                </w:p>
              </w:tc>
              <w:tc>
                <w:tcPr>
                  <w:tcW w:w="1592"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办公生活</w:t>
                  </w:r>
                </w:p>
              </w:tc>
              <w:tc>
                <w:tcPr>
                  <w:tcW w:w="6193"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生活垃圾交环卫部门统一清运。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Merge w:val="continue"/>
                  <w:vAlign w:val="center"/>
                </w:tcPr>
                <w:p>
                  <w:pPr>
                    <w:pStyle w:val="25"/>
                    <w:rPr>
                      <w:rFonts w:ascii="Times New Roman" w:hAnsi="Times New Roman" w:cs="Times New Roman"/>
                      <w:color w:val="auto"/>
                      <w:sz w:val="21"/>
                      <w:szCs w:val="21"/>
                      <w:lang w:val="en-US"/>
                    </w:rPr>
                  </w:pPr>
                </w:p>
              </w:tc>
              <w:tc>
                <w:tcPr>
                  <w:tcW w:w="704" w:type="dxa"/>
                  <w:vMerge w:val="continue"/>
                  <w:vAlign w:val="center"/>
                </w:tcPr>
                <w:p>
                  <w:pPr>
                    <w:pStyle w:val="25"/>
                    <w:rPr>
                      <w:rFonts w:ascii="Times New Roman" w:hAnsi="Times New Roman" w:cs="Times New Roman"/>
                      <w:color w:val="auto"/>
                      <w:sz w:val="21"/>
                      <w:szCs w:val="21"/>
                      <w:lang w:val="en-US"/>
                    </w:rPr>
                  </w:pPr>
                </w:p>
              </w:tc>
              <w:tc>
                <w:tcPr>
                  <w:tcW w:w="1592"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生产</w:t>
                  </w:r>
                  <w:r>
                    <w:rPr>
                      <w:rFonts w:hint="eastAsia" w:ascii="Times New Roman" w:hAnsi="Times New Roman" w:cs="Times New Roman"/>
                      <w:color w:val="auto"/>
                      <w:sz w:val="21"/>
                      <w:szCs w:val="21"/>
                      <w:lang w:val="en-US"/>
                    </w:rPr>
                    <w:t>加工工序</w:t>
                  </w:r>
                </w:p>
              </w:tc>
              <w:tc>
                <w:tcPr>
                  <w:tcW w:w="6193"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废</w:t>
                  </w:r>
                  <w:r>
                    <w:rPr>
                      <w:rFonts w:hint="eastAsia" w:ascii="Times New Roman" w:hAnsi="Times New Roman" w:cs="Times New Roman"/>
                      <w:color w:val="auto"/>
                      <w:sz w:val="21"/>
                      <w:szCs w:val="21"/>
                      <w:lang w:val="en-US"/>
                    </w:rPr>
                    <w:t>边角料、废包装材料</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rPr>
                    <w:t>废胶桶</w:t>
                  </w:r>
                  <w:r>
                    <w:rPr>
                      <w:rFonts w:hint="eastAsia" w:ascii="Times New Roman" w:hAnsi="Times New Roman" w:cs="Times New Roman"/>
                      <w:color w:val="auto"/>
                      <w:sz w:val="21"/>
                      <w:szCs w:val="21"/>
                      <w:lang w:val="en-US" w:eastAsia="zh-CN"/>
                    </w:rPr>
                    <w:t>（水性）</w:t>
                  </w:r>
                  <w:r>
                    <w:rPr>
                      <w:rFonts w:hint="eastAsia" w:ascii="Times New Roman" w:hAnsi="Times New Roman" w:cs="Times New Roman"/>
                      <w:color w:val="auto"/>
                      <w:sz w:val="21"/>
                      <w:szCs w:val="21"/>
                      <w:lang w:val="en-US"/>
                    </w:rPr>
                    <w:t>和收集的粉尘等收集后暂存，定期外售；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Merge w:val="continue"/>
                  <w:vAlign w:val="center"/>
                </w:tcPr>
                <w:p>
                  <w:pPr>
                    <w:pStyle w:val="25"/>
                    <w:rPr>
                      <w:rFonts w:ascii="Times New Roman" w:hAnsi="Times New Roman" w:cs="Times New Roman"/>
                      <w:color w:val="auto"/>
                      <w:sz w:val="21"/>
                      <w:szCs w:val="21"/>
                      <w:lang w:val="en-US"/>
                    </w:rPr>
                  </w:pPr>
                </w:p>
              </w:tc>
              <w:tc>
                <w:tcPr>
                  <w:tcW w:w="704"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危险废物</w:t>
                  </w:r>
                </w:p>
              </w:tc>
              <w:tc>
                <w:tcPr>
                  <w:tcW w:w="1592"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生产加工工序、</w:t>
                  </w:r>
                  <w:r>
                    <w:rPr>
                      <w:rFonts w:hint="eastAsia" w:ascii="Times New Roman" w:hAnsi="Times New Roman" w:cs="Times New Roman"/>
                      <w:color w:val="auto"/>
                      <w:sz w:val="21"/>
                      <w:szCs w:val="21"/>
                      <w:lang w:val="en-US"/>
                    </w:rPr>
                    <w:t>废气处理</w:t>
                  </w:r>
                </w:p>
              </w:tc>
              <w:tc>
                <w:tcPr>
                  <w:tcW w:w="6193"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废活性炭、废液压油、废机油等收集后危废间暂存，设置</w:t>
                  </w:r>
                  <w:r>
                    <w:rPr>
                      <w:rFonts w:ascii="Times New Roman" w:hAnsi="Times New Roman" w:cs="Times New Roman"/>
                      <w:color w:val="auto"/>
                      <w:sz w:val="21"/>
                      <w:szCs w:val="21"/>
                      <w:lang w:val="en-US"/>
                    </w:rPr>
                    <w:t>1×</w:t>
                  </w:r>
                  <w:r>
                    <w:rPr>
                      <w:rFonts w:hint="eastAsia" w:ascii="Times New Roman" w:hAnsi="Times New Roman" w:cs="Times New Roman"/>
                      <w:color w:val="auto"/>
                      <w:sz w:val="21"/>
                      <w:szCs w:val="21"/>
                      <w:lang w:val="en-US" w:eastAsia="zh-CN"/>
                    </w:rPr>
                    <w:t>2</w:t>
                  </w:r>
                  <w:r>
                    <w:rPr>
                      <w:rFonts w:ascii="Times New Roman" w:hAnsi="Times New Roman" w:cs="Times New Roman"/>
                      <w:color w:val="auto"/>
                      <w:sz w:val="21"/>
                      <w:szCs w:val="21"/>
                      <w:lang w:val="en-US"/>
                    </w:rPr>
                    <w:t>0m</w:t>
                  </w:r>
                  <w:r>
                    <w:rPr>
                      <w:rFonts w:ascii="Times New Roman" w:hAnsi="Times New Roman" w:cs="Times New Roman"/>
                      <w:color w:val="auto"/>
                      <w:sz w:val="21"/>
                      <w:szCs w:val="21"/>
                      <w:vertAlign w:val="superscript"/>
                      <w:lang w:val="en-US"/>
                    </w:rPr>
                    <w:t>2</w:t>
                  </w:r>
                  <w:r>
                    <w:rPr>
                      <w:rFonts w:hint="eastAsia" w:ascii="Times New Roman" w:hAnsi="Times New Roman" w:cs="Times New Roman"/>
                      <w:color w:val="auto"/>
                      <w:sz w:val="21"/>
                      <w:szCs w:val="21"/>
                      <w:lang w:val="en-US"/>
                    </w:rPr>
                    <w:t>危废暂存间，设置标志，防渗、防溢流和防雨淋，项目危废种类较多，分区暂存，定期交由资质单位处置。</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color w:val="auto"/>
              </w:rPr>
            </w:pPr>
            <w:r>
              <w:rPr>
                <w:b/>
                <w:bCs/>
                <w:color w:val="auto"/>
              </w:rPr>
              <w:t>表</w:t>
            </w:r>
            <w:r>
              <w:rPr>
                <w:rFonts w:hint="eastAsia"/>
                <w:b/>
                <w:bCs/>
                <w:color w:val="auto"/>
              </w:rPr>
              <w:t>2-2</w:t>
            </w:r>
            <w:r>
              <w:rPr>
                <w:rFonts w:hint="eastAsia"/>
                <w:b/>
                <w:bCs/>
                <w:color w:val="auto"/>
                <w:lang w:val="en-US" w:eastAsia="zh-CN"/>
              </w:rPr>
              <w:t xml:space="preserve">  </w:t>
            </w:r>
            <w:r>
              <w:rPr>
                <w:rFonts w:hint="eastAsia"/>
                <w:b/>
                <w:bCs/>
                <w:color w:val="auto"/>
              </w:rPr>
              <w:t>与《河南省企业投资项目备案证明》相符性分析</w:t>
            </w:r>
          </w:p>
          <w:tbl>
            <w:tblPr>
              <w:tblStyle w:val="23"/>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3354"/>
              <w:gridCol w:w="334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1"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类别</w:t>
                  </w:r>
                </w:p>
              </w:tc>
              <w:tc>
                <w:tcPr>
                  <w:tcW w:w="3354"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备案证明内容</w:t>
                  </w:r>
                </w:p>
              </w:tc>
              <w:tc>
                <w:tcPr>
                  <w:tcW w:w="3347"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项目建设内容</w:t>
                  </w:r>
                </w:p>
              </w:tc>
              <w:tc>
                <w:tcPr>
                  <w:tcW w:w="960"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项目名称</w:t>
                  </w:r>
                </w:p>
              </w:tc>
              <w:tc>
                <w:tcPr>
                  <w:tcW w:w="3354" w:type="dxa"/>
                  <w:vAlign w:val="center"/>
                </w:tcPr>
                <w:p>
                  <w:pPr>
                    <w:pStyle w:val="25"/>
                    <w:jc w:val="lef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鑫星辉家具公司年产酒店家具12000套</w:t>
                  </w:r>
                </w:p>
              </w:tc>
              <w:tc>
                <w:tcPr>
                  <w:tcW w:w="3347" w:type="dxa"/>
                  <w:vAlign w:val="center"/>
                </w:tcPr>
                <w:p>
                  <w:pPr>
                    <w:pStyle w:val="25"/>
                    <w:jc w:val="lef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鑫星辉家具公司年产酒店家具12000套</w:t>
                  </w:r>
                </w:p>
              </w:tc>
              <w:tc>
                <w:tcPr>
                  <w:tcW w:w="960"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建设地点</w:t>
                  </w:r>
                </w:p>
              </w:tc>
              <w:tc>
                <w:tcPr>
                  <w:tcW w:w="3354"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濮阳市清丰县先进制造业开发区伯特利家具产业园</w:t>
                  </w:r>
                </w:p>
              </w:tc>
              <w:tc>
                <w:tcPr>
                  <w:tcW w:w="3347"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濮阳市清丰县先进制造业开发区伯特利家具产业园</w:t>
                  </w:r>
                </w:p>
              </w:tc>
              <w:tc>
                <w:tcPr>
                  <w:tcW w:w="960"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1" w:type="dxa"/>
                  <w:vAlign w:val="center"/>
                </w:tcPr>
                <w:p>
                  <w:pPr>
                    <w:pStyle w:val="25"/>
                    <w:jc w:val="center"/>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主要建设内容</w:t>
                  </w:r>
                </w:p>
              </w:tc>
              <w:tc>
                <w:tcPr>
                  <w:tcW w:w="3354"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项目</w:t>
                  </w:r>
                  <w:r>
                    <w:rPr>
                      <w:rFonts w:hint="eastAsia" w:ascii="Times New Roman" w:hAnsi="Times New Roman" w:cs="Times New Roman"/>
                      <w:color w:val="auto"/>
                      <w:sz w:val="21"/>
                      <w:szCs w:val="21"/>
                      <w:lang w:val="en-US" w:eastAsia="zh-CN"/>
                    </w:rPr>
                    <w:t>租赁现有厂房一栋，</w:t>
                  </w:r>
                  <w:r>
                    <w:rPr>
                      <w:rFonts w:hint="eastAsia" w:ascii="Times New Roman" w:hAnsi="Times New Roman" w:cs="Times New Roman"/>
                      <w:color w:val="auto"/>
                      <w:sz w:val="21"/>
                      <w:szCs w:val="21"/>
                      <w:lang w:val="en-US"/>
                    </w:rPr>
                    <w:t>占地</w:t>
                  </w:r>
                  <w:r>
                    <w:rPr>
                      <w:rFonts w:hint="eastAsia" w:ascii="Times New Roman" w:hAnsi="Times New Roman" w:cs="Times New Roman"/>
                      <w:color w:val="auto"/>
                      <w:sz w:val="21"/>
                      <w:szCs w:val="21"/>
                      <w:lang w:val="en-US" w:eastAsia="zh-CN"/>
                    </w:rPr>
                    <w:t>9800平方米</w:t>
                  </w:r>
                </w:p>
              </w:tc>
              <w:tc>
                <w:tcPr>
                  <w:tcW w:w="3347"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项目</w:t>
                  </w:r>
                  <w:r>
                    <w:rPr>
                      <w:rFonts w:hint="eastAsia" w:ascii="Times New Roman" w:hAnsi="Times New Roman" w:cs="Times New Roman"/>
                      <w:color w:val="auto"/>
                      <w:sz w:val="21"/>
                      <w:szCs w:val="21"/>
                      <w:lang w:val="en-US" w:eastAsia="zh-CN"/>
                    </w:rPr>
                    <w:t>租赁现有厂房一栋，</w:t>
                  </w:r>
                  <w:r>
                    <w:rPr>
                      <w:rFonts w:hint="eastAsia" w:ascii="Times New Roman" w:hAnsi="Times New Roman" w:cs="Times New Roman"/>
                      <w:color w:val="auto"/>
                      <w:sz w:val="21"/>
                      <w:szCs w:val="21"/>
                      <w:lang w:val="en-US"/>
                    </w:rPr>
                    <w:t>占地</w:t>
                  </w:r>
                  <w:r>
                    <w:rPr>
                      <w:rFonts w:hint="eastAsia" w:ascii="Times New Roman" w:hAnsi="Times New Roman" w:cs="Times New Roman"/>
                      <w:color w:val="auto"/>
                      <w:sz w:val="21"/>
                      <w:szCs w:val="21"/>
                      <w:lang w:val="en-US" w:eastAsia="zh-CN"/>
                    </w:rPr>
                    <w:t>9800平方米</w:t>
                  </w:r>
                </w:p>
              </w:tc>
              <w:tc>
                <w:tcPr>
                  <w:tcW w:w="960"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生产工艺</w:t>
                  </w:r>
                </w:p>
              </w:tc>
              <w:tc>
                <w:tcPr>
                  <w:tcW w:w="3354" w:type="dxa"/>
                  <w:vAlign w:val="center"/>
                </w:tcPr>
                <w:p>
                  <w:pPr>
                    <w:pStyle w:val="25"/>
                    <w:jc w:val="lef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家具：开</w:t>
                  </w:r>
                  <w:r>
                    <w:rPr>
                      <w:rFonts w:hint="eastAsia" w:ascii="Times New Roman" w:hAnsi="Times New Roman" w:cs="Times New Roman"/>
                      <w:color w:val="auto"/>
                      <w:sz w:val="21"/>
                      <w:szCs w:val="21"/>
                      <w:lang w:val="en-US"/>
                    </w:rPr>
                    <w:t>料→</w:t>
                  </w:r>
                  <w:r>
                    <w:rPr>
                      <w:rFonts w:hint="eastAsia" w:ascii="Times New Roman" w:hAnsi="Times New Roman" w:cs="Times New Roman"/>
                      <w:color w:val="auto"/>
                      <w:sz w:val="21"/>
                      <w:szCs w:val="21"/>
                      <w:lang w:val="en-US" w:eastAsia="zh-CN"/>
                    </w:rPr>
                    <w:t>封边</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打孔</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组装</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精修</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打包；</w:t>
                  </w:r>
                </w:p>
                <w:p>
                  <w:pPr>
                    <w:pStyle w:val="25"/>
                    <w:jc w:val="lef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软包沙发：裁板</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扪皮</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粘贴</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钉装</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打包</w:t>
                  </w:r>
                </w:p>
              </w:tc>
              <w:tc>
                <w:tcPr>
                  <w:tcW w:w="3347" w:type="dxa"/>
                  <w:vAlign w:val="center"/>
                </w:tcPr>
                <w:p>
                  <w:pPr>
                    <w:pStyle w:val="25"/>
                    <w:jc w:val="lef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家具：开</w:t>
                  </w:r>
                  <w:r>
                    <w:rPr>
                      <w:rFonts w:hint="eastAsia" w:ascii="Times New Roman" w:hAnsi="Times New Roman" w:cs="Times New Roman"/>
                      <w:color w:val="auto"/>
                      <w:sz w:val="21"/>
                      <w:szCs w:val="21"/>
                      <w:lang w:val="en-US"/>
                    </w:rPr>
                    <w:t>料→</w:t>
                  </w:r>
                  <w:r>
                    <w:rPr>
                      <w:rFonts w:hint="eastAsia" w:ascii="Times New Roman" w:hAnsi="Times New Roman" w:cs="Times New Roman"/>
                      <w:color w:val="auto"/>
                      <w:sz w:val="21"/>
                      <w:szCs w:val="21"/>
                      <w:lang w:val="en-US" w:eastAsia="zh-CN"/>
                    </w:rPr>
                    <w:t>封边</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打孔</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组装</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精修</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打包；</w:t>
                  </w:r>
                </w:p>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软包沙发：裁板</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缝合</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扪皮</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粘贴</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钉装</w:t>
                  </w:r>
                  <w:r>
                    <w:rPr>
                      <w:rFonts w:hint="eastAsia"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打包</w:t>
                  </w:r>
                </w:p>
              </w:tc>
              <w:tc>
                <w:tcPr>
                  <w:tcW w:w="960"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主要设备</w:t>
                  </w:r>
                </w:p>
              </w:tc>
              <w:tc>
                <w:tcPr>
                  <w:tcW w:w="3354"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推台锯、双面刨床、封边机</w:t>
                  </w:r>
                  <w:r>
                    <w:rPr>
                      <w:rFonts w:hint="eastAsia" w:ascii="Times New Roman" w:hAnsi="Times New Roman" w:cs="Times New Roman"/>
                      <w:color w:val="auto"/>
                      <w:sz w:val="21"/>
                      <w:szCs w:val="21"/>
                      <w:lang w:val="en-US" w:eastAsia="zh-CN"/>
                    </w:rPr>
                    <w:t>、电子锯、下料机、六面钻、开锁机</w:t>
                  </w:r>
                  <w:r>
                    <w:rPr>
                      <w:rFonts w:hint="eastAsia" w:ascii="Times New Roman" w:hAnsi="Times New Roman" w:cs="Times New Roman"/>
                      <w:color w:val="auto"/>
                      <w:sz w:val="21"/>
                      <w:szCs w:val="21"/>
                      <w:lang w:val="en-US"/>
                    </w:rPr>
                    <w:t>等</w:t>
                  </w:r>
                </w:p>
              </w:tc>
              <w:tc>
                <w:tcPr>
                  <w:tcW w:w="3347"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推台锯、双面刨床、封边机</w:t>
                  </w:r>
                  <w:r>
                    <w:rPr>
                      <w:rFonts w:hint="eastAsia" w:ascii="Times New Roman" w:hAnsi="Times New Roman" w:cs="Times New Roman"/>
                      <w:color w:val="auto"/>
                      <w:sz w:val="21"/>
                      <w:szCs w:val="21"/>
                      <w:lang w:val="en-US" w:eastAsia="zh-CN"/>
                    </w:rPr>
                    <w:t>、电子锯、下料机、六面钻、开锁机</w:t>
                  </w:r>
                  <w:r>
                    <w:rPr>
                      <w:rFonts w:hint="eastAsia" w:ascii="Times New Roman" w:hAnsi="Times New Roman" w:cs="Times New Roman"/>
                      <w:color w:val="auto"/>
                      <w:sz w:val="21"/>
                      <w:szCs w:val="21"/>
                      <w:lang w:val="en-US"/>
                    </w:rPr>
                    <w:t>等</w:t>
                  </w:r>
                </w:p>
              </w:tc>
              <w:tc>
                <w:tcPr>
                  <w:tcW w:w="960"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总投资</w:t>
                  </w:r>
                </w:p>
              </w:tc>
              <w:tc>
                <w:tcPr>
                  <w:tcW w:w="3354" w:type="dxa"/>
                  <w:vAlign w:val="center"/>
                </w:tcPr>
                <w:p>
                  <w:pPr>
                    <w:pStyle w:val="25"/>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1000万元</w:t>
                  </w:r>
                </w:p>
              </w:tc>
              <w:tc>
                <w:tcPr>
                  <w:tcW w:w="3347" w:type="dxa"/>
                  <w:vAlign w:val="center"/>
                </w:tcPr>
                <w:p>
                  <w:pPr>
                    <w:pStyle w:val="25"/>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1000万元</w:t>
                  </w:r>
                </w:p>
              </w:tc>
              <w:tc>
                <w:tcPr>
                  <w:tcW w:w="960"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建设性质</w:t>
                  </w:r>
                </w:p>
              </w:tc>
              <w:tc>
                <w:tcPr>
                  <w:tcW w:w="3354" w:type="dxa"/>
                  <w:vAlign w:val="center"/>
                </w:tcPr>
                <w:p>
                  <w:pPr>
                    <w:pStyle w:val="25"/>
                    <w:jc w:val="center"/>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新建</w:t>
                  </w:r>
                </w:p>
              </w:tc>
              <w:tc>
                <w:tcPr>
                  <w:tcW w:w="3347" w:type="dxa"/>
                  <w:vAlign w:val="center"/>
                </w:tcPr>
                <w:p>
                  <w:pPr>
                    <w:pStyle w:val="25"/>
                    <w:jc w:val="center"/>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新建</w:t>
                  </w:r>
                </w:p>
              </w:tc>
              <w:tc>
                <w:tcPr>
                  <w:tcW w:w="960"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相符</w:t>
                  </w:r>
                </w:p>
              </w:tc>
            </w:tr>
          </w:tbl>
          <w:p>
            <w:pPr>
              <w:pStyle w:val="25"/>
              <w:spacing w:line="520" w:lineRule="exact"/>
              <w:jc w:val="both"/>
              <w:rPr>
                <w:rFonts w:ascii="Times New Roman" w:hAnsi="Times New Roman" w:cs="Times New Roman"/>
                <w:b/>
                <w:bCs/>
                <w:color w:val="auto"/>
                <w:lang w:val="en-US"/>
              </w:rPr>
            </w:pPr>
            <w:r>
              <w:rPr>
                <w:rFonts w:hint="eastAsia" w:ascii="Times New Roman" w:hAnsi="Times New Roman" w:cs="Times New Roman"/>
                <w:b/>
                <w:bCs/>
                <w:color w:val="auto"/>
                <w:lang w:val="en-US"/>
              </w:rPr>
              <w:t>2、产品方案</w:t>
            </w:r>
          </w:p>
          <w:p>
            <w:pPr>
              <w:pStyle w:val="25"/>
              <w:spacing w:line="520" w:lineRule="exact"/>
              <w:ind w:firstLine="480" w:firstLineChars="200"/>
              <w:jc w:val="both"/>
              <w:rPr>
                <w:rFonts w:ascii="Times New Roman" w:hAnsi="Times New Roman" w:cs="Times New Roman"/>
                <w:color w:val="auto"/>
                <w:lang w:val="en-US"/>
              </w:rPr>
            </w:pPr>
            <w:r>
              <w:rPr>
                <w:rFonts w:hint="eastAsia" w:ascii="Times New Roman" w:hAnsi="Times New Roman" w:cs="Times New Roman"/>
                <w:color w:val="auto"/>
                <w:lang w:val="en-US"/>
              </w:rPr>
              <w:t>本项目产品方案及用途一览表见下表。</w:t>
            </w:r>
          </w:p>
          <w:p>
            <w:pPr>
              <w:jc w:val="center"/>
              <w:rPr>
                <w:b/>
                <w:bCs/>
                <w:color w:val="auto"/>
              </w:rPr>
            </w:pPr>
            <w:r>
              <w:rPr>
                <w:b/>
                <w:bCs/>
                <w:color w:val="auto"/>
              </w:rPr>
              <w:t>表</w:t>
            </w:r>
            <w:r>
              <w:rPr>
                <w:rFonts w:hint="eastAsia"/>
                <w:b/>
                <w:bCs/>
                <w:color w:val="auto"/>
              </w:rPr>
              <w:t>2-3</w:t>
            </w:r>
            <w:r>
              <w:rPr>
                <w:rFonts w:hint="eastAsia"/>
                <w:b/>
                <w:bCs/>
                <w:color w:val="auto"/>
                <w:lang w:val="en-US" w:eastAsia="zh-CN"/>
              </w:rPr>
              <w:t xml:space="preserve"> </w:t>
            </w:r>
            <w:r>
              <w:rPr>
                <w:rFonts w:hint="eastAsia"/>
                <w:b/>
                <w:bCs/>
                <w:color w:val="auto"/>
              </w:rPr>
              <w:t xml:space="preserve"> 本项目产品方案及用途一览表</w:t>
            </w:r>
          </w:p>
          <w:tbl>
            <w:tblPr>
              <w:tblStyle w:val="23"/>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61"/>
              <w:gridCol w:w="2077"/>
              <w:gridCol w:w="3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755"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序号</w:t>
                  </w:r>
                </w:p>
              </w:tc>
              <w:tc>
                <w:tcPr>
                  <w:tcW w:w="2861"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产品名称</w:t>
                  </w:r>
                </w:p>
              </w:tc>
              <w:tc>
                <w:tcPr>
                  <w:tcW w:w="2077"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数量（套）</w:t>
                  </w:r>
                </w:p>
              </w:tc>
              <w:tc>
                <w:tcPr>
                  <w:tcW w:w="3478"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755"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1</w:t>
                  </w:r>
                </w:p>
              </w:tc>
              <w:tc>
                <w:tcPr>
                  <w:tcW w:w="28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床</w:t>
                  </w:r>
                </w:p>
              </w:tc>
              <w:tc>
                <w:tcPr>
                  <w:tcW w:w="2077"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4000套</w:t>
                  </w:r>
                </w:p>
              </w:tc>
              <w:tc>
                <w:tcPr>
                  <w:tcW w:w="3478" w:type="dxa"/>
                  <w:vMerge w:val="restart"/>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根据客户需求定制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755"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2</w:t>
                  </w:r>
                </w:p>
              </w:tc>
              <w:tc>
                <w:tcPr>
                  <w:tcW w:w="2861"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柜子</w:t>
                  </w:r>
                </w:p>
              </w:tc>
              <w:tc>
                <w:tcPr>
                  <w:tcW w:w="2077"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2000套</w:t>
                  </w:r>
                </w:p>
              </w:tc>
              <w:tc>
                <w:tcPr>
                  <w:tcW w:w="3478" w:type="dxa"/>
                  <w:vMerge w:val="continue"/>
                  <w:vAlign w:val="center"/>
                </w:tcPr>
                <w:p>
                  <w:pPr>
                    <w:pStyle w:val="25"/>
                    <w:rPr>
                      <w:rFonts w:ascii="Times New Roman" w:hAnsi="Times New Roman" w:cs="Times New Roman"/>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755"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3</w:t>
                  </w:r>
                </w:p>
              </w:tc>
              <w:tc>
                <w:tcPr>
                  <w:tcW w:w="2861"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rPr>
                    <w:t>写字</w:t>
                  </w:r>
                  <w:r>
                    <w:rPr>
                      <w:rFonts w:hint="eastAsia" w:ascii="Times New Roman" w:hAnsi="Times New Roman" w:cs="Times New Roman"/>
                      <w:color w:val="auto"/>
                      <w:sz w:val="21"/>
                      <w:szCs w:val="21"/>
                      <w:lang w:val="en-US" w:eastAsia="zh-CN"/>
                    </w:rPr>
                    <w:t>桌</w:t>
                  </w:r>
                </w:p>
              </w:tc>
              <w:tc>
                <w:tcPr>
                  <w:tcW w:w="2077"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1000套</w:t>
                  </w:r>
                </w:p>
              </w:tc>
              <w:tc>
                <w:tcPr>
                  <w:tcW w:w="3478" w:type="dxa"/>
                  <w:vMerge w:val="continue"/>
                  <w:vAlign w:val="center"/>
                </w:tcPr>
                <w:p>
                  <w:pPr>
                    <w:pStyle w:val="25"/>
                    <w:rPr>
                      <w:rFonts w:ascii="Times New Roman" w:hAnsi="Times New Roman" w:cs="Times New Roman"/>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755"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4</w:t>
                  </w:r>
                </w:p>
              </w:tc>
              <w:tc>
                <w:tcPr>
                  <w:tcW w:w="28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电视柜</w:t>
                  </w:r>
                </w:p>
              </w:tc>
              <w:tc>
                <w:tcPr>
                  <w:tcW w:w="2077"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1000套</w:t>
                  </w:r>
                </w:p>
              </w:tc>
              <w:tc>
                <w:tcPr>
                  <w:tcW w:w="3478" w:type="dxa"/>
                  <w:vMerge w:val="continue"/>
                  <w:vAlign w:val="center"/>
                </w:tcPr>
                <w:p>
                  <w:pPr>
                    <w:pStyle w:val="25"/>
                    <w:rPr>
                      <w:rFonts w:ascii="Times New Roman" w:hAnsi="Times New Roman" w:cs="Times New Roman"/>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755"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5</w:t>
                  </w:r>
                </w:p>
              </w:tc>
              <w:tc>
                <w:tcPr>
                  <w:tcW w:w="2861"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eastAsia="zh-CN"/>
                    </w:rPr>
                    <w:t>软包</w:t>
                  </w:r>
                  <w:r>
                    <w:rPr>
                      <w:rFonts w:hint="eastAsia" w:ascii="Times New Roman" w:hAnsi="Times New Roman" w:cs="Times New Roman"/>
                      <w:color w:val="auto"/>
                      <w:sz w:val="21"/>
                      <w:szCs w:val="21"/>
                      <w:lang w:val="en-US"/>
                    </w:rPr>
                    <w:t>沙发</w:t>
                  </w:r>
                </w:p>
              </w:tc>
              <w:tc>
                <w:tcPr>
                  <w:tcW w:w="2077"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lang w:val="en-US"/>
                    </w:rPr>
                    <w:t>000套</w:t>
                  </w:r>
                </w:p>
              </w:tc>
              <w:tc>
                <w:tcPr>
                  <w:tcW w:w="3478" w:type="dxa"/>
                  <w:vMerge w:val="continue"/>
                  <w:vAlign w:val="center"/>
                </w:tcPr>
                <w:p>
                  <w:pPr>
                    <w:pStyle w:val="25"/>
                    <w:rPr>
                      <w:rFonts w:ascii="Times New Roman" w:hAnsi="Times New Roman" w:cs="Times New Roman"/>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755"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28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总计</w:t>
                  </w:r>
                </w:p>
              </w:tc>
              <w:tc>
                <w:tcPr>
                  <w:tcW w:w="2077"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rPr>
                    <w:t>2000套</w:t>
                  </w:r>
                </w:p>
              </w:tc>
              <w:tc>
                <w:tcPr>
                  <w:tcW w:w="3478" w:type="dxa"/>
                  <w:vAlign w:val="center"/>
                </w:tcPr>
                <w:p>
                  <w:pPr>
                    <w:pStyle w:val="25"/>
                    <w:rPr>
                      <w:rFonts w:ascii="Times New Roman" w:hAnsi="Times New Roman" w:cs="Times New Roman"/>
                      <w:color w:val="auto"/>
                      <w:sz w:val="21"/>
                      <w:szCs w:val="21"/>
                      <w:lang w:val="en-US"/>
                    </w:rPr>
                  </w:pPr>
                </w:p>
              </w:tc>
            </w:tr>
          </w:tbl>
          <w:p>
            <w:pPr>
              <w:pStyle w:val="25"/>
              <w:spacing w:line="520" w:lineRule="exact"/>
              <w:jc w:val="both"/>
              <w:rPr>
                <w:rFonts w:ascii="Times New Roman" w:hAnsi="Times New Roman" w:cs="Times New Roman"/>
                <w:b/>
                <w:bCs/>
                <w:color w:val="auto"/>
                <w:lang w:val="en-US"/>
              </w:rPr>
            </w:pPr>
            <w:r>
              <w:rPr>
                <w:rFonts w:hint="eastAsia" w:ascii="Times New Roman" w:hAnsi="Times New Roman" w:cs="Times New Roman"/>
                <w:b/>
                <w:bCs/>
                <w:color w:val="auto"/>
                <w:lang w:val="en-US"/>
              </w:rPr>
              <w:t>3、主要设备</w:t>
            </w:r>
          </w:p>
          <w:p>
            <w:pPr>
              <w:pStyle w:val="25"/>
              <w:spacing w:line="520" w:lineRule="exact"/>
              <w:ind w:firstLine="480" w:firstLineChars="200"/>
              <w:jc w:val="both"/>
              <w:rPr>
                <w:color w:val="auto"/>
              </w:rPr>
            </w:pPr>
            <w:r>
              <w:rPr>
                <w:rFonts w:hint="eastAsia" w:ascii="Times New Roman" w:hAnsi="Times New Roman" w:cs="Times New Roman"/>
                <w:color w:val="auto"/>
                <w:lang w:val="en-US"/>
              </w:rPr>
              <w:t>项目运营期主要生产设备一览表见下表。</w:t>
            </w:r>
          </w:p>
          <w:p>
            <w:pPr>
              <w:jc w:val="center"/>
              <w:rPr>
                <w:b/>
                <w:bCs/>
                <w:color w:val="auto"/>
                <w:u w:val="none"/>
              </w:rPr>
            </w:pPr>
            <w:r>
              <w:rPr>
                <w:b/>
                <w:bCs/>
                <w:color w:val="auto"/>
                <w:u w:val="none"/>
              </w:rPr>
              <w:t>表</w:t>
            </w:r>
            <w:r>
              <w:rPr>
                <w:rFonts w:hint="eastAsia"/>
                <w:b/>
                <w:bCs/>
                <w:color w:val="auto"/>
                <w:u w:val="none"/>
              </w:rPr>
              <w:t xml:space="preserve">2-4 </w:t>
            </w:r>
            <w:r>
              <w:rPr>
                <w:rFonts w:hint="eastAsia"/>
                <w:b/>
                <w:bCs/>
                <w:color w:val="auto"/>
                <w:u w:val="none"/>
                <w:lang w:val="en-US" w:eastAsia="zh-CN"/>
              </w:rPr>
              <w:t xml:space="preserve"> </w:t>
            </w:r>
            <w:r>
              <w:rPr>
                <w:rFonts w:hint="eastAsia"/>
                <w:b/>
                <w:bCs/>
                <w:color w:val="auto"/>
                <w:u w:val="none"/>
              </w:rPr>
              <w:t>本项目主要生产设备一览表</w:t>
            </w:r>
          </w:p>
          <w:tbl>
            <w:tblPr>
              <w:tblStyle w:val="23"/>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50"/>
              <w:gridCol w:w="2424"/>
              <w:gridCol w:w="1605"/>
              <w:gridCol w:w="1215"/>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b/>
                      <w:bCs/>
                      <w:color w:val="auto"/>
                      <w:sz w:val="21"/>
                      <w:szCs w:val="21"/>
                      <w:u w:val="none"/>
                      <w:lang w:val="en-US"/>
                    </w:rPr>
                  </w:pPr>
                  <w:r>
                    <w:rPr>
                      <w:rFonts w:hint="eastAsia" w:ascii="Times New Roman" w:hAnsi="Times New Roman" w:cs="Times New Roman"/>
                      <w:b/>
                      <w:bCs/>
                      <w:color w:val="auto"/>
                      <w:sz w:val="21"/>
                      <w:szCs w:val="21"/>
                      <w:u w:val="none"/>
                      <w:lang w:val="en-US"/>
                    </w:rPr>
                    <w:t>序号</w:t>
                  </w:r>
                </w:p>
              </w:tc>
              <w:tc>
                <w:tcPr>
                  <w:tcW w:w="1950" w:type="dxa"/>
                  <w:vAlign w:val="center"/>
                </w:tcPr>
                <w:p>
                  <w:pPr>
                    <w:pStyle w:val="25"/>
                    <w:rPr>
                      <w:rFonts w:ascii="Times New Roman" w:hAnsi="Times New Roman" w:cs="Times New Roman"/>
                      <w:b/>
                      <w:bCs/>
                      <w:color w:val="auto"/>
                      <w:sz w:val="21"/>
                      <w:szCs w:val="21"/>
                      <w:u w:val="none"/>
                      <w:lang w:val="en-US"/>
                    </w:rPr>
                  </w:pPr>
                  <w:r>
                    <w:rPr>
                      <w:rFonts w:hint="eastAsia" w:ascii="Times New Roman" w:hAnsi="Times New Roman" w:cs="Times New Roman"/>
                      <w:b/>
                      <w:bCs/>
                      <w:color w:val="auto"/>
                      <w:sz w:val="21"/>
                      <w:szCs w:val="21"/>
                      <w:u w:val="none"/>
                      <w:lang w:val="en-US"/>
                    </w:rPr>
                    <w:t>设备名称</w:t>
                  </w:r>
                </w:p>
              </w:tc>
              <w:tc>
                <w:tcPr>
                  <w:tcW w:w="2424" w:type="dxa"/>
                  <w:vAlign w:val="center"/>
                </w:tcPr>
                <w:p>
                  <w:pPr>
                    <w:pStyle w:val="25"/>
                    <w:rPr>
                      <w:rFonts w:ascii="Times New Roman" w:hAnsi="Times New Roman" w:cs="Times New Roman"/>
                      <w:b/>
                      <w:bCs/>
                      <w:color w:val="auto"/>
                      <w:sz w:val="21"/>
                      <w:szCs w:val="21"/>
                      <w:u w:val="none"/>
                      <w:lang w:val="en-US"/>
                    </w:rPr>
                  </w:pPr>
                  <w:r>
                    <w:rPr>
                      <w:rFonts w:hint="eastAsia" w:ascii="Times New Roman" w:hAnsi="Times New Roman" w:cs="Times New Roman"/>
                      <w:b/>
                      <w:bCs/>
                      <w:color w:val="auto"/>
                      <w:sz w:val="21"/>
                      <w:szCs w:val="21"/>
                      <w:u w:val="none"/>
                      <w:lang w:val="en-US"/>
                    </w:rPr>
                    <w:t>规格</w:t>
                  </w:r>
                  <w:r>
                    <w:rPr>
                      <w:rFonts w:hint="eastAsia" w:ascii="Times New Roman" w:hAnsi="Times New Roman" w:cs="Times New Roman"/>
                      <w:b/>
                      <w:bCs/>
                      <w:color w:val="auto"/>
                      <w:sz w:val="21"/>
                      <w:szCs w:val="21"/>
                      <w:u w:val="none"/>
                      <w:lang w:val="en-US" w:eastAsia="zh-CN"/>
                    </w:rPr>
                    <w:t>/</w:t>
                  </w:r>
                  <w:r>
                    <w:rPr>
                      <w:rFonts w:hint="eastAsia" w:ascii="Times New Roman" w:hAnsi="Times New Roman" w:cs="Times New Roman"/>
                      <w:b/>
                      <w:bCs/>
                      <w:color w:val="auto"/>
                      <w:sz w:val="21"/>
                      <w:szCs w:val="21"/>
                      <w:u w:val="none"/>
                      <w:lang w:val="en-US"/>
                    </w:rPr>
                    <w:t>型号</w:t>
                  </w:r>
                </w:p>
              </w:tc>
              <w:tc>
                <w:tcPr>
                  <w:tcW w:w="1605" w:type="dxa"/>
                  <w:vAlign w:val="center"/>
                </w:tcPr>
                <w:p>
                  <w:pPr>
                    <w:pStyle w:val="25"/>
                    <w:rPr>
                      <w:rFonts w:ascii="Times New Roman" w:hAnsi="Times New Roman" w:cs="Times New Roman"/>
                      <w:b/>
                      <w:bCs/>
                      <w:color w:val="auto"/>
                      <w:sz w:val="21"/>
                      <w:szCs w:val="21"/>
                      <w:u w:val="none"/>
                      <w:lang w:val="en-US"/>
                    </w:rPr>
                  </w:pPr>
                  <w:r>
                    <w:rPr>
                      <w:rFonts w:hint="eastAsia" w:ascii="Times New Roman" w:hAnsi="Times New Roman" w:cs="Times New Roman"/>
                      <w:b/>
                      <w:bCs/>
                      <w:color w:val="auto"/>
                      <w:sz w:val="21"/>
                      <w:szCs w:val="21"/>
                      <w:u w:val="none"/>
                      <w:lang w:val="en-US"/>
                    </w:rPr>
                    <w:t>数量（台/套）</w:t>
                  </w:r>
                </w:p>
              </w:tc>
              <w:tc>
                <w:tcPr>
                  <w:tcW w:w="2431" w:type="dxa"/>
                  <w:gridSpan w:val="2"/>
                  <w:vAlign w:val="center"/>
                </w:tcPr>
                <w:p>
                  <w:pPr>
                    <w:pStyle w:val="25"/>
                    <w:rPr>
                      <w:rFonts w:ascii="Times New Roman" w:hAnsi="Times New Roman" w:cs="Times New Roman"/>
                      <w:b/>
                      <w:bCs/>
                      <w:color w:val="auto"/>
                      <w:sz w:val="21"/>
                      <w:szCs w:val="21"/>
                      <w:u w:val="none"/>
                      <w:lang w:val="en-US"/>
                    </w:rPr>
                  </w:pPr>
                  <w:r>
                    <w:rPr>
                      <w:rFonts w:hint="eastAsia" w:ascii="Times New Roman" w:hAnsi="Times New Roman" w:cs="Times New Roman"/>
                      <w:b/>
                      <w:bCs/>
                      <w:color w:val="auto"/>
                      <w:sz w:val="21"/>
                      <w:szCs w:val="21"/>
                      <w:u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1</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单立铣</w:t>
                  </w:r>
                </w:p>
              </w:tc>
              <w:tc>
                <w:tcPr>
                  <w:tcW w:w="2424"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MX5117</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215" w:type="dxa"/>
                  <w:vAlign w:val="center"/>
                </w:tcPr>
                <w:p>
                  <w:pPr>
                    <w:pStyle w:val="25"/>
                    <w:rPr>
                      <w:rFonts w:ascii="Times New Roman" w:hAnsi="Times New Roman" w:cs="Times New Roman"/>
                      <w:b w:val="0"/>
                      <w:bCs w:val="0"/>
                      <w:color w:val="auto"/>
                      <w:sz w:val="21"/>
                      <w:szCs w:val="21"/>
                      <w:u w:val="none"/>
                      <w:lang w:val="en-US"/>
                    </w:rPr>
                  </w:pPr>
                  <w:r>
                    <w:rPr>
                      <w:rFonts w:hint="eastAsia" w:ascii="Times New Roman" w:hAnsi="Times New Roman" w:cs="Times New Roman"/>
                      <w:b w:val="0"/>
                      <w:bCs w:val="0"/>
                      <w:color w:val="auto"/>
                      <w:sz w:val="21"/>
                      <w:szCs w:val="21"/>
                      <w:u w:val="none"/>
                      <w:lang w:val="en-US"/>
                    </w:rPr>
                    <w:t>打孔</w:t>
                  </w:r>
                </w:p>
              </w:tc>
              <w:tc>
                <w:tcPr>
                  <w:tcW w:w="1216" w:type="dxa"/>
                  <w:vAlign w:val="center"/>
                </w:tcPr>
                <w:p>
                  <w:pPr>
                    <w:pStyle w:val="25"/>
                    <w:rPr>
                      <w:rFonts w:ascii="Times New Roman" w:hAnsi="Times New Roman" w:cs="Times New Roman"/>
                      <w:b w:val="0"/>
                      <w:bCs w:val="0"/>
                      <w:color w:val="auto"/>
                      <w:sz w:val="21"/>
                      <w:szCs w:val="21"/>
                      <w:u w:val="none"/>
                      <w:lang w:val="en-US"/>
                    </w:rPr>
                  </w:pPr>
                  <w:r>
                    <w:rPr>
                      <w:rFonts w:hint="eastAsia" w:ascii="Times New Roman" w:hAnsi="Times New Roman" w:cs="Times New Roman"/>
                      <w:b w:val="0"/>
                      <w:bCs w:val="0"/>
                      <w:color w:val="auto"/>
                      <w:sz w:val="21"/>
                      <w:szCs w:val="21"/>
                      <w:u w:val="none"/>
                      <w:lang w:val="en-US"/>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2</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推台锯</w:t>
                  </w:r>
                </w:p>
              </w:tc>
              <w:tc>
                <w:tcPr>
                  <w:tcW w:w="2424"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MJ-61328</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215" w:type="dxa"/>
                  <w:vAlign w:val="center"/>
                </w:tcPr>
                <w:p>
                  <w:pPr>
                    <w:pStyle w:val="25"/>
                    <w:rPr>
                      <w:rFonts w:hint="eastAsia"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开料</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3</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电子锯</w:t>
                  </w:r>
                </w:p>
              </w:tc>
              <w:tc>
                <w:tcPr>
                  <w:tcW w:w="2424"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ZT2700PC</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1215" w:type="dxa"/>
                  <w:vAlign w:val="center"/>
                </w:tcPr>
                <w:p>
                  <w:pPr>
                    <w:pStyle w:val="25"/>
                    <w:rPr>
                      <w:rFonts w:hint="eastAsia"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开料</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4</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压机</w:t>
                  </w:r>
                </w:p>
              </w:tc>
              <w:tc>
                <w:tcPr>
                  <w:tcW w:w="2424"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MH32410</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1215" w:type="dxa"/>
                  <w:vAlign w:val="center"/>
                </w:tcPr>
                <w:p>
                  <w:pPr>
                    <w:pStyle w:val="25"/>
                    <w:rPr>
                      <w:rFonts w:ascii="Times New Roman" w:hAnsi="Times New Roman" w:cs="Times New Roman"/>
                      <w:b w:val="0"/>
                      <w:bCs w:val="0"/>
                      <w:color w:val="auto"/>
                      <w:sz w:val="21"/>
                      <w:szCs w:val="21"/>
                      <w:u w:val="none"/>
                      <w:lang w:val="en-US"/>
                    </w:rPr>
                  </w:pPr>
                  <w:r>
                    <w:rPr>
                      <w:rFonts w:hint="eastAsia" w:ascii="Times New Roman" w:hAnsi="Times New Roman" w:cs="Times New Roman"/>
                      <w:b w:val="0"/>
                      <w:bCs w:val="0"/>
                      <w:color w:val="auto"/>
                      <w:sz w:val="21"/>
                      <w:szCs w:val="21"/>
                      <w:u w:val="none"/>
                      <w:lang w:val="en-US"/>
                    </w:rPr>
                    <w:t>冷压</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5</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加工中心机床</w:t>
                  </w:r>
                </w:p>
              </w:tc>
              <w:tc>
                <w:tcPr>
                  <w:tcW w:w="2424"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EK-1228C</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1215" w:type="dxa"/>
                  <w:vAlign w:val="center"/>
                </w:tcPr>
                <w:p>
                  <w:pPr>
                    <w:pStyle w:val="25"/>
                    <w:rPr>
                      <w:rFonts w:hint="eastAsia"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裁板</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6</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封边机</w:t>
                  </w:r>
                </w:p>
              </w:tc>
              <w:tc>
                <w:tcPr>
                  <w:tcW w:w="2424"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EF583GIM</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1215" w:type="dxa"/>
                  <w:vAlign w:val="center"/>
                </w:tcPr>
                <w:p>
                  <w:pPr>
                    <w:pStyle w:val="25"/>
                    <w:rPr>
                      <w:rFonts w:hint="eastAsia"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封边</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7</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六面钻</w:t>
                  </w:r>
                </w:p>
              </w:tc>
              <w:tc>
                <w:tcPr>
                  <w:tcW w:w="2424"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EASW1228</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215" w:type="dxa"/>
                  <w:vAlign w:val="center"/>
                </w:tcPr>
                <w:p>
                  <w:pPr>
                    <w:pStyle w:val="25"/>
                    <w:rPr>
                      <w:rFonts w:hint="eastAsia"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打孔</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8</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下料机</w:t>
                  </w:r>
                </w:p>
              </w:tc>
              <w:tc>
                <w:tcPr>
                  <w:tcW w:w="2424"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215" w:type="dxa"/>
                  <w:vAlign w:val="center"/>
                </w:tcPr>
                <w:p>
                  <w:pPr>
                    <w:pStyle w:val="25"/>
                    <w:rPr>
                      <w:rFonts w:ascii="Times New Roman" w:hAnsi="Times New Roman" w:cs="Times New Roman"/>
                      <w:b w:val="0"/>
                      <w:bCs w:val="0"/>
                      <w:color w:val="auto"/>
                      <w:sz w:val="21"/>
                      <w:szCs w:val="21"/>
                      <w:u w:val="none"/>
                      <w:lang w:val="en-US"/>
                    </w:rPr>
                  </w:pPr>
                  <w:r>
                    <w:rPr>
                      <w:rFonts w:hint="eastAsia" w:ascii="Times New Roman" w:hAnsi="Times New Roman" w:cs="Times New Roman"/>
                      <w:b w:val="0"/>
                      <w:bCs w:val="0"/>
                      <w:color w:val="auto"/>
                      <w:sz w:val="21"/>
                      <w:szCs w:val="21"/>
                      <w:u w:val="none"/>
                      <w:lang w:val="en-US" w:eastAsia="zh-CN"/>
                    </w:rPr>
                    <w:t>裁板</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9</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开锁机</w:t>
                  </w:r>
                </w:p>
              </w:tc>
              <w:tc>
                <w:tcPr>
                  <w:tcW w:w="2424"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1215" w:type="dxa"/>
                  <w:vAlign w:val="center"/>
                </w:tcPr>
                <w:p>
                  <w:pPr>
                    <w:pStyle w:val="25"/>
                    <w:rPr>
                      <w:rFonts w:hint="eastAsia"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打孔</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10</w:t>
                  </w:r>
                </w:p>
              </w:tc>
              <w:tc>
                <w:tcPr>
                  <w:tcW w:w="1950"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缝纫机</w:t>
                  </w:r>
                </w:p>
              </w:tc>
              <w:tc>
                <w:tcPr>
                  <w:tcW w:w="2424"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1215" w:type="dxa"/>
                  <w:vAlign w:val="center"/>
                </w:tcPr>
                <w:p>
                  <w:pPr>
                    <w:pStyle w:val="25"/>
                    <w:rPr>
                      <w:rFonts w:hint="eastAsia"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缝纫</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1"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11</w:t>
                  </w:r>
                </w:p>
              </w:tc>
              <w:tc>
                <w:tcPr>
                  <w:tcW w:w="1950" w:type="dxa"/>
                  <w:shd w:val="clear" w:color="auto" w:fill="auto"/>
                  <w:vAlign w:val="top"/>
                </w:tcPr>
                <w:p>
                  <w:pPr>
                    <w:pStyle w:val="25"/>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码钉枪</w:t>
                  </w:r>
                </w:p>
              </w:tc>
              <w:tc>
                <w:tcPr>
                  <w:tcW w:w="2424"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05" w:type="dxa"/>
                  <w:shd w:val="clear" w:color="auto" w:fill="auto"/>
                  <w:vAlign w:val="top"/>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1215" w:type="dxa"/>
                  <w:vAlign w:val="center"/>
                </w:tcPr>
                <w:p>
                  <w:pPr>
                    <w:pStyle w:val="25"/>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钉装</w:t>
                  </w:r>
                </w:p>
              </w:tc>
              <w:tc>
                <w:tcPr>
                  <w:tcW w:w="1216" w:type="dxa"/>
                  <w:vAlign w:val="center"/>
                </w:tcPr>
                <w:p>
                  <w:pPr>
                    <w:jc w:val="center"/>
                    <w:rPr>
                      <w:b w:val="0"/>
                      <w:bCs w:val="0"/>
                      <w:color w:val="auto"/>
                      <w:sz w:val="21"/>
                      <w:szCs w:val="21"/>
                      <w:u w:val="none"/>
                    </w:rPr>
                  </w:pPr>
                  <w:r>
                    <w:rPr>
                      <w:rFonts w:hint="eastAsia"/>
                      <w:b w:val="0"/>
                      <w:bCs w:val="0"/>
                      <w:color w:val="auto"/>
                      <w:sz w:val="21"/>
                      <w:szCs w:val="21"/>
                      <w:u w:val="none"/>
                    </w:rPr>
                    <w:t>新增</w:t>
                  </w:r>
                </w:p>
              </w:tc>
            </w:tr>
          </w:tbl>
          <w:p>
            <w:pPr>
              <w:pStyle w:val="25"/>
              <w:spacing w:line="520" w:lineRule="exact"/>
              <w:jc w:val="both"/>
              <w:rPr>
                <w:rFonts w:ascii="Times New Roman" w:hAnsi="Times New Roman" w:cs="Times New Roman"/>
                <w:b/>
                <w:bCs/>
                <w:color w:val="auto"/>
                <w:lang w:val="en-US"/>
              </w:rPr>
            </w:pPr>
            <w:r>
              <w:rPr>
                <w:rFonts w:hint="eastAsia" w:ascii="Times New Roman" w:hAnsi="Times New Roman" w:cs="Times New Roman"/>
                <w:b/>
                <w:bCs/>
                <w:color w:val="auto"/>
                <w:lang w:val="en-US"/>
              </w:rPr>
              <w:t>4、原辅材料及能源消耗</w:t>
            </w:r>
          </w:p>
          <w:p>
            <w:pPr>
              <w:pStyle w:val="25"/>
              <w:spacing w:line="520" w:lineRule="exact"/>
              <w:ind w:firstLine="480" w:firstLineChars="200"/>
              <w:jc w:val="both"/>
              <w:rPr>
                <w:rFonts w:ascii="Times New Roman" w:hAnsi="Times New Roman" w:cs="Times New Roman"/>
                <w:color w:val="auto"/>
                <w:lang w:val="en-US"/>
              </w:rPr>
            </w:pPr>
            <w:r>
              <w:rPr>
                <w:rFonts w:hint="eastAsia" w:ascii="Times New Roman" w:hAnsi="Times New Roman" w:cs="Times New Roman"/>
                <w:color w:val="auto"/>
                <w:lang w:val="en-US"/>
              </w:rPr>
              <w:t>本项目主要原辅材料消耗情况一览表见下表。</w:t>
            </w:r>
          </w:p>
          <w:p>
            <w:pPr>
              <w:jc w:val="center"/>
              <w:rPr>
                <w:b/>
                <w:bCs/>
                <w:color w:val="auto"/>
              </w:rPr>
            </w:pPr>
            <w:r>
              <w:rPr>
                <w:b/>
                <w:bCs/>
                <w:color w:val="auto"/>
              </w:rPr>
              <w:t>表</w:t>
            </w:r>
            <w:r>
              <w:rPr>
                <w:rFonts w:hint="eastAsia"/>
                <w:b/>
                <w:bCs/>
                <w:color w:val="auto"/>
              </w:rPr>
              <w:t>2-5</w:t>
            </w:r>
            <w:r>
              <w:rPr>
                <w:rFonts w:hint="eastAsia"/>
                <w:b/>
                <w:bCs/>
                <w:color w:val="auto"/>
                <w:lang w:val="en-US" w:eastAsia="zh-CN"/>
              </w:rPr>
              <w:t xml:space="preserve"> </w:t>
            </w:r>
            <w:r>
              <w:rPr>
                <w:rFonts w:hint="eastAsia"/>
                <w:b/>
                <w:bCs/>
                <w:color w:val="auto"/>
              </w:rPr>
              <w:t xml:space="preserve"> 本项目营运期主要原辅材料消耗情况一览表</w:t>
            </w:r>
          </w:p>
          <w:tbl>
            <w:tblPr>
              <w:tblStyle w:val="2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35"/>
              <w:gridCol w:w="1347"/>
              <w:gridCol w:w="1534"/>
              <w:gridCol w:w="2119"/>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序号</w:t>
                  </w:r>
                </w:p>
              </w:tc>
              <w:tc>
                <w:tcPr>
                  <w:tcW w:w="1635"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名称</w:t>
                  </w:r>
                </w:p>
              </w:tc>
              <w:tc>
                <w:tcPr>
                  <w:tcW w:w="1347" w:type="dxa"/>
                  <w:vAlign w:val="center"/>
                </w:tcPr>
                <w:p>
                  <w:pPr>
                    <w:pStyle w:val="25"/>
                    <w:rPr>
                      <w:rFonts w:hint="eastAsia"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规格</w:t>
                  </w:r>
                </w:p>
              </w:tc>
              <w:tc>
                <w:tcPr>
                  <w:tcW w:w="1534"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用量</w:t>
                  </w:r>
                </w:p>
              </w:tc>
              <w:tc>
                <w:tcPr>
                  <w:tcW w:w="2119" w:type="dxa"/>
                  <w:vAlign w:val="center"/>
                </w:tcPr>
                <w:p>
                  <w:pPr>
                    <w:pStyle w:val="25"/>
                    <w:rPr>
                      <w:rFonts w:ascii="Times New Roman" w:hAnsi="Times New Roman" w:cs="Times New Roman"/>
                      <w:b/>
                      <w:bCs/>
                      <w:color w:val="auto"/>
                      <w:sz w:val="21"/>
                      <w:szCs w:val="21"/>
                      <w:lang w:val="en-US"/>
                    </w:rPr>
                  </w:pPr>
                  <w:r>
                    <w:rPr>
                      <w:rFonts w:hint="eastAsia" w:ascii="Times New Roman" w:hAnsi="Times New Roman" w:cs="Times New Roman"/>
                      <w:b/>
                      <w:bCs/>
                      <w:color w:val="auto"/>
                      <w:sz w:val="21"/>
                      <w:szCs w:val="21"/>
                      <w:lang w:val="en-US"/>
                    </w:rPr>
                    <w:t>储存方式与位置</w:t>
                  </w:r>
                </w:p>
              </w:tc>
              <w:tc>
                <w:tcPr>
                  <w:tcW w:w="1881" w:type="dxa"/>
                  <w:vAlign w:val="center"/>
                </w:tcPr>
                <w:p>
                  <w:pPr>
                    <w:pStyle w:val="25"/>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rPr>
                    <w:t>最大储存量/</w:t>
                  </w:r>
                  <w:r>
                    <w:rPr>
                      <w:rFonts w:hint="eastAsia" w:ascii="Times New Roman" w:hAnsi="Times New Roman" w:cs="Times New Roman"/>
                      <w:b/>
                      <w:bCs/>
                      <w:color w:val="auto"/>
                      <w:sz w:val="21"/>
                      <w:szCs w:val="21"/>
                      <w:lang w:val="en-US" w:eastAsia="zh-CN"/>
                    </w:rPr>
                    <w:t>m</w:t>
                  </w:r>
                  <w:r>
                    <w:rPr>
                      <w:rFonts w:hint="eastAsia" w:ascii="Times New Roman" w:hAnsi="Times New Roman" w:cs="Times New Roman"/>
                      <w:b/>
                      <w:bCs/>
                      <w:color w:val="auto"/>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1</w:t>
                  </w:r>
                </w:p>
              </w:tc>
              <w:tc>
                <w:tcPr>
                  <w:tcW w:w="1635" w:type="dxa"/>
                  <w:vAlign w:val="center"/>
                </w:tcPr>
                <w:p>
                  <w:pPr>
                    <w:pStyle w:val="25"/>
                    <w:rPr>
                      <w:rFonts w:hint="eastAsia"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密度板</w:t>
                  </w:r>
                </w:p>
              </w:tc>
              <w:tc>
                <w:tcPr>
                  <w:tcW w:w="1347"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w:t>
                  </w:r>
                </w:p>
              </w:tc>
              <w:tc>
                <w:tcPr>
                  <w:tcW w:w="1534"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90</w:t>
                  </w:r>
                  <w:r>
                    <w:rPr>
                      <w:rFonts w:hint="eastAsia" w:ascii="Times New Roman" w:hAnsi="Times New Roman" w:cs="Times New Roman"/>
                      <w:color w:val="auto"/>
                      <w:sz w:val="21"/>
                      <w:szCs w:val="21"/>
                      <w:lang w:val="en-US"/>
                    </w:rPr>
                    <w:t>m</w:t>
                  </w:r>
                  <w:r>
                    <w:rPr>
                      <w:rFonts w:hint="eastAsia" w:ascii="Times New Roman" w:hAnsi="Times New Roman" w:cs="Times New Roman"/>
                      <w:color w:val="auto"/>
                      <w:sz w:val="21"/>
                      <w:szCs w:val="21"/>
                      <w:vertAlign w:val="superscript"/>
                      <w:lang w:val="en-US"/>
                    </w:rPr>
                    <w:t>3</w:t>
                  </w:r>
                  <w:r>
                    <w:rPr>
                      <w:rFonts w:hint="eastAsia" w:ascii="Times New Roman" w:hAnsi="Times New Roman" w:cs="Times New Roman"/>
                      <w:color w:val="auto"/>
                      <w:sz w:val="21"/>
                      <w:szCs w:val="21"/>
                      <w:lang w:val="en-US"/>
                    </w:rPr>
                    <w:t>/a</w:t>
                  </w:r>
                </w:p>
              </w:tc>
              <w:tc>
                <w:tcPr>
                  <w:tcW w:w="2119"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阴凉通风处，库房</w:t>
                  </w:r>
                </w:p>
              </w:tc>
              <w:tc>
                <w:tcPr>
                  <w:tcW w:w="1881"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2</w:t>
                  </w:r>
                </w:p>
              </w:tc>
              <w:tc>
                <w:tcPr>
                  <w:tcW w:w="1635" w:type="dxa"/>
                  <w:vAlign w:val="center"/>
                </w:tcPr>
                <w:p>
                  <w:pPr>
                    <w:pStyle w:val="25"/>
                    <w:rPr>
                      <w:rFonts w:hint="eastAsia"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多层板</w:t>
                  </w:r>
                </w:p>
              </w:tc>
              <w:tc>
                <w:tcPr>
                  <w:tcW w:w="1347"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4"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90</w:t>
                  </w:r>
                  <w:r>
                    <w:rPr>
                      <w:rFonts w:hint="eastAsia" w:ascii="Times New Roman" w:hAnsi="Times New Roman" w:cs="Times New Roman"/>
                      <w:color w:val="auto"/>
                      <w:sz w:val="21"/>
                      <w:szCs w:val="21"/>
                      <w:lang w:val="en-US"/>
                    </w:rPr>
                    <w:t>m</w:t>
                  </w:r>
                  <w:r>
                    <w:rPr>
                      <w:rFonts w:hint="eastAsia" w:ascii="Times New Roman" w:hAnsi="Times New Roman" w:cs="Times New Roman"/>
                      <w:color w:val="auto"/>
                      <w:sz w:val="21"/>
                      <w:szCs w:val="21"/>
                      <w:vertAlign w:val="superscript"/>
                      <w:lang w:val="en-US"/>
                    </w:rPr>
                    <w:t>3</w:t>
                  </w:r>
                  <w:r>
                    <w:rPr>
                      <w:rFonts w:hint="eastAsia" w:ascii="Times New Roman" w:hAnsi="Times New Roman" w:cs="Times New Roman"/>
                      <w:color w:val="auto"/>
                      <w:sz w:val="21"/>
                      <w:szCs w:val="21"/>
                      <w:lang w:val="en-US"/>
                    </w:rPr>
                    <w:t>/a</w:t>
                  </w:r>
                </w:p>
              </w:tc>
              <w:tc>
                <w:tcPr>
                  <w:tcW w:w="2119"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阴凉通风处，库房</w:t>
                  </w:r>
                </w:p>
              </w:tc>
              <w:tc>
                <w:tcPr>
                  <w:tcW w:w="1881"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3</w:t>
                  </w:r>
                </w:p>
              </w:tc>
              <w:tc>
                <w:tcPr>
                  <w:tcW w:w="1635" w:type="dxa"/>
                  <w:vAlign w:val="center"/>
                </w:tcPr>
                <w:p>
                  <w:pPr>
                    <w:pStyle w:val="25"/>
                    <w:rPr>
                      <w:rFonts w:hint="eastAsia"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颗粒板</w:t>
                  </w:r>
                </w:p>
              </w:tc>
              <w:tc>
                <w:tcPr>
                  <w:tcW w:w="1347"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4"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270</w:t>
                  </w:r>
                  <w:r>
                    <w:rPr>
                      <w:rFonts w:hint="eastAsia" w:ascii="Times New Roman" w:hAnsi="Times New Roman" w:cs="Times New Roman"/>
                      <w:color w:val="auto"/>
                      <w:sz w:val="21"/>
                      <w:szCs w:val="21"/>
                      <w:lang w:val="en-US"/>
                    </w:rPr>
                    <w:t>m</w:t>
                  </w:r>
                  <w:r>
                    <w:rPr>
                      <w:rFonts w:hint="eastAsia" w:ascii="Times New Roman" w:hAnsi="Times New Roman" w:cs="Times New Roman"/>
                      <w:color w:val="auto"/>
                      <w:sz w:val="21"/>
                      <w:szCs w:val="21"/>
                      <w:vertAlign w:val="superscript"/>
                      <w:lang w:val="en-US"/>
                    </w:rPr>
                    <w:t>3</w:t>
                  </w:r>
                  <w:r>
                    <w:rPr>
                      <w:rFonts w:hint="eastAsia" w:ascii="Times New Roman" w:hAnsi="Times New Roman" w:cs="Times New Roman"/>
                      <w:color w:val="auto"/>
                      <w:sz w:val="21"/>
                      <w:szCs w:val="21"/>
                      <w:lang w:val="en-US"/>
                    </w:rPr>
                    <w:t>/a</w:t>
                  </w:r>
                </w:p>
              </w:tc>
              <w:tc>
                <w:tcPr>
                  <w:tcW w:w="2119"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阴凉通风处，库房</w:t>
                  </w:r>
                </w:p>
              </w:tc>
              <w:tc>
                <w:tcPr>
                  <w:tcW w:w="1881"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4</w:t>
                  </w:r>
                </w:p>
              </w:tc>
              <w:tc>
                <w:tcPr>
                  <w:tcW w:w="1635" w:type="dxa"/>
                  <w:vAlign w:val="center"/>
                </w:tcPr>
                <w:p>
                  <w:pPr>
                    <w:pStyle w:val="25"/>
                    <w:rPr>
                      <w:rFonts w:hint="eastAsia"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海绵胶</w:t>
                  </w:r>
                </w:p>
              </w:tc>
              <w:tc>
                <w:tcPr>
                  <w:tcW w:w="1347"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rPr>
                    <w:t>0kg/桶</w:t>
                  </w:r>
                </w:p>
              </w:tc>
              <w:tc>
                <w:tcPr>
                  <w:tcW w:w="1534"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1t/a</w:t>
                  </w:r>
                </w:p>
              </w:tc>
              <w:tc>
                <w:tcPr>
                  <w:tcW w:w="2119"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阴凉通风处，库房</w:t>
                  </w:r>
                </w:p>
              </w:tc>
              <w:tc>
                <w:tcPr>
                  <w:tcW w:w="1881"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8"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5</w:t>
                  </w:r>
                </w:p>
              </w:tc>
              <w:tc>
                <w:tcPr>
                  <w:tcW w:w="1635" w:type="dxa"/>
                  <w:vAlign w:val="center"/>
                </w:tcPr>
                <w:p>
                  <w:pPr>
                    <w:pStyle w:val="25"/>
                    <w:rPr>
                      <w:rFonts w:hint="eastAsia"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封边胶（EVA胶）</w:t>
                  </w:r>
                </w:p>
              </w:tc>
              <w:tc>
                <w:tcPr>
                  <w:tcW w:w="1347"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25</w:t>
                  </w:r>
                  <w:r>
                    <w:rPr>
                      <w:rFonts w:hint="eastAsia" w:ascii="Times New Roman" w:hAnsi="Times New Roman" w:cs="Times New Roman"/>
                      <w:color w:val="auto"/>
                      <w:sz w:val="21"/>
                      <w:szCs w:val="21"/>
                      <w:lang w:val="en-US"/>
                    </w:rPr>
                    <w:t>kg/</w:t>
                  </w:r>
                  <w:r>
                    <w:rPr>
                      <w:rFonts w:hint="eastAsia" w:ascii="Times New Roman" w:hAnsi="Times New Roman" w:cs="Times New Roman"/>
                      <w:color w:val="auto"/>
                      <w:sz w:val="21"/>
                      <w:szCs w:val="21"/>
                      <w:lang w:val="en-US" w:eastAsia="zh-CN"/>
                    </w:rPr>
                    <w:t>袋</w:t>
                  </w:r>
                </w:p>
              </w:tc>
              <w:tc>
                <w:tcPr>
                  <w:tcW w:w="1534"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2.5</w:t>
                  </w:r>
                  <w:r>
                    <w:rPr>
                      <w:rFonts w:hint="eastAsia" w:ascii="Times New Roman" w:hAnsi="Times New Roman" w:cs="Times New Roman"/>
                      <w:color w:val="auto"/>
                      <w:sz w:val="21"/>
                      <w:szCs w:val="21"/>
                      <w:lang w:val="en-US"/>
                    </w:rPr>
                    <w:t>t/a</w:t>
                  </w:r>
                </w:p>
              </w:tc>
              <w:tc>
                <w:tcPr>
                  <w:tcW w:w="2119"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阴凉通风处，库房</w:t>
                  </w:r>
                </w:p>
              </w:tc>
              <w:tc>
                <w:tcPr>
                  <w:tcW w:w="1881"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6</w:t>
                  </w:r>
                </w:p>
              </w:tc>
              <w:tc>
                <w:tcPr>
                  <w:tcW w:w="1635" w:type="dxa"/>
                  <w:vAlign w:val="center"/>
                </w:tcPr>
                <w:p>
                  <w:pPr>
                    <w:pStyle w:val="25"/>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海绵</w:t>
                  </w:r>
                </w:p>
              </w:tc>
              <w:tc>
                <w:tcPr>
                  <w:tcW w:w="1347"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4" w:type="dxa"/>
                  <w:vAlign w:val="center"/>
                </w:tcPr>
                <w:p>
                  <w:pPr>
                    <w:pStyle w:val="25"/>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10000</w:t>
                  </w:r>
                  <w:r>
                    <w:rPr>
                      <w:rFonts w:hint="eastAsia" w:ascii="Times New Roman" w:hAnsi="Times New Roman" w:cs="Times New Roman"/>
                      <w:color w:val="auto"/>
                      <w:sz w:val="21"/>
                      <w:szCs w:val="21"/>
                      <w:lang w:val="en-US"/>
                    </w:rPr>
                    <w:t>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lang w:val="en-US"/>
                    </w:rPr>
                    <w:t>/a</w:t>
                  </w:r>
                </w:p>
              </w:tc>
              <w:tc>
                <w:tcPr>
                  <w:tcW w:w="2119" w:type="dxa"/>
                  <w:vAlign w:val="center"/>
                </w:tcPr>
                <w:p>
                  <w:pPr>
                    <w:jc w:val="center"/>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阴凉通风处，库房</w:t>
                  </w:r>
                </w:p>
              </w:tc>
              <w:tc>
                <w:tcPr>
                  <w:tcW w:w="1881"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1000</w:t>
                  </w:r>
                  <w:r>
                    <w:rPr>
                      <w:rFonts w:hint="eastAsia" w:ascii="Times New Roman" w:hAnsi="Times New Roman" w:cs="Times New Roman"/>
                      <w:color w:val="auto"/>
                      <w:sz w:val="21"/>
                      <w:szCs w:val="21"/>
                      <w:lang w:val="en-US"/>
                    </w:rPr>
                    <w:t>m</w:t>
                  </w:r>
                  <w:r>
                    <w:rPr>
                      <w:rFonts w:hint="eastAsia" w:ascii="Times New Roman" w:hAnsi="Times New Roman" w:cs="Times New Roman"/>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635" w:type="dxa"/>
                  <w:vAlign w:val="center"/>
                </w:tcPr>
                <w:p>
                  <w:pPr>
                    <w:pStyle w:val="25"/>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布艺</w:t>
                  </w:r>
                </w:p>
              </w:tc>
              <w:tc>
                <w:tcPr>
                  <w:tcW w:w="1347"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4"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5000m/a</w:t>
                  </w:r>
                </w:p>
              </w:tc>
              <w:tc>
                <w:tcPr>
                  <w:tcW w:w="2119" w:type="dxa"/>
                  <w:vAlign w:val="center"/>
                </w:tcPr>
                <w:p>
                  <w:pPr>
                    <w:jc w:val="center"/>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阴凉通风处，库房</w:t>
                  </w:r>
                </w:p>
              </w:tc>
              <w:tc>
                <w:tcPr>
                  <w:tcW w:w="1881"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1635" w:type="dxa"/>
                  <w:vAlign w:val="center"/>
                </w:tcPr>
                <w:p>
                  <w:pPr>
                    <w:pStyle w:val="25"/>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皮革</w:t>
                  </w:r>
                </w:p>
              </w:tc>
              <w:tc>
                <w:tcPr>
                  <w:tcW w:w="1347"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4"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5000m/a</w:t>
                  </w:r>
                </w:p>
              </w:tc>
              <w:tc>
                <w:tcPr>
                  <w:tcW w:w="2119" w:type="dxa"/>
                  <w:vAlign w:val="center"/>
                </w:tcPr>
                <w:p>
                  <w:pPr>
                    <w:jc w:val="center"/>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阴凉通风处，库房</w:t>
                  </w:r>
                </w:p>
              </w:tc>
              <w:tc>
                <w:tcPr>
                  <w:tcW w:w="1881" w:type="dxa"/>
                  <w:vAlign w:val="center"/>
                </w:tcPr>
                <w:p>
                  <w:pPr>
                    <w:jc w:val="center"/>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200m/a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9</w:t>
                  </w:r>
                </w:p>
              </w:tc>
              <w:tc>
                <w:tcPr>
                  <w:tcW w:w="1635" w:type="dxa"/>
                  <w:vAlign w:val="center"/>
                </w:tcPr>
                <w:p>
                  <w:pPr>
                    <w:pStyle w:val="25"/>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无纺布</w:t>
                  </w:r>
                </w:p>
              </w:tc>
              <w:tc>
                <w:tcPr>
                  <w:tcW w:w="1347" w:type="dxa"/>
                  <w:vAlign w:val="center"/>
                </w:tcPr>
                <w:p>
                  <w:pPr>
                    <w:pStyle w:val="25"/>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4" w:type="dxa"/>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5000m/a</w:t>
                  </w:r>
                </w:p>
              </w:tc>
              <w:tc>
                <w:tcPr>
                  <w:tcW w:w="2119" w:type="dxa"/>
                  <w:vAlign w:val="center"/>
                </w:tcPr>
                <w:p>
                  <w:pPr>
                    <w:jc w:val="center"/>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rPr>
                    <w:t>阴凉通风处，库房</w:t>
                  </w:r>
                </w:p>
              </w:tc>
              <w:tc>
                <w:tcPr>
                  <w:tcW w:w="1881" w:type="dxa"/>
                  <w:vAlign w:val="center"/>
                </w:tcPr>
                <w:p>
                  <w:pPr>
                    <w:jc w:val="center"/>
                    <w:rPr>
                      <w:rFonts w:hint="eastAsia"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200m/a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10</w:t>
                  </w:r>
                </w:p>
              </w:tc>
              <w:tc>
                <w:tcPr>
                  <w:tcW w:w="1635" w:type="dxa"/>
                  <w:shd w:val="clear" w:color="auto" w:fill="auto"/>
                  <w:vAlign w:val="center"/>
                </w:tcPr>
                <w:p>
                  <w:pPr>
                    <w:pStyle w:val="25"/>
                    <w:rPr>
                      <w:rFonts w:hint="default"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eastAsia="zh-CN"/>
                    </w:rPr>
                    <w:t>PVC封边条</w:t>
                  </w:r>
                </w:p>
              </w:tc>
              <w:tc>
                <w:tcPr>
                  <w:tcW w:w="1347" w:type="dxa"/>
                  <w:shd w:val="clear" w:color="auto" w:fill="auto"/>
                  <w:vAlign w:val="center"/>
                </w:tcPr>
                <w:p>
                  <w:pPr>
                    <w:pStyle w:val="25"/>
                    <w:rPr>
                      <w:rFonts w:hint="default"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eastAsia="zh-CN"/>
                    </w:rPr>
                    <w:t>100m/卷</w:t>
                  </w:r>
                </w:p>
              </w:tc>
              <w:tc>
                <w:tcPr>
                  <w:tcW w:w="1534" w:type="dxa"/>
                  <w:shd w:val="clear" w:color="auto" w:fill="auto"/>
                  <w:vAlign w:val="center"/>
                </w:tcPr>
                <w:p>
                  <w:pPr>
                    <w:pStyle w:val="25"/>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eastAsia="zh-CN"/>
                    </w:rPr>
                    <w:t>2万米/a</w:t>
                  </w:r>
                </w:p>
              </w:tc>
              <w:tc>
                <w:tcPr>
                  <w:tcW w:w="2119" w:type="dxa"/>
                  <w:shd w:val="clear" w:color="auto" w:fill="auto"/>
                  <w:vAlign w:val="center"/>
                </w:tcPr>
                <w:p>
                  <w:pPr>
                    <w:jc w:val="center"/>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阴凉通风处，库房</w:t>
                  </w:r>
                </w:p>
              </w:tc>
              <w:tc>
                <w:tcPr>
                  <w:tcW w:w="1881" w:type="dxa"/>
                  <w:shd w:val="clear" w:color="auto" w:fill="auto"/>
                  <w:vAlign w:val="center"/>
                </w:tcPr>
                <w:p>
                  <w:pPr>
                    <w:pStyle w:val="25"/>
                    <w:rPr>
                      <w:rFonts w:hint="default"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eastAsia="zh-CN"/>
                    </w:rPr>
                    <w:t>50卷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hint="eastAsia" w:ascii="Times New Roman" w:hAnsi="Times New Roman" w:eastAsia="宋体" w:cs="Times New Roman"/>
                      <w:b/>
                      <w:bCs/>
                      <w:color w:val="auto"/>
                      <w:kern w:val="2"/>
                      <w:sz w:val="21"/>
                      <w:szCs w:val="21"/>
                      <w:u w:val="single"/>
                      <w:lang w:val="en-US" w:eastAsia="zh-CN" w:bidi="zh-CN"/>
                    </w:rPr>
                  </w:pPr>
                  <w:r>
                    <w:rPr>
                      <w:rFonts w:hint="eastAsia" w:ascii="Times New Roman" w:hAnsi="Times New Roman" w:cs="Times New Roman"/>
                      <w:color w:val="auto"/>
                      <w:sz w:val="21"/>
                      <w:szCs w:val="21"/>
                      <w:lang w:val="en-US" w:eastAsia="zh-CN"/>
                    </w:rPr>
                    <w:t>11</w:t>
                  </w:r>
                </w:p>
              </w:tc>
              <w:tc>
                <w:tcPr>
                  <w:tcW w:w="1635"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包装纸箱</w:t>
                  </w:r>
                </w:p>
              </w:tc>
              <w:tc>
                <w:tcPr>
                  <w:tcW w:w="1347"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4"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12000个</w:t>
                  </w:r>
                </w:p>
              </w:tc>
              <w:tc>
                <w:tcPr>
                  <w:tcW w:w="2119" w:type="dxa"/>
                  <w:shd w:val="clear" w:color="auto" w:fill="auto"/>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rPr>
                    <w:t>阴凉通风处，库房</w:t>
                  </w:r>
                </w:p>
              </w:tc>
              <w:tc>
                <w:tcPr>
                  <w:tcW w:w="1881"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eastAsia="zh-CN"/>
                    </w:rPr>
                    <w:t>12</w:t>
                  </w:r>
                </w:p>
              </w:tc>
              <w:tc>
                <w:tcPr>
                  <w:tcW w:w="1635"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包装膜</w:t>
                  </w:r>
                </w:p>
              </w:tc>
              <w:tc>
                <w:tcPr>
                  <w:tcW w:w="1347"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4"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6万m/a</w:t>
                  </w:r>
                </w:p>
              </w:tc>
              <w:tc>
                <w:tcPr>
                  <w:tcW w:w="2119" w:type="dxa"/>
                  <w:shd w:val="clear" w:color="auto" w:fill="auto"/>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rPr>
                    <w:t>阴凉通风处，库房</w:t>
                  </w:r>
                </w:p>
              </w:tc>
              <w:tc>
                <w:tcPr>
                  <w:tcW w:w="1881"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658" w:type="dxa"/>
                  <w:shd w:val="clear" w:color="auto" w:fill="auto"/>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1635"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五金件</w:t>
                  </w:r>
                </w:p>
              </w:tc>
              <w:tc>
                <w:tcPr>
                  <w:tcW w:w="1347"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34"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12000套/年</w:t>
                  </w:r>
                </w:p>
              </w:tc>
              <w:tc>
                <w:tcPr>
                  <w:tcW w:w="2119" w:type="dxa"/>
                  <w:shd w:val="clear" w:color="auto" w:fill="auto"/>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rPr>
                    <w:t>阴凉通风处，库房</w:t>
                  </w:r>
                </w:p>
              </w:tc>
              <w:tc>
                <w:tcPr>
                  <w:tcW w:w="1881" w:type="dxa"/>
                  <w:shd w:val="clear" w:color="auto" w:fill="auto"/>
                  <w:vAlign w:val="center"/>
                </w:tcPr>
                <w:p>
                  <w:pPr>
                    <w:pStyle w:val="2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val="0"/>
                      <w:bCs w:val="0"/>
                      <w:color w:val="auto"/>
                      <w:sz w:val="21"/>
                      <w:szCs w:val="21"/>
                      <w:u w:val="none"/>
                      <w:lang w:val="en-US" w:eastAsia="zh-CN"/>
                    </w:rPr>
                    <w:t>14</w:t>
                  </w:r>
                </w:p>
              </w:tc>
              <w:tc>
                <w:tcPr>
                  <w:tcW w:w="1635" w:type="dxa"/>
                  <w:shd w:val="clear" w:color="auto" w:fill="auto"/>
                  <w:vAlign w:val="center"/>
                </w:tcPr>
                <w:p>
                  <w:pPr>
                    <w:pStyle w:val="25"/>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水</w:t>
                  </w:r>
                </w:p>
              </w:tc>
              <w:tc>
                <w:tcPr>
                  <w:tcW w:w="1347" w:type="dxa"/>
                  <w:shd w:val="clear" w:color="auto" w:fill="auto"/>
                  <w:vAlign w:val="center"/>
                </w:tcPr>
                <w:p>
                  <w:pPr>
                    <w:pStyle w:val="25"/>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w:t>
                  </w:r>
                </w:p>
              </w:tc>
              <w:tc>
                <w:tcPr>
                  <w:tcW w:w="1534" w:type="dxa"/>
                  <w:shd w:val="clear" w:color="auto" w:fill="auto"/>
                  <w:vAlign w:val="center"/>
                </w:tcPr>
                <w:p>
                  <w:pPr>
                    <w:pStyle w:val="25"/>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2000t/a</w:t>
                  </w:r>
                </w:p>
              </w:tc>
              <w:tc>
                <w:tcPr>
                  <w:tcW w:w="2119" w:type="dxa"/>
                  <w:shd w:val="clear" w:color="auto" w:fill="auto"/>
                  <w:vAlign w:val="center"/>
                </w:tcPr>
                <w:p>
                  <w:pPr>
                    <w:pStyle w:val="25"/>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w:t>
                  </w:r>
                </w:p>
              </w:tc>
              <w:tc>
                <w:tcPr>
                  <w:tcW w:w="1881" w:type="dxa"/>
                  <w:shd w:val="clear" w:color="auto" w:fill="auto"/>
                  <w:vAlign w:val="center"/>
                </w:tcPr>
                <w:p>
                  <w:pPr>
                    <w:pStyle w:val="25"/>
                    <w:rPr>
                      <w:rFonts w:hint="eastAsia"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8" w:type="dxa"/>
                  <w:shd w:val="clear" w:color="auto" w:fill="auto"/>
                  <w:vAlign w:val="center"/>
                </w:tcPr>
                <w:p>
                  <w:pPr>
                    <w:pStyle w:val="25"/>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1635"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电</w:t>
                  </w:r>
                </w:p>
              </w:tc>
              <w:tc>
                <w:tcPr>
                  <w:tcW w:w="1347"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w:t>
                  </w:r>
                </w:p>
              </w:tc>
              <w:tc>
                <w:tcPr>
                  <w:tcW w:w="1534"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8万kWh</w:t>
                  </w:r>
                </w:p>
              </w:tc>
              <w:tc>
                <w:tcPr>
                  <w:tcW w:w="2119"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w:t>
                  </w:r>
                </w:p>
              </w:tc>
              <w:tc>
                <w:tcPr>
                  <w:tcW w:w="1881" w:type="dxa"/>
                  <w:shd w:val="clear" w:color="auto" w:fill="auto"/>
                  <w:vAlign w:val="center"/>
                </w:tcPr>
                <w:p>
                  <w:pPr>
                    <w:pStyle w:val="25"/>
                    <w:rPr>
                      <w:rFonts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sz w:val="21"/>
                      <w:szCs w:val="21"/>
                      <w:lang w:val="en-US"/>
                    </w:rPr>
                    <w:t>/</w:t>
                  </w:r>
                </w:p>
              </w:tc>
            </w:tr>
          </w:tbl>
          <w:p>
            <w:pPr>
              <w:widowControl/>
              <w:jc w:val="left"/>
              <w:rPr>
                <w:color w:val="auto"/>
                <w:sz w:val="21"/>
                <w:szCs w:val="21"/>
              </w:rPr>
            </w:pPr>
            <w:r>
              <w:rPr>
                <w:rFonts w:hint="eastAsia" w:ascii="宋体" w:hAnsi="宋体" w:cs="宋体"/>
                <w:color w:val="auto"/>
                <w:kern w:val="0"/>
                <w:sz w:val="21"/>
                <w:szCs w:val="21"/>
                <w:lang w:bidi="ar"/>
              </w:rPr>
              <w:t>注：</w:t>
            </w:r>
            <w:r>
              <w:rPr>
                <w:rFonts w:hint="eastAsia" w:ascii="宋体" w:hAnsi="宋体" w:cs="宋体"/>
                <w:color w:val="auto"/>
                <w:kern w:val="0"/>
                <w:sz w:val="21"/>
                <w:szCs w:val="21"/>
                <w:lang w:val="en-US" w:eastAsia="zh-CN" w:bidi="ar"/>
              </w:rPr>
              <w:t>本项目使用的密度板、多层板、颗粒板均为免漆板，进厂后可直接使用，无需喷漆。</w:t>
            </w:r>
            <w:r>
              <w:rPr>
                <w:rFonts w:hint="eastAsia" w:ascii="宋体" w:hAnsi="宋体" w:cs="宋体"/>
                <w:color w:val="auto"/>
                <w:kern w:val="0"/>
                <w:sz w:val="21"/>
                <w:szCs w:val="21"/>
                <w:lang w:bidi="ar"/>
              </w:rPr>
              <w:t>存放于生产车间内，直接使用，每月由公司统一采购后由汽车直接运至生产车间内的</w:t>
            </w:r>
            <w:r>
              <w:rPr>
                <w:rFonts w:hint="eastAsia" w:ascii="宋体" w:hAnsi="宋体" w:cs="宋体"/>
                <w:color w:val="auto"/>
                <w:kern w:val="0"/>
                <w:sz w:val="21"/>
                <w:szCs w:val="21"/>
                <w:lang w:val="en-US" w:eastAsia="zh-CN" w:bidi="ar"/>
              </w:rPr>
              <w:t>板材</w:t>
            </w:r>
            <w:r>
              <w:rPr>
                <w:rFonts w:hint="eastAsia" w:ascii="宋体" w:hAnsi="宋体" w:cs="宋体"/>
                <w:color w:val="auto"/>
                <w:kern w:val="0"/>
                <w:sz w:val="21"/>
                <w:szCs w:val="21"/>
                <w:lang w:bidi="ar"/>
              </w:rPr>
              <w:t>区。</w:t>
            </w:r>
          </w:p>
          <w:p>
            <w:pPr>
              <w:jc w:val="center"/>
              <w:rPr>
                <w:b/>
                <w:bCs/>
                <w:color w:val="auto"/>
              </w:rPr>
            </w:pPr>
            <w:r>
              <w:rPr>
                <w:b/>
                <w:bCs/>
                <w:color w:val="auto"/>
              </w:rPr>
              <w:t>表</w:t>
            </w:r>
            <w:r>
              <w:rPr>
                <w:rFonts w:hint="eastAsia"/>
                <w:b/>
                <w:bCs/>
                <w:color w:val="auto"/>
              </w:rPr>
              <w:t>2</w:t>
            </w:r>
            <w:r>
              <w:rPr>
                <w:b/>
                <w:bCs/>
                <w:color w:val="auto"/>
              </w:rPr>
              <w:t>-6  主要原辅材料理化性质一览表</w:t>
            </w:r>
          </w:p>
          <w:tbl>
            <w:tblPr>
              <w:tblStyle w:val="22"/>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868"/>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475" w:type="dxa"/>
                  <w:vAlign w:val="center"/>
                </w:tcPr>
                <w:p>
                  <w:pPr>
                    <w:jc w:val="center"/>
                    <w:rPr>
                      <w:b/>
                      <w:bCs/>
                      <w:color w:val="auto"/>
                      <w:sz w:val="21"/>
                      <w:szCs w:val="21"/>
                    </w:rPr>
                  </w:pPr>
                  <w:r>
                    <w:rPr>
                      <w:b/>
                      <w:bCs/>
                      <w:color w:val="auto"/>
                      <w:sz w:val="21"/>
                      <w:szCs w:val="21"/>
                    </w:rPr>
                    <w:t>序号</w:t>
                  </w:r>
                </w:p>
              </w:tc>
              <w:tc>
                <w:tcPr>
                  <w:tcW w:w="868" w:type="dxa"/>
                  <w:tcMar>
                    <w:top w:w="45" w:type="dxa"/>
                    <w:left w:w="0" w:type="dxa"/>
                    <w:bottom w:w="45" w:type="dxa"/>
                    <w:right w:w="0" w:type="dxa"/>
                  </w:tcMar>
                  <w:vAlign w:val="center"/>
                </w:tcPr>
                <w:p>
                  <w:pPr>
                    <w:jc w:val="center"/>
                    <w:rPr>
                      <w:b/>
                      <w:bCs/>
                      <w:color w:val="auto"/>
                      <w:sz w:val="21"/>
                      <w:szCs w:val="21"/>
                    </w:rPr>
                  </w:pPr>
                  <w:r>
                    <w:rPr>
                      <w:b/>
                      <w:bCs/>
                      <w:color w:val="auto"/>
                      <w:sz w:val="21"/>
                      <w:szCs w:val="21"/>
                    </w:rPr>
                    <w:t>原料</w:t>
                  </w:r>
                </w:p>
              </w:tc>
              <w:tc>
                <w:tcPr>
                  <w:tcW w:w="7777" w:type="dxa"/>
                  <w:tcMar>
                    <w:left w:w="0" w:type="dxa"/>
                    <w:right w:w="0" w:type="dxa"/>
                  </w:tcMar>
                  <w:vAlign w:val="center"/>
                </w:tcPr>
                <w:p>
                  <w:pPr>
                    <w:jc w:val="center"/>
                    <w:rPr>
                      <w:b/>
                      <w:bCs/>
                      <w:color w:val="auto"/>
                      <w:sz w:val="21"/>
                      <w:szCs w:val="21"/>
                    </w:rPr>
                  </w:pPr>
                  <w:r>
                    <w:rPr>
                      <w:b/>
                      <w:bCs/>
                      <w:color w:val="auto"/>
                      <w:sz w:val="21"/>
                      <w:szCs w:val="21"/>
                    </w:rPr>
                    <w:t>主要性质及用途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0" w:hRule="atLeast"/>
                <w:jc w:val="center"/>
              </w:trPr>
              <w:tc>
                <w:tcPr>
                  <w:tcW w:w="475" w:type="dxa"/>
                  <w:tcMar>
                    <w:top w:w="45" w:type="dxa"/>
                    <w:bottom w:w="45" w:type="dxa"/>
                  </w:tcMar>
                  <w:vAlign w:val="center"/>
                </w:tcPr>
                <w:p>
                  <w:pPr>
                    <w:jc w:val="center"/>
                    <w:rPr>
                      <w:color w:val="auto"/>
                      <w:sz w:val="21"/>
                      <w:szCs w:val="21"/>
                    </w:rPr>
                  </w:pPr>
                  <w:r>
                    <w:rPr>
                      <w:color w:val="auto"/>
                      <w:sz w:val="21"/>
                      <w:szCs w:val="21"/>
                    </w:rPr>
                    <w:t>1</w:t>
                  </w:r>
                </w:p>
              </w:tc>
              <w:tc>
                <w:tcPr>
                  <w:tcW w:w="868" w:type="dxa"/>
                  <w:tcMar>
                    <w:top w:w="45" w:type="dxa"/>
                    <w:bottom w:w="45" w:type="dxa"/>
                  </w:tcMar>
                  <w:vAlign w:val="center"/>
                </w:tcPr>
                <w:p>
                  <w:pPr>
                    <w:pStyle w:val="7"/>
                    <w:spacing w:line="240" w:lineRule="auto"/>
                    <w:ind w:firstLine="0" w:firstLineChars="0"/>
                    <w:jc w:val="left"/>
                    <w:rPr>
                      <w:rFonts w:hint="default" w:eastAsia="宋体"/>
                      <w:color w:val="auto"/>
                      <w:sz w:val="21"/>
                      <w:szCs w:val="21"/>
                      <w:highlight w:val="yellow"/>
                      <w:lang w:val="en-US" w:eastAsia="zh-CN"/>
                    </w:rPr>
                  </w:pPr>
                  <w:r>
                    <w:rPr>
                      <w:rFonts w:hint="eastAsia" w:ascii="Times New Roman" w:hAnsi="Times New Roman" w:cs="Times New Roman"/>
                      <w:color w:val="auto"/>
                      <w:sz w:val="21"/>
                      <w:szCs w:val="21"/>
                      <w:lang w:val="en-US" w:eastAsia="zh-CN"/>
                    </w:rPr>
                    <w:t>封边胶（EVA胶）</w:t>
                  </w:r>
                </w:p>
              </w:tc>
              <w:tc>
                <w:tcPr>
                  <w:tcW w:w="7777" w:type="dxa"/>
                  <w:tcMar>
                    <w:top w:w="45" w:type="dxa"/>
                    <w:bottom w:w="45" w:type="dxa"/>
                  </w:tcMar>
                  <w:vAlign w:val="center"/>
                </w:tcPr>
                <w:p>
                  <w:pPr>
                    <w:jc w:val="left"/>
                    <w:rPr>
                      <w:rFonts w:hint="eastAsia"/>
                      <w:color w:val="auto"/>
                      <w:sz w:val="21"/>
                      <w:szCs w:val="21"/>
                    </w:rPr>
                  </w:pPr>
                  <w:r>
                    <w:rPr>
                      <w:rFonts w:hint="eastAsia"/>
                      <w:color w:val="auto"/>
                      <w:sz w:val="21"/>
                      <w:szCs w:val="21"/>
                    </w:rPr>
                    <w:t>EVA热熔胶是一种不需溶剂、不含水分、100%的固体可熔性的聚合物，在常温下为固体，加热熔融到一定程度变为能流动且有一定粘性的液体粘合剂，其熔融后为浅棕色半透明体或本白色。热熔胶主要成分，即基本树脂是乙烯与醋酸乙烯在高压下共聚而成的，再配以增粘剂、粘度调节剂、抗氧剂等制成热熔胶。</w:t>
                  </w:r>
                </w:p>
                <w:p>
                  <w:pPr>
                    <w:jc w:val="left"/>
                    <w:rPr>
                      <w:rFonts w:hint="eastAsia"/>
                      <w:color w:val="auto"/>
                      <w:sz w:val="21"/>
                      <w:szCs w:val="21"/>
                    </w:rPr>
                  </w:pPr>
                  <w:r>
                    <w:rPr>
                      <w:rFonts w:hint="eastAsia"/>
                      <w:b/>
                      <w:bCs/>
                      <w:color w:val="auto"/>
                      <w:sz w:val="21"/>
                      <w:szCs w:val="21"/>
                      <w:u w:val="single"/>
                    </w:rPr>
                    <w:t>EVA</w:t>
                  </w:r>
                  <w:r>
                    <w:rPr>
                      <w:rFonts w:hint="eastAsia"/>
                      <w:b/>
                      <w:bCs/>
                      <w:color w:val="auto"/>
                      <w:sz w:val="21"/>
                      <w:szCs w:val="21"/>
                      <w:u w:val="single"/>
                      <w:lang w:eastAsia="zh-CN"/>
                    </w:rPr>
                    <w:t>：</w:t>
                  </w:r>
                  <w:r>
                    <w:rPr>
                      <w:rFonts w:hint="eastAsia"/>
                      <w:b/>
                      <w:bCs/>
                      <w:color w:val="auto"/>
                      <w:sz w:val="21"/>
                      <w:szCs w:val="21"/>
                      <w:u w:val="single"/>
                    </w:rPr>
                    <w:t>化学品中文名称：乙烯-醋酸乙烯酯共聚物；化学品英文名称：ethylene-vinylacetatecopolymer；英文简称：EVA；技术说明书编码：1314；CAS</w:t>
                  </w:r>
                  <w:r>
                    <w:rPr>
                      <w:rFonts w:hint="eastAsia"/>
                      <w:b/>
                      <w:bCs/>
                      <w:color w:val="auto"/>
                      <w:sz w:val="21"/>
                      <w:szCs w:val="21"/>
                      <w:u w:val="single"/>
                      <w:lang w:val="en-US" w:eastAsia="zh-CN"/>
                    </w:rPr>
                    <w:t>号</w:t>
                  </w:r>
                  <w:r>
                    <w:rPr>
                      <w:rFonts w:hint="eastAsia"/>
                      <w:b/>
                      <w:bCs/>
                      <w:color w:val="auto"/>
                      <w:sz w:val="21"/>
                      <w:szCs w:val="21"/>
                      <w:u w:val="single"/>
                    </w:rPr>
                    <w:t>：24937-78-8；相对密度：0.92～0.98；折射率：1.480～1.510；脆性温度：&lt;-60℃；热分解温度：230～250℃；稳定性：具有良好的化学稳定性、耐老化、耐臭氧性；分子式：(C</w:t>
                  </w:r>
                  <w:r>
                    <w:rPr>
                      <w:rFonts w:hint="eastAsia"/>
                      <w:b/>
                      <w:bCs/>
                      <w:color w:val="auto"/>
                      <w:sz w:val="21"/>
                      <w:szCs w:val="21"/>
                      <w:u w:val="single"/>
                      <w:vertAlign w:val="subscript"/>
                    </w:rPr>
                    <w:t>2</w:t>
                  </w:r>
                  <w:r>
                    <w:rPr>
                      <w:rFonts w:hint="eastAsia"/>
                      <w:b/>
                      <w:bCs/>
                      <w:color w:val="auto"/>
                      <w:sz w:val="21"/>
                      <w:szCs w:val="21"/>
                      <w:u w:val="single"/>
                    </w:rPr>
                    <w:t>H</w:t>
                  </w:r>
                  <w:r>
                    <w:rPr>
                      <w:rFonts w:hint="eastAsia"/>
                      <w:b/>
                      <w:bCs/>
                      <w:color w:val="auto"/>
                      <w:sz w:val="21"/>
                      <w:szCs w:val="21"/>
                      <w:u w:val="single"/>
                      <w:vertAlign w:val="subscript"/>
                    </w:rPr>
                    <w:t>4</w:t>
                  </w:r>
                  <w:r>
                    <w:rPr>
                      <w:rFonts w:hint="eastAsia"/>
                      <w:b/>
                      <w:bCs/>
                      <w:color w:val="auto"/>
                      <w:sz w:val="21"/>
                      <w:szCs w:val="21"/>
                      <w:u w:val="single"/>
                    </w:rPr>
                    <w:t>)x.(C</w:t>
                  </w:r>
                  <w:r>
                    <w:rPr>
                      <w:rFonts w:hint="eastAsia"/>
                      <w:b/>
                      <w:bCs/>
                      <w:color w:val="auto"/>
                      <w:sz w:val="21"/>
                      <w:szCs w:val="21"/>
                      <w:u w:val="single"/>
                      <w:vertAlign w:val="subscript"/>
                    </w:rPr>
                    <w:t>4</w:t>
                  </w:r>
                  <w:r>
                    <w:rPr>
                      <w:rFonts w:hint="eastAsia"/>
                      <w:b/>
                      <w:bCs/>
                      <w:color w:val="auto"/>
                      <w:sz w:val="21"/>
                      <w:szCs w:val="21"/>
                      <w:u w:val="single"/>
                    </w:rPr>
                    <w:t>H</w:t>
                  </w:r>
                  <w:r>
                    <w:rPr>
                      <w:rFonts w:hint="eastAsia"/>
                      <w:b/>
                      <w:bCs/>
                      <w:color w:val="auto"/>
                      <w:sz w:val="21"/>
                      <w:szCs w:val="21"/>
                      <w:u w:val="single"/>
                      <w:vertAlign w:val="subscript"/>
                    </w:rPr>
                    <w:t>6</w:t>
                  </w:r>
                  <w:r>
                    <w:rPr>
                      <w:rFonts w:hint="eastAsia"/>
                      <w:b/>
                      <w:bCs/>
                      <w:color w:val="auto"/>
                      <w:sz w:val="21"/>
                      <w:szCs w:val="21"/>
                      <w:u w:val="single"/>
                    </w:rPr>
                    <w:t>O</w:t>
                  </w:r>
                  <w:r>
                    <w:rPr>
                      <w:rFonts w:hint="eastAsia"/>
                      <w:b/>
                      <w:bCs/>
                      <w:color w:val="auto"/>
                      <w:sz w:val="21"/>
                      <w:szCs w:val="21"/>
                      <w:u w:val="single"/>
                      <w:vertAlign w:val="subscript"/>
                    </w:rPr>
                    <w:t>2</w:t>
                  </w:r>
                  <w:r>
                    <w:rPr>
                      <w:rFonts w:hint="eastAsia"/>
                      <w:b/>
                      <w:bCs/>
                      <w:color w:val="auto"/>
                      <w:sz w:val="21"/>
                      <w:szCs w:val="21"/>
                      <w:u w:val="single"/>
                    </w:rPr>
                    <w:t>)</w:t>
                  </w:r>
                  <w:r>
                    <w:rPr>
                      <w:rFonts w:hint="eastAsia"/>
                      <w:b/>
                      <w:bCs/>
                      <w:color w:val="auto"/>
                      <w:sz w:val="21"/>
                      <w:szCs w:val="21"/>
                      <w:u w:val="single"/>
                      <w:vertAlign w:val="subscript"/>
                    </w:rPr>
                    <w:t>y</w:t>
                  </w:r>
                  <w:r>
                    <w:rPr>
                      <w:rFonts w:hint="eastAsia"/>
                      <w:b/>
                      <w:bCs/>
                      <w:color w:val="auto"/>
                      <w:sz w:val="21"/>
                      <w:szCs w:val="21"/>
                      <w:u w:val="single"/>
                    </w:rPr>
                    <w:t>；分子量：2000(平均)；健康危害：对眼睛和皮肤有刺激作用；燃爆危险：本品可燃，具刺激性；皮肤接触：脱去污染的衣着，用流动清水冲洗；眼睛接触：提起眼睑，用流动清水或生理盐水冲洗，就医；吸入：脱离现场至空气新鲜处，就医；食入：饮足量温水，催吐，就医。</w:t>
                  </w:r>
                </w:p>
                <w:p>
                  <w:pPr>
                    <w:bidi w:val="0"/>
                    <w:rPr>
                      <w:rFonts w:hint="default" w:eastAsia="宋体"/>
                      <w:lang w:val="en-US" w:eastAsia="zh-CN"/>
                    </w:rPr>
                  </w:pPr>
                  <w:r>
                    <w:rPr>
                      <w:rFonts w:hint="eastAsia"/>
                      <w:b/>
                      <w:bCs/>
                      <w:sz w:val="21"/>
                      <w:szCs w:val="21"/>
                      <w:u w:val="single"/>
                      <w:lang w:val="en-US" w:eastAsia="zh-CN"/>
                    </w:rPr>
                    <w:t>根据检测报告可知，EVA胶在180℃下加热30分钟时VOCs含量为4mg/kg，详见附件。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475" w:type="dxa"/>
                  <w:tcMar>
                    <w:top w:w="45" w:type="dxa"/>
                    <w:bottom w:w="45" w:type="dxa"/>
                  </w:tcMar>
                  <w:vAlign w:val="center"/>
                </w:tcPr>
                <w:p>
                  <w:pPr>
                    <w:jc w:val="center"/>
                    <w:rPr>
                      <w:rFonts w:hint="eastAsia" w:eastAsia="宋体"/>
                      <w:b w:val="0"/>
                      <w:bCs w:val="0"/>
                      <w:color w:val="auto"/>
                      <w:sz w:val="21"/>
                      <w:szCs w:val="21"/>
                      <w:u w:val="none"/>
                      <w:lang w:eastAsia="zh-CN"/>
                    </w:rPr>
                  </w:pPr>
                  <w:r>
                    <w:rPr>
                      <w:rFonts w:hint="eastAsia"/>
                      <w:b w:val="0"/>
                      <w:bCs w:val="0"/>
                      <w:color w:val="auto"/>
                      <w:sz w:val="21"/>
                      <w:szCs w:val="21"/>
                      <w:u w:val="none"/>
                      <w:lang w:val="en-US" w:eastAsia="zh-CN"/>
                    </w:rPr>
                    <w:t>2</w:t>
                  </w:r>
                </w:p>
              </w:tc>
              <w:tc>
                <w:tcPr>
                  <w:tcW w:w="868" w:type="dxa"/>
                  <w:tcMar>
                    <w:top w:w="45" w:type="dxa"/>
                    <w:bottom w:w="45" w:type="dxa"/>
                  </w:tcMar>
                  <w:vAlign w:val="center"/>
                </w:tcPr>
                <w:p>
                  <w:pPr>
                    <w:jc w:val="center"/>
                    <w:rPr>
                      <w:rFonts w:hint="eastAsia" w:eastAsia="宋体"/>
                      <w:b w:val="0"/>
                      <w:bCs w:val="0"/>
                      <w:color w:val="auto"/>
                      <w:sz w:val="21"/>
                      <w:szCs w:val="21"/>
                      <w:highlight w:val="yellow"/>
                      <w:u w:val="none"/>
                      <w:lang w:val="en-US" w:eastAsia="zh-CN"/>
                    </w:rPr>
                  </w:pPr>
                  <w:r>
                    <w:rPr>
                      <w:rFonts w:hint="eastAsia" w:ascii="Times New Roman" w:hAnsi="Times New Roman" w:eastAsia="宋体" w:cs="Times New Roman"/>
                      <w:b w:val="0"/>
                      <w:bCs w:val="0"/>
                      <w:color w:val="auto"/>
                      <w:sz w:val="21"/>
                      <w:szCs w:val="21"/>
                      <w:u w:val="none"/>
                      <w:lang w:val="en-US" w:eastAsia="zh-CN"/>
                    </w:rPr>
                    <w:t>海绵胶</w:t>
                  </w:r>
                </w:p>
              </w:tc>
              <w:tc>
                <w:tcPr>
                  <w:tcW w:w="7777" w:type="dxa"/>
                  <w:tcMar>
                    <w:top w:w="45" w:type="dxa"/>
                    <w:bottom w:w="45" w:type="dxa"/>
                  </w:tcMar>
                  <w:vAlign w:val="center"/>
                </w:tcPr>
                <w:p>
                  <w:pPr>
                    <w:widowControl/>
                    <w:adjustRightInd w:val="0"/>
                    <w:snapToGrid w:val="0"/>
                    <w:jc w:val="both"/>
                    <w:rPr>
                      <w:rFonts w:hint="default" w:eastAsia="宋体"/>
                      <w:b/>
                      <w:bCs/>
                      <w:color w:val="auto"/>
                      <w:sz w:val="21"/>
                      <w:szCs w:val="21"/>
                      <w:u w:val="single"/>
                      <w:lang w:val="en-US" w:eastAsia="zh-CN"/>
                    </w:rPr>
                  </w:pPr>
                  <w:r>
                    <w:rPr>
                      <w:rFonts w:hint="eastAsia"/>
                      <w:b/>
                      <w:bCs/>
                      <w:color w:val="auto"/>
                      <w:sz w:val="21"/>
                      <w:szCs w:val="21"/>
                      <w:u w:val="single"/>
                      <w:lang w:val="en-US" w:eastAsia="zh-CN"/>
                    </w:rPr>
                    <w:t>海绵胶</w:t>
                  </w:r>
                  <w:r>
                    <w:rPr>
                      <w:rFonts w:hint="eastAsia"/>
                      <w:b/>
                      <w:bCs/>
                      <w:color w:val="auto"/>
                      <w:sz w:val="21"/>
                      <w:szCs w:val="21"/>
                      <w:u w:val="single"/>
                    </w:rPr>
                    <w:t>以高分子乳化液、离子水和改性树脂为主要成分，固体含量49-51%，外观：微黄或透明</w:t>
                  </w:r>
                  <w:r>
                    <w:rPr>
                      <w:rFonts w:hint="eastAsia"/>
                      <w:b/>
                      <w:bCs/>
                      <w:color w:val="auto"/>
                      <w:sz w:val="21"/>
                      <w:szCs w:val="21"/>
                      <w:u w:val="single"/>
                      <w:lang w:eastAsia="zh-CN"/>
                    </w:rPr>
                    <w:t>黏稠</w:t>
                  </w:r>
                  <w:r>
                    <w:rPr>
                      <w:rFonts w:hint="eastAsia"/>
                      <w:b/>
                      <w:bCs/>
                      <w:color w:val="auto"/>
                      <w:sz w:val="21"/>
                      <w:szCs w:val="21"/>
                      <w:u w:val="single"/>
                    </w:rPr>
                    <w:t>液体</w:t>
                  </w:r>
                  <w:r>
                    <w:rPr>
                      <w:rFonts w:hint="eastAsia"/>
                      <w:b/>
                      <w:bCs/>
                      <w:color w:val="auto"/>
                      <w:sz w:val="21"/>
                      <w:szCs w:val="21"/>
                      <w:u w:val="single"/>
                      <w:lang w:eastAsia="zh-CN"/>
                    </w:rPr>
                    <w:t>，</w:t>
                  </w:r>
                  <w:r>
                    <w:rPr>
                      <w:rFonts w:hint="eastAsia"/>
                      <w:b/>
                      <w:bCs/>
                      <w:color w:val="auto"/>
                      <w:sz w:val="21"/>
                      <w:szCs w:val="21"/>
                      <w:u w:val="single"/>
                    </w:rPr>
                    <w:t>粘度：2500－3000cps</w:t>
                  </w:r>
                  <w:r>
                    <w:rPr>
                      <w:rFonts w:hint="eastAsia"/>
                      <w:b/>
                      <w:bCs/>
                      <w:color w:val="auto"/>
                      <w:sz w:val="21"/>
                      <w:szCs w:val="21"/>
                      <w:u w:val="single"/>
                      <w:lang w:eastAsia="zh-CN"/>
                    </w:rPr>
                    <w:t>，</w:t>
                  </w:r>
                  <w:r>
                    <w:rPr>
                      <w:rFonts w:hint="eastAsia"/>
                      <w:b/>
                      <w:bCs/>
                      <w:color w:val="auto"/>
                      <w:sz w:val="21"/>
                      <w:szCs w:val="21"/>
                      <w:u w:val="single"/>
                    </w:rPr>
                    <w:t>不挥发物：≥50</w:t>
                  </w:r>
                  <w:r>
                    <w:rPr>
                      <w:rFonts w:hint="eastAsia"/>
                      <w:b/>
                      <w:bCs/>
                      <w:color w:val="auto"/>
                      <w:sz w:val="21"/>
                      <w:szCs w:val="21"/>
                      <w:u w:val="single"/>
                      <w:lang w:eastAsia="zh-CN"/>
                    </w:rPr>
                    <w:t>，</w:t>
                  </w:r>
                  <w:r>
                    <w:rPr>
                      <w:rFonts w:hint="eastAsia"/>
                      <w:b/>
                      <w:bCs/>
                      <w:color w:val="auto"/>
                      <w:sz w:val="21"/>
                      <w:szCs w:val="21"/>
                      <w:u w:val="single"/>
                    </w:rPr>
                    <w:t>剪切强度：亚克力-铝板≥10kg/c㎡</w:t>
                  </w:r>
                  <w:r>
                    <w:rPr>
                      <w:rFonts w:hint="eastAsia"/>
                      <w:b/>
                      <w:bCs/>
                      <w:color w:val="auto"/>
                      <w:sz w:val="21"/>
                      <w:szCs w:val="21"/>
                      <w:u w:val="single"/>
                      <w:lang w:eastAsia="zh-CN"/>
                    </w:rPr>
                    <w:t>，</w:t>
                  </w:r>
                  <w:r>
                    <w:rPr>
                      <w:rFonts w:hint="eastAsia"/>
                      <w:b/>
                      <w:bCs/>
                      <w:color w:val="auto"/>
                      <w:sz w:val="21"/>
                      <w:szCs w:val="21"/>
                      <w:u w:val="single"/>
                    </w:rPr>
                    <w:t>密度1.05-1.1g</w:t>
                  </w:r>
                  <w:r>
                    <w:rPr>
                      <w:rFonts w:hint="default"/>
                      <w:b/>
                      <w:bCs/>
                      <w:color w:val="auto"/>
                      <w:sz w:val="21"/>
                      <w:szCs w:val="21"/>
                      <w:u w:val="single"/>
                    </w:rPr>
                    <w:t>/cm³</w:t>
                  </w:r>
                  <w:r>
                    <w:rPr>
                      <w:rFonts w:hint="eastAsia"/>
                      <w:b/>
                      <w:bCs/>
                      <w:color w:val="auto"/>
                      <w:sz w:val="21"/>
                      <w:szCs w:val="21"/>
                      <w:u w:val="single"/>
                    </w:rPr>
                    <w:t>，粘度300-1010mPa·s（25℃）</w:t>
                  </w:r>
                  <w:r>
                    <w:rPr>
                      <w:rFonts w:hint="eastAsia"/>
                      <w:b/>
                      <w:bCs/>
                      <w:color w:val="auto"/>
                      <w:sz w:val="21"/>
                      <w:szCs w:val="21"/>
                      <w:u w:val="single"/>
                      <w:lang w:eastAsia="zh-CN"/>
                    </w:rPr>
                    <w:t>。</w:t>
                  </w:r>
                  <w:r>
                    <w:rPr>
                      <w:rFonts w:hint="eastAsia"/>
                      <w:b/>
                      <w:bCs/>
                      <w:color w:val="auto"/>
                      <w:sz w:val="21"/>
                      <w:szCs w:val="21"/>
                      <w:u w:val="single"/>
                      <w:lang w:val="en-US" w:eastAsia="zh-CN"/>
                    </w:rPr>
                    <w:t>VOCs含量＜50g/L。</w:t>
                  </w:r>
                </w:p>
                <w:p>
                  <w:pPr>
                    <w:widowControl/>
                    <w:adjustRightInd w:val="0"/>
                    <w:snapToGrid w:val="0"/>
                    <w:jc w:val="both"/>
                    <w:rPr>
                      <w:rFonts w:hint="eastAsia" w:eastAsia="宋体"/>
                      <w:b w:val="0"/>
                      <w:bCs w:val="0"/>
                      <w:color w:val="auto"/>
                      <w:sz w:val="21"/>
                      <w:szCs w:val="21"/>
                      <w:u w:val="none"/>
                      <w:lang w:eastAsia="zh-CN"/>
                    </w:rPr>
                  </w:pPr>
                  <w:r>
                    <w:rPr>
                      <w:rFonts w:hint="eastAsia"/>
                      <w:b w:val="0"/>
                      <w:bCs w:val="0"/>
                      <w:color w:val="auto"/>
                      <w:sz w:val="21"/>
                      <w:szCs w:val="21"/>
                      <w:u w:val="none"/>
                    </w:rPr>
                    <w:t>主要用于转椅、床垫等软体家具的海绵、厚皮、仿皮粘接。使用前需在室温下喷涂后</w:t>
                  </w:r>
                  <w:r>
                    <w:rPr>
                      <w:rFonts w:hint="eastAsia"/>
                      <w:b w:val="0"/>
                      <w:bCs w:val="0"/>
                      <w:color w:val="auto"/>
                      <w:sz w:val="21"/>
                      <w:szCs w:val="21"/>
                      <w:u w:val="none"/>
                      <w:lang w:eastAsia="zh-CN"/>
                    </w:rPr>
                    <w:t>晾</w:t>
                  </w:r>
                  <w:r>
                    <w:rPr>
                      <w:rFonts w:hint="eastAsia"/>
                      <w:b w:val="0"/>
                      <w:bCs w:val="0"/>
                      <w:color w:val="auto"/>
                      <w:sz w:val="21"/>
                      <w:szCs w:val="21"/>
                      <w:u w:val="none"/>
                    </w:rPr>
                    <w:t>置40-60秒，加压贴合12小时可达最大强度。产品具有快干（30秒定位）和高粘接力特性</w:t>
                  </w:r>
                  <w:r>
                    <w:rPr>
                      <w:rFonts w:hint="eastAsia"/>
                      <w:b w:val="0"/>
                      <w:bCs w:val="0"/>
                      <w:color w:val="auto"/>
                      <w:sz w:val="21"/>
                      <w:szCs w:val="21"/>
                      <w:u w:val="none"/>
                      <w:lang w:eastAsia="zh-CN"/>
                    </w:rPr>
                    <w:t>。</w:t>
                  </w:r>
                </w:p>
              </w:tc>
            </w:tr>
          </w:tbl>
          <w:p>
            <w:pPr>
              <w:widowControl/>
              <w:spacing w:line="520" w:lineRule="exact"/>
              <w:jc w:val="left"/>
              <w:rPr>
                <w:color w:val="auto"/>
              </w:rPr>
            </w:pPr>
            <w:r>
              <w:rPr>
                <w:b/>
                <w:bCs/>
                <w:color w:val="auto"/>
                <w:kern w:val="0"/>
                <w:lang w:bidi="ar"/>
              </w:rPr>
              <w:t>5</w:t>
            </w:r>
            <w:r>
              <w:rPr>
                <w:rFonts w:hint="eastAsia" w:ascii="宋体" w:hAnsi="宋体" w:cs="宋体"/>
                <w:b/>
                <w:bCs/>
                <w:color w:val="auto"/>
                <w:kern w:val="0"/>
                <w:lang w:bidi="ar"/>
              </w:rPr>
              <w:t>、公用工程</w:t>
            </w:r>
          </w:p>
          <w:p>
            <w:pPr>
              <w:widowControl/>
              <w:spacing w:line="520" w:lineRule="exact"/>
              <w:ind w:firstLine="480" w:firstLineChars="200"/>
              <w:jc w:val="left"/>
              <w:rPr>
                <w:color w:val="auto"/>
                <w:lang w:bidi="zh-CN"/>
              </w:rPr>
            </w:pPr>
            <w:r>
              <w:rPr>
                <w:color w:val="auto"/>
                <w:lang w:bidi="zh-CN"/>
              </w:rPr>
              <w:t>5.1</w:t>
            </w:r>
            <w:r>
              <w:rPr>
                <w:rFonts w:hint="eastAsia"/>
                <w:color w:val="auto"/>
                <w:lang w:bidi="zh-CN"/>
              </w:rPr>
              <w:t>给排水</w:t>
            </w:r>
          </w:p>
          <w:p>
            <w:pPr>
              <w:widowControl/>
              <w:spacing w:line="520" w:lineRule="exact"/>
              <w:ind w:firstLine="480" w:firstLineChars="200"/>
              <w:jc w:val="left"/>
              <w:rPr>
                <w:color w:val="auto"/>
                <w:lang w:bidi="zh-CN"/>
              </w:rPr>
            </w:pPr>
            <w:r>
              <w:rPr>
                <w:rFonts w:hint="eastAsia"/>
                <w:color w:val="auto"/>
                <w:lang w:bidi="zh-CN"/>
              </w:rPr>
              <w:t>（</w:t>
            </w:r>
            <w:r>
              <w:rPr>
                <w:color w:val="auto"/>
                <w:lang w:bidi="zh-CN"/>
              </w:rPr>
              <w:t>1</w:t>
            </w:r>
            <w:r>
              <w:rPr>
                <w:rFonts w:hint="eastAsia"/>
                <w:color w:val="auto"/>
                <w:lang w:bidi="zh-CN"/>
              </w:rPr>
              <w:t>）供水</w:t>
            </w:r>
          </w:p>
          <w:p>
            <w:pPr>
              <w:widowControl/>
              <w:spacing w:line="520" w:lineRule="exact"/>
              <w:ind w:firstLine="480" w:firstLineChars="200"/>
              <w:jc w:val="left"/>
              <w:rPr>
                <w:color w:val="auto"/>
                <w:lang w:bidi="zh-CN"/>
              </w:rPr>
            </w:pPr>
            <w:r>
              <w:rPr>
                <w:rFonts w:hint="eastAsia"/>
                <w:color w:val="auto"/>
                <w:lang w:bidi="zh-CN"/>
              </w:rPr>
              <w:t>项目采用市政管网集中供水，能够满足项目生产、生活用水需求。</w:t>
            </w:r>
          </w:p>
          <w:p>
            <w:pPr>
              <w:widowControl/>
              <w:spacing w:line="520" w:lineRule="exact"/>
              <w:ind w:firstLine="480" w:firstLineChars="200"/>
              <w:jc w:val="left"/>
              <w:rPr>
                <w:color w:val="auto"/>
                <w:lang w:bidi="zh-CN"/>
              </w:rPr>
            </w:pPr>
            <w:r>
              <w:rPr>
                <w:rFonts w:hint="eastAsia"/>
                <w:color w:val="auto"/>
                <w:lang w:bidi="zh-CN"/>
              </w:rPr>
              <w:t>项目用水主要为生活用水。</w:t>
            </w:r>
          </w:p>
          <w:p>
            <w:pPr>
              <w:widowControl/>
              <w:spacing w:line="520" w:lineRule="exact"/>
              <w:ind w:firstLine="480" w:firstLineChars="200"/>
              <w:jc w:val="left"/>
              <w:rPr>
                <w:color w:val="auto"/>
                <w:lang w:bidi="zh-CN"/>
              </w:rPr>
            </w:pPr>
            <w:r>
              <w:rPr>
                <w:rFonts w:hint="eastAsia"/>
                <w:color w:val="auto"/>
                <w:lang w:bidi="zh-CN"/>
              </w:rPr>
              <w:t>项目劳动定员3</w:t>
            </w:r>
            <w:r>
              <w:rPr>
                <w:color w:val="auto"/>
                <w:lang w:bidi="zh-CN"/>
              </w:rPr>
              <w:t>0</w:t>
            </w:r>
            <w:r>
              <w:rPr>
                <w:rFonts w:hint="eastAsia"/>
                <w:color w:val="auto"/>
                <w:lang w:bidi="zh-CN"/>
              </w:rPr>
              <w:t>人，员工不在厂区住宿，</w:t>
            </w:r>
            <w:r>
              <w:rPr>
                <w:rFonts w:hint="default" w:ascii="Times New Roman" w:hAnsi="Times New Roman" w:cs="Times New Roman"/>
                <w:b w:val="0"/>
                <w:bCs/>
                <w:color w:val="auto"/>
                <w:sz w:val="24"/>
                <w:highlight w:val="none"/>
                <w:u w:val="none"/>
                <w:shd w:val="clear" w:color="auto" w:fill="auto"/>
                <w:lang w:val="en-US" w:eastAsia="zh-CN"/>
              </w:rPr>
              <w:t>参照河南省地方标准《工业与城镇生活用水定额》（DB41/T385-2020）：“机关单位（无食堂）生活用水定额通用值为22m</w:t>
            </w:r>
            <w:r>
              <w:rPr>
                <w:rFonts w:hint="default" w:ascii="Times New Roman" w:hAnsi="Times New Roman" w:cs="Times New Roman"/>
                <w:b w:val="0"/>
                <w:bCs/>
                <w:color w:val="auto"/>
                <w:sz w:val="24"/>
                <w:highlight w:val="none"/>
                <w:u w:val="none"/>
                <w:shd w:val="clear" w:color="auto" w:fill="auto"/>
                <w:vertAlign w:val="superscript"/>
                <w:lang w:val="en-US" w:eastAsia="zh-CN"/>
              </w:rPr>
              <w:t>3</w:t>
            </w:r>
            <w:r>
              <w:rPr>
                <w:rFonts w:hint="default" w:ascii="Times New Roman" w:hAnsi="Times New Roman" w:cs="Times New Roman"/>
                <w:b w:val="0"/>
                <w:bCs/>
                <w:color w:val="auto"/>
                <w:sz w:val="24"/>
                <w:highlight w:val="none"/>
                <w:u w:val="none"/>
                <w:shd w:val="clear" w:color="auto" w:fill="auto"/>
                <w:lang w:val="en-US" w:eastAsia="zh-CN"/>
              </w:rPr>
              <w:t>/（人·a）”，用水量约为</w:t>
            </w:r>
            <w:r>
              <w:rPr>
                <w:rFonts w:hint="eastAsia" w:cs="Times New Roman"/>
                <w:b w:val="0"/>
                <w:bCs/>
                <w:color w:val="auto"/>
                <w:sz w:val="24"/>
                <w:highlight w:val="none"/>
                <w:u w:val="none"/>
                <w:shd w:val="clear" w:color="auto" w:fill="auto"/>
                <w:lang w:val="en-US" w:eastAsia="zh-CN"/>
              </w:rPr>
              <w:t>2.2</w:t>
            </w:r>
            <w:r>
              <w:rPr>
                <w:rFonts w:hint="default" w:ascii="Times New Roman" w:hAnsi="Times New Roman" w:cs="Times New Roman"/>
                <w:b w:val="0"/>
                <w:bCs/>
                <w:color w:val="auto"/>
                <w:sz w:val="24"/>
                <w:highlight w:val="none"/>
                <w:u w:val="none"/>
                <w:shd w:val="clear" w:color="auto" w:fill="auto"/>
                <w:lang w:val="en-US" w:eastAsia="zh-CN"/>
              </w:rPr>
              <w:t>m</w:t>
            </w:r>
            <w:r>
              <w:rPr>
                <w:rFonts w:hint="default" w:ascii="Times New Roman" w:hAnsi="Times New Roman" w:cs="Times New Roman"/>
                <w:b w:val="0"/>
                <w:bCs/>
                <w:color w:val="auto"/>
                <w:sz w:val="24"/>
                <w:highlight w:val="none"/>
                <w:u w:val="none"/>
                <w:shd w:val="clear" w:color="auto" w:fill="auto"/>
                <w:vertAlign w:val="superscript"/>
                <w:lang w:val="en-US" w:eastAsia="zh-CN"/>
              </w:rPr>
              <w:t>3</w:t>
            </w:r>
            <w:r>
              <w:rPr>
                <w:rFonts w:hint="default" w:ascii="Times New Roman" w:hAnsi="Times New Roman" w:cs="Times New Roman"/>
                <w:b w:val="0"/>
                <w:bCs/>
                <w:color w:val="auto"/>
                <w:sz w:val="24"/>
                <w:highlight w:val="none"/>
                <w:u w:val="none"/>
                <w:shd w:val="clear" w:color="auto" w:fill="auto"/>
                <w:lang w:val="en-US" w:eastAsia="zh-CN"/>
              </w:rPr>
              <w:t>/d（</w:t>
            </w:r>
            <w:r>
              <w:rPr>
                <w:rFonts w:hint="eastAsia" w:cs="Times New Roman"/>
                <w:b w:val="0"/>
                <w:bCs/>
                <w:color w:val="auto"/>
                <w:sz w:val="24"/>
                <w:highlight w:val="none"/>
                <w:u w:val="none"/>
                <w:shd w:val="clear" w:color="auto" w:fill="auto"/>
                <w:lang w:val="en-US" w:eastAsia="zh-CN"/>
              </w:rPr>
              <w:t>66</w:t>
            </w:r>
            <w:r>
              <w:rPr>
                <w:rFonts w:hint="default" w:ascii="Times New Roman" w:hAnsi="Times New Roman" w:cs="Times New Roman"/>
                <w:b w:val="0"/>
                <w:bCs/>
                <w:color w:val="auto"/>
                <w:sz w:val="24"/>
                <w:highlight w:val="none"/>
                <w:u w:val="none"/>
                <w:shd w:val="clear" w:color="auto" w:fill="auto"/>
                <w:lang w:val="en-US" w:eastAsia="zh-CN"/>
              </w:rPr>
              <w:t>0m</w:t>
            </w:r>
            <w:r>
              <w:rPr>
                <w:rFonts w:hint="default" w:ascii="Times New Roman" w:hAnsi="Times New Roman" w:cs="Times New Roman"/>
                <w:b w:val="0"/>
                <w:bCs/>
                <w:color w:val="auto"/>
                <w:sz w:val="24"/>
                <w:highlight w:val="none"/>
                <w:u w:val="none"/>
                <w:shd w:val="clear" w:color="auto" w:fill="auto"/>
                <w:vertAlign w:val="superscript"/>
                <w:lang w:val="en-US" w:eastAsia="zh-CN"/>
              </w:rPr>
              <w:t>3</w:t>
            </w:r>
            <w:r>
              <w:rPr>
                <w:rFonts w:hint="default" w:ascii="Times New Roman" w:hAnsi="Times New Roman" w:cs="Times New Roman"/>
                <w:b w:val="0"/>
                <w:bCs/>
                <w:color w:val="auto"/>
                <w:sz w:val="24"/>
                <w:highlight w:val="none"/>
                <w:u w:val="none"/>
                <w:shd w:val="clear" w:color="auto" w:fill="auto"/>
                <w:lang w:val="en-US" w:eastAsia="zh-CN"/>
              </w:rPr>
              <w:t>/a）</w:t>
            </w:r>
            <w:r>
              <w:rPr>
                <w:rFonts w:hint="eastAsia"/>
                <w:color w:val="auto"/>
                <w:lang w:bidi="zh-CN"/>
              </w:rPr>
              <w:t>。</w:t>
            </w:r>
          </w:p>
          <w:p>
            <w:pPr>
              <w:widowControl/>
              <w:spacing w:line="520" w:lineRule="exact"/>
              <w:ind w:firstLine="480" w:firstLineChars="200"/>
              <w:jc w:val="left"/>
              <w:rPr>
                <w:color w:val="auto"/>
                <w:lang w:bidi="zh-CN"/>
              </w:rPr>
            </w:pPr>
            <w:r>
              <w:rPr>
                <w:rFonts w:hint="eastAsia"/>
                <w:color w:val="auto"/>
                <w:lang w:bidi="zh-CN"/>
              </w:rPr>
              <w:t>（</w:t>
            </w:r>
            <w:r>
              <w:rPr>
                <w:color w:val="auto"/>
                <w:lang w:bidi="zh-CN"/>
              </w:rPr>
              <w:t>2</w:t>
            </w:r>
            <w:r>
              <w:rPr>
                <w:rFonts w:hint="eastAsia"/>
                <w:color w:val="auto"/>
                <w:lang w:bidi="zh-CN"/>
              </w:rPr>
              <w:t>）排水系统</w:t>
            </w:r>
          </w:p>
          <w:p>
            <w:pPr>
              <w:widowControl/>
              <w:spacing w:line="520" w:lineRule="exact"/>
              <w:ind w:firstLine="480" w:firstLineChars="200"/>
              <w:jc w:val="left"/>
              <w:rPr>
                <w:color w:val="auto"/>
                <w:lang w:bidi="zh-CN"/>
              </w:rPr>
            </w:pPr>
            <w:r>
              <w:rPr>
                <w:rFonts w:hint="eastAsia"/>
                <w:color w:val="auto"/>
                <w:lang w:bidi="zh-CN"/>
              </w:rPr>
              <w:t>厂区雨污分流，雨水通过厂区雨水管网进入外部集聚区管网，排入潴泷河。</w:t>
            </w:r>
          </w:p>
          <w:p>
            <w:pPr>
              <w:widowControl/>
              <w:spacing w:line="520" w:lineRule="exact"/>
              <w:ind w:firstLine="480" w:firstLineChars="200"/>
              <w:jc w:val="left"/>
              <w:rPr>
                <w:color w:val="auto"/>
                <w:lang w:bidi="zh-CN"/>
              </w:rPr>
            </w:pPr>
            <w:r>
              <w:rPr>
                <w:rFonts w:hint="eastAsia"/>
                <w:color w:val="auto"/>
                <w:lang w:bidi="zh-CN"/>
              </w:rPr>
              <w:t>项目废水主要为生活污水，生活污水经化粪池处理后排入污水处理厂。</w:t>
            </w:r>
          </w:p>
          <w:p>
            <w:pPr>
              <w:widowControl/>
              <w:spacing w:line="520" w:lineRule="exact"/>
              <w:ind w:firstLine="480" w:firstLineChars="200"/>
              <w:jc w:val="left"/>
              <w:rPr>
                <w:color w:val="auto"/>
              </w:rPr>
            </w:pPr>
            <w:r>
              <w:rPr>
                <w:rFonts w:hint="eastAsia"/>
                <w:color w:val="auto"/>
                <w:lang w:bidi="zh-CN"/>
              </w:rPr>
              <w:t>生活污水：项目员工生活用水量为</w:t>
            </w:r>
            <w:r>
              <w:rPr>
                <w:rFonts w:hint="eastAsia"/>
                <w:color w:val="auto"/>
                <w:lang w:val="en-US" w:bidi="zh-CN"/>
              </w:rPr>
              <w:t>2.2</w:t>
            </w:r>
            <w:r>
              <w:rPr>
                <w:color w:val="auto"/>
                <w:lang w:bidi="zh-CN"/>
              </w:rPr>
              <w:t>t/d</w:t>
            </w:r>
            <w:r>
              <w:rPr>
                <w:rFonts w:hint="eastAsia"/>
                <w:color w:val="auto"/>
                <w:lang w:bidi="zh-CN"/>
              </w:rPr>
              <w:t>（</w:t>
            </w:r>
            <w:r>
              <w:rPr>
                <w:rFonts w:hint="eastAsia"/>
                <w:color w:val="auto"/>
                <w:lang w:val="en-US" w:bidi="zh-CN"/>
              </w:rPr>
              <w:t>66</w:t>
            </w:r>
            <w:r>
              <w:rPr>
                <w:color w:val="auto"/>
                <w:lang w:bidi="zh-CN"/>
              </w:rPr>
              <w:t>0t/a</w:t>
            </w:r>
            <w:r>
              <w:rPr>
                <w:rFonts w:hint="eastAsia"/>
                <w:color w:val="auto"/>
                <w:lang w:bidi="zh-CN"/>
              </w:rPr>
              <w:t>），排水量按用水量的</w:t>
            </w:r>
            <w:r>
              <w:rPr>
                <w:color w:val="auto"/>
                <w:lang w:bidi="zh-CN"/>
              </w:rPr>
              <w:t>80%</w:t>
            </w:r>
            <w:r>
              <w:rPr>
                <w:rFonts w:hint="eastAsia"/>
                <w:color w:val="auto"/>
                <w:lang w:bidi="zh-CN"/>
              </w:rPr>
              <w:t>计算，项目生活污水排水量为</w:t>
            </w:r>
            <w:r>
              <w:rPr>
                <w:rFonts w:hint="eastAsia"/>
                <w:color w:val="auto"/>
                <w:lang w:val="en-US" w:bidi="zh-CN"/>
              </w:rPr>
              <w:t>1.76</w:t>
            </w:r>
            <w:r>
              <w:rPr>
                <w:color w:val="auto"/>
                <w:lang w:bidi="zh-CN"/>
              </w:rPr>
              <w:t>t/d</w:t>
            </w:r>
            <w:r>
              <w:rPr>
                <w:rFonts w:hint="eastAsia"/>
                <w:color w:val="auto"/>
                <w:lang w:bidi="zh-CN"/>
              </w:rPr>
              <w:t>（</w:t>
            </w:r>
            <w:r>
              <w:rPr>
                <w:rFonts w:hint="eastAsia"/>
                <w:color w:val="auto"/>
                <w:lang w:val="en-US" w:bidi="zh-CN"/>
              </w:rPr>
              <w:t>528</w:t>
            </w:r>
            <w:r>
              <w:rPr>
                <w:color w:val="auto"/>
                <w:lang w:bidi="zh-CN"/>
              </w:rPr>
              <w:t>t/a</w:t>
            </w:r>
            <w:r>
              <w:rPr>
                <w:rFonts w:hint="eastAsia"/>
                <w:color w:val="auto"/>
                <w:lang w:bidi="zh-CN"/>
              </w:rPr>
              <w:t>）。</w:t>
            </w:r>
          </w:p>
          <w:tbl>
            <w:tblPr>
              <w:tblStyle w:val="23"/>
              <w:tblW w:w="9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697"/>
              <w:gridCol w:w="1580"/>
              <w:gridCol w:w="4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60" w:type="dxa"/>
                  <w:gridSpan w:val="2"/>
                  <w:vAlign w:val="center"/>
                </w:tcPr>
                <w:p>
                  <w:pPr>
                    <w:widowControl/>
                    <w:jc w:val="center"/>
                    <w:rPr>
                      <w:color w:val="auto"/>
                      <w:kern w:val="0"/>
                      <w:sz w:val="21"/>
                      <w:szCs w:val="21"/>
                      <w:lang w:bidi="ar"/>
                    </w:rPr>
                  </w:pPr>
                  <w:r>
                    <w:rPr>
                      <w:rFonts w:hint="eastAsia"/>
                      <w:color w:val="auto"/>
                      <w:kern w:val="0"/>
                      <w:sz w:val="21"/>
                      <w:szCs w:val="21"/>
                      <w:lang w:bidi="ar"/>
                    </w:rPr>
                    <w:t>名称</w:t>
                  </w:r>
                </w:p>
              </w:tc>
              <w:tc>
                <w:tcPr>
                  <w:tcW w:w="1580" w:type="dxa"/>
                  <w:vAlign w:val="center"/>
                </w:tcPr>
                <w:p>
                  <w:pPr>
                    <w:widowControl/>
                    <w:jc w:val="center"/>
                    <w:rPr>
                      <w:color w:val="auto"/>
                      <w:kern w:val="0"/>
                      <w:sz w:val="21"/>
                      <w:szCs w:val="21"/>
                      <w:lang w:bidi="ar"/>
                    </w:rPr>
                  </w:pPr>
                  <w:r>
                    <w:rPr>
                      <w:rFonts w:hint="eastAsia"/>
                      <w:color w:val="auto"/>
                      <w:kern w:val="0"/>
                      <w:sz w:val="21"/>
                      <w:szCs w:val="21"/>
                      <w:lang w:bidi="ar"/>
                    </w:rPr>
                    <w:t>数值（t/a）</w:t>
                  </w:r>
                </w:p>
              </w:tc>
              <w:tc>
                <w:tcPr>
                  <w:tcW w:w="4823" w:type="dxa"/>
                  <w:vAlign w:val="center"/>
                </w:tcPr>
                <w:p>
                  <w:pPr>
                    <w:widowControl/>
                    <w:jc w:val="center"/>
                    <w:rPr>
                      <w:color w:val="auto"/>
                      <w:kern w:val="0"/>
                      <w:sz w:val="21"/>
                      <w:szCs w:val="21"/>
                      <w:lang w:bidi="ar"/>
                    </w:rPr>
                  </w:pPr>
                  <w:r>
                    <w:rPr>
                      <w:rFonts w:hint="eastAsia"/>
                      <w:color w:val="auto"/>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163" w:type="dxa"/>
                  <w:vAlign w:val="center"/>
                </w:tcPr>
                <w:p>
                  <w:pPr>
                    <w:widowControl/>
                    <w:jc w:val="center"/>
                    <w:rPr>
                      <w:rFonts w:hint="default" w:eastAsia="宋体"/>
                      <w:color w:val="auto"/>
                      <w:kern w:val="0"/>
                      <w:sz w:val="21"/>
                      <w:szCs w:val="21"/>
                      <w:lang w:val="en-US" w:eastAsia="zh-CN" w:bidi="ar"/>
                    </w:rPr>
                  </w:pPr>
                  <w:r>
                    <w:rPr>
                      <w:rFonts w:hint="eastAsia"/>
                      <w:color w:val="auto"/>
                      <w:kern w:val="0"/>
                      <w:sz w:val="21"/>
                      <w:szCs w:val="21"/>
                      <w:lang w:val="en-US" w:eastAsia="zh-CN" w:bidi="ar"/>
                    </w:rPr>
                    <w:t>新鲜水</w:t>
                  </w:r>
                </w:p>
              </w:tc>
              <w:tc>
                <w:tcPr>
                  <w:tcW w:w="1697" w:type="dxa"/>
                  <w:vAlign w:val="center"/>
                </w:tcPr>
                <w:p>
                  <w:pPr>
                    <w:widowControl/>
                    <w:jc w:val="center"/>
                    <w:rPr>
                      <w:color w:val="auto"/>
                      <w:kern w:val="0"/>
                      <w:sz w:val="21"/>
                      <w:szCs w:val="21"/>
                      <w:lang w:bidi="ar"/>
                    </w:rPr>
                  </w:pPr>
                  <w:r>
                    <w:rPr>
                      <w:rFonts w:hint="eastAsia"/>
                      <w:color w:val="auto"/>
                      <w:kern w:val="0"/>
                      <w:sz w:val="21"/>
                      <w:szCs w:val="21"/>
                      <w:lang w:bidi="ar"/>
                    </w:rPr>
                    <w:t>生活用水</w:t>
                  </w:r>
                </w:p>
              </w:tc>
              <w:tc>
                <w:tcPr>
                  <w:tcW w:w="1580" w:type="dxa"/>
                  <w:vAlign w:val="center"/>
                </w:tcPr>
                <w:p>
                  <w:pPr>
                    <w:widowControl/>
                    <w:jc w:val="center"/>
                    <w:rPr>
                      <w:rFonts w:hint="default" w:eastAsia="宋体"/>
                      <w:color w:val="auto"/>
                      <w:kern w:val="0"/>
                      <w:sz w:val="21"/>
                      <w:szCs w:val="21"/>
                      <w:lang w:val="en-US" w:eastAsia="zh-CN" w:bidi="ar"/>
                    </w:rPr>
                  </w:pPr>
                  <w:r>
                    <w:rPr>
                      <w:rFonts w:hint="eastAsia"/>
                      <w:color w:val="auto"/>
                      <w:kern w:val="0"/>
                      <w:sz w:val="21"/>
                      <w:szCs w:val="21"/>
                      <w:lang w:val="en-US" w:eastAsia="zh-CN" w:bidi="ar"/>
                    </w:rPr>
                    <w:t>660</w:t>
                  </w:r>
                </w:p>
              </w:tc>
              <w:tc>
                <w:tcPr>
                  <w:tcW w:w="4823" w:type="dxa"/>
                  <w:vAlign w:val="center"/>
                </w:tcPr>
                <w:p>
                  <w:pPr>
                    <w:widowControl/>
                    <w:jc w:val="center"/>
                    <w:rPr>
                      <w:color w:val="auto"/>
                      <w:kern w:val="0"/>
                      <w:sz w:val="21"/>
                      <w:szCs w:val="21"/>
                      <w:lang w:bidi="ar"/>
                    </w:rPr>
                  </w:pPr>
                  <w:r>
                    <w:rPr>
                      <w:rFonts w:hint="eastAsia"/>
                      <w:color w:val="auto"/>
                      <w:kern w:val="0"/>
                      <w:sz w:val="21"/>
                      <w:szCs w:val="21"/>
                      <w:lang w:bidi="ar"/>
                    </w:rPr>
                    <w:t>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163" w:type="dxa"/>
                  <w:vAlign w:val="center"/>
                </w:tcPr>
                <w:p>
                  <w:pPr>
                    <w:widowControl/>
                    <w:jc w:val="center"/>
                    <w:rPr>
                      <w:color w:val="auto"/>
                      <w:kern w:val="0"/>
                      <w:sz w:val="21"/>
                      <w:szCs w:val="21"/>
                      <w:lang w:bidi="ar"/>
                    </w:rPr>
                  </w:pPr>
                  <w:r>
                    <w:rPr>
                      <w:rFonts w:hint="eastAsia"/>
                      <w:color w:val="auto"/>
                      <w:kern w:val="0"/>
                      <w:sz w:val="21"/>
                      <w:szCs w:val="21"/>
                      <w:lang w:bidi="ar"/>
                    </w:rPr>
                    <w:t>排水</w:t>
                  </w:r>
                </w:p>
              </w:tc>
              <w:tc>
                <w:tcPr>
                  <w:tcW w:w="1697" w:type="dxa"/>
                  <w:vAlign w:val="center"/>
                </w:tcPr>
                <w:p>
                  <w:pPr>
                    <w:widowControl/>
                    <w:jc w:val="center"/>
                    <w:rPr>
                      <w:color w:val="auto"/>
                      <w:kern w:val="0"/>
                      <w:sz w:val="21"/>
                      <w:szCs w:val="21"/>
                      <w:lang w:bidi="ar"/>
                    </w:rPr>
                  </w:pPr>
                  <w:r>
                    <w:rPr>
                      <w:rFonts w:hint="eastAsia"/>
                      <w:color w:val="auto"/>
                      <w:kern w:val="0"/>
                      <w:sz w:val="21"/>
                      <w:szCs w:val="21"/>
                      <w:lang w:bidi="ar"/>
                    </w:rPr>
                    <w:t>生活废水</w:t>
                  </w:r>
                </w:p>
              </w:tc>
              <w:tc>
                <w:tcPr>
                  <w:tcW w:w="1580" w:type="dxa"/>
                  <w:vAlign w:val="center"/>
                </w:tcPr>
                <w:p>
                  <w:pPr>
                    <w:widowControl/>
                    <w:jc w:val="center"/>
                    <w:rPr>
                      <w:rFonts w:hint="default" w:eastAsia="宋体"/>
                      <w:color w:val="auto"/>
                      <w:kern w:val="0"/>
                      <w:sz w:val="21"/>
                      <w:szCs w:val="21"/>
                      <w:lang w:val="en-US" w:eastAsia="zh-CN" w:bidi="ar"/>
                    </w:rPr>
                  </w:pPr>
                  <w:r>
                    <w:rPr>
                      <w:rFonts w:hint="eastAsia"/>
                      <w:color w:val="auto"/>
                      <w:kern w:val="0"/>
                      <w:sz w:val="21"/>
                      <w:szCs w:val="21"/>
                      <w:lang w:val="en-US" w:eastAsia="zh-CN" w:bidi="ar"/>
                    </w:rPr>
                    <w:t>528</w:t>
                  </w:r>
                </w:p>
              </w:tc>
              <w:tc>
                <w:tcPr>
                  <w:tcW w:w="4823" w:type="dxa"/>
                  <w:vAlign w:val="center"/>
                </w:tcPr>
                <w:p>
                  <w:pPr>
                    <w:pStyle w:val="25"/>
                    <w:jc w:val="left"/>
                    <w:rPr>
                      <w:rFonts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生活污水</w:t>
                  </w:r>
                  <w:r>
                    <w:rPr>
                      <w:rFonts w:hint="eastAsia" w:ascii="Times New Roman" w:hAnsi="Times New Roman" w:cs="Times New Roman"/>
                      <w:color w:val="auto"/>
                      <w:sz w:val="21"/>
                      <w:szCs w:val="21"/>
                      <w:lang w:val="en-US"/>
                    </w:rPr>
                    <w:t>经化粪池处理后经园区污水管网排入清丰中州水务有限公司第二污水处理厂，后排入</w:t>
                  </w:r>
                  <w:r>
                    <w:rPr>
                      <w:rFonts w:hint="eastAsia" w:ascii="Times New Roman" w:hAnsi="Times New Roman" w:cs="Times New Roman"/>
                      <w:color w:val="auto"/>
                      <w:sz w:val="21"/>
                      <w:szCs w:val="21"/>
                      <w:lang w:val="en-US" w:eastAsia="zh-CN"/>
                    </w:rPr>
                    <w:t>潴泷河</w:t>
                  </w:r>
                  <w:r>
                    <w:rPr>
                      <w:rFonts w:hint="eastAsia" w:ascii="Times New Roman" w:hAnsi="Times New Roman" w:cs="Times New Roman"/>
                      <w:color w:val="auto"/>
                      <w:sz w:val="21"/>
                      <w:szCs w:val="21"/>
                      <w:lang w:val="en-US"/>
                    </w:rPr>
                    <w:t>。</w:t>
                  </w:r>
                </w:p>
              </w:tc>
            </w:tr>
          </w:tbl>
          <w:p>
            <w:pPr>
              <w:pStyle w:val="10"/>
              <w:rPr>
                <w:color w:val="auto"/>
              </w:rPr>
            </w:pPr>
          </w:p>
          <w:p>
            <w:pPr>
              <w:pStyle w:val="10"/>
              <w:rPr>
                <w:color w:val="auto"/>
              </w:rPr>
            </w:pPr>
          </w:p>
          <w:p>
            <w:pPr>
              <w:pStyle w:val="10"/>
              <w:rPr>
                <w:color w:val="auto"/>
              </w:rPr>
            </w:pPr>
            <w:r>
              <w:rPr>
                <w:color w:val="auto"/>
                <w:sz w:val="24"/>
              </w:rPr>
              <mc:AlternateContent>
                <mc:Choice Requires="wps">
                  <w:drawing>
                    <wp:anchor distT="0" distB="0" distL="114300" distR="114300" simplePos="0" relativeHeight="251669504" behindDoc="0" locked="0" layoutInCell="1" allowOverlap="1">
                      <wp:simplePos x="0" y="0"/>
                      <wp:positionH relativeFrom="column">
                        <wp:posOffset>4050030</wp:posOffset>
                      </wp:positionH>
                      <wp:positionV relativeFrom="paragraph">
                        <wp:posOffset>278765</wp:posOffset>
                      </wp:positionV>
                      <wp:extent cx="1210310" cy="680085"/>
                      <wp:effectExtent l="0" t="0" r="0" b="0"/>
                      <wp:wrapNone/>
                      <wp:docPr id="111" name="文本框 111"/>
                      <wp:cNvGraphicFramePr/>
                      <a:graphic xmlns:a="http://schemas.openxmlformats.org/drawingml/2006/main">
                        <a:graphicData uri="http://schemas.microsoft.com/office/word/2010/wordprocessingShape">
                          <wps:wsp>
                            <wps:cNvSpPr txBox="1"/>
                            <wps:spPr>
                              <a:xfrm>
                                <a:off x="5139690" y="6599555"/>
                                <a:ext cx="1210310" cy="680085"/>
                              </a:xfrm>
                              <a:prstGeom prst="rect">
                                <a:avLst/>
                              </a:prstGeom>
                              <a:noFill/>
                              <a:ln>
                                <a:noFill/>
                              </a:ln>
                            </wps:spPr>
                            <wps:txbx>
                              <w:txbxContent>
                                <w:p>
                                  <w:pPr>
                                    <w:rPr>
                                      <w:sz w:val="21"/>
                                      <w:szCs w:val="21"/>
                                    </w:rPr>
                                  </w:pPr>
                                  <w:r>
                                    <w:rPr>
                                      <w:rFonts w:hint="eastAsia"/>
                                      <w:sz w:val="21"/>
                                      <w:szCs w:val="21"/>
                                    </w:rPr>
                                    <w:t>清丰中州水务有限公司第二污水处理厂</w:t>
                                  </w:r>
                                </w:p>
                              </w:txbxContent>
                            </wps:txbx>
                            <wps:bodyPr upright="1"/>
                          </wps:wsp>
                        </a:graphicData>
                      </a:graphic>
                    </wp:anchor>
                  </w:drawing>
                </mc:Choice>
                <mc:Fallback>
                  <w:pict>
                    <v:shape id="_x0000_s1026" o:spid="_x0000_s1026" o:spt="202" type="#_x0000_t202" style="position:absolute;left:0pt;margin-left:318.9pt;margin-top:21.95pt;height:53.55pt;width:95.3pt;z-index:251669504;mso-width-relative:page;mso-height-relative:page;" filled="f" stroked="f" coordsize="21600,21600" o:gfxdata="UEsDBAoAAAAAAIdO4kAAAAAAAAAAAAAAAAAEAAAAZHJzL1BLAwQUAAAACACHTuJAZw2XYNgAAAAK&#10;AQAADwAAAGRycy9kb3ducmV2LnhtbE2PwU7DMBBE70j9B2uRuFE7bVrSEKeHIq4gSovEzY23SUS8&#10;jmK3CX/PcoLjap5m3hbbyXXiikNoPWlI5goEUuVtS7WGw/vzfQYiREPWdJ5QwzcG2Jazm8Lk1o/0&#10;htd9rAWXUMiNhibGPpcyVA06E+a+R+Ls7AdnIp9DLe1gRi53nVwotZbOtMQLjelx12D1tb84DceX&#10;8+dHql7rJ7fqRz8pSW4jtb67TdQjiIhT/IPhV5/VoWSnk7+QDaLTsF4+sHrUkC43IBjIFlkK4sTk&#10;KlEgy0L+f6H8AVBLAwQUAAAACACHTuJA+a4MxJwBAAAQAwAADgAAAGRycy9lMm9Eb2MueG1srVJL&#10;btswEN0XyB0I7mNKDmTYguUAQZBsirZA0gPQFGkREDkEyVjyBZIbdNVN9z2Xz5Eh7fx3QTZDcubh&#10;zbw3XJ6Ppidb6YMG29ByUlAirYBW201Df99enc4pCZHblvdgZUN3MtDz1cm35eBqOYUO+lZ6giQ2&#10;1INraBejqxkLopOGhwk4abGowBse8ek3rPV8QHbTs2lRzNgAvnUehAwBs5eHIl1lfqWkiD+VCjKS&#10;vqE4W8zR57hOka2WvN547jotjmPwT0xhuLbY9JnqkkdO7rz+QGW08BBAxYkAw0ApLWTWgGrK4p2a&#10;m447mbWgOcE92xS+jlb82P7yRLe4u7KkxHKDS9r/edj//b//d09SEi0aXKgReeMQG8cLGBH+lA+Y&#10;TMpH5U06URPBelWeLWYLtHzX0Fm1WFRVdTBbjpGIRDAti7MSASIh5kUxzwD2wuR8iNcSDEmXhnpc&#10;ZvaYb7+HiFMh9AmSGlu40n2fF9rbNwkEpgxLMg7jplsc1+NR2xraHUq7c15vOmyVxWU42p4bHb9I&#10;2uvrdyZ9+cir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cNl2DYAAAACgEAAA8AAAAAAAAAAQAg&#10;AAAAIgAAAGRycy9kb3ducmV2LnhtbFBLAQIUABQAAAAIAIdO4kD5rgzEnAEAABADAAAOAAAAAAAA&#10;AAEAIAAAACcBAABkcnMvZTJvRG9jLnhtbFBLBQYAAAAABgAGAFkBAAA1BQAAAAA=&#10;">
                      <v:fill on="f" focussize="0,0"/>
                      <v:stroke on="f"/>
                      <v:imagedata o:title=""/>
                      <o:lock v:ext="edit" aspectratio="f"/>
                      <v:textbox>
                        <w:txbxContent>
                          <w:p>
                            <w:pPr>
                              <w:rPr>
                                <w:sz w:val="21"/>
                                <w:szCs w:val="21"/>
                              </w:rPr>
                            </w:pPr>
                            <w:r>
                              <w:rPr>
                                <w:rFonts w:hint="eastAsia"/>
                                <w:sz w:val="21"/>
                                <w:szCs w:val="21"/>
                              </w:rPr>
                              <w:t>清丰中州水务有限公司第二污水处理厂</w:t>
                            </w:r>
                          </w:p>
                        </w:txbxContent>
                      </v:textbox>
                    </v:shape>
                  </w:pict>
                </mc:Fallback>
              </mc:AlternateContent>
            </w: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3295650</wp:posOffset>
                      </wp:positionH>
                      <wp:positionV relativeFrom="paragraph">
                        <wp:posOffset>300355</wp:posOffset>
                      </wp:positionV>
                      <wp:extent cx="508000" cy="292100"/>
                      <wp:effectExtent l="0" t="0" r="0" b="0"/>
                      <wp:wrapNone/>
                      <wp:docPr id="109" name="文本框 109"/>
                      <wp:cNvGraphicFramePr/>
                      <a:graphic xmlns:a="http://schemas.openxmlformats.org/drawingml/2006/main">
                        <a:graphicData uri="http://schemas.microsoft.com/office/word/2010/wordprocessingShape">
                          <wps:wsp>
                            <wps:cNvSpPr txBox="1"/>
                            <wps:spPr>
                              <a:xfrm>
                                <a:off x="4385310" y="6621145"/>
                                <a:ext cx="508000" cy="292100"/>
                              </a:xfrm>
                              <a:prstGeom prst="rect">
                                <a:avLst/>
                              </a:prstGeom>
                              <a:noFill/>
                              <a:ln>
                                <a:noFill/>
                              </a:ln>
                            </wps:spPr>
                            <wps:txbx>
                              <w:txbxContent>
                                <w:p>
                                  <w:pPr>
                                    <w:rPr>
                                      <w:rFonts w:hint="default" w:eastAsia="宋体"/>
                                      <w:sz w:val="21"/>
                                      <w:szCs w:val="21"/>
                                      <w:lang w:val="en-US" w:eastAsia="zh-CN"/>
                                    </w:rPr>
                                  </w:pPr>
                                  <w:r>
                                    <w:rPr>
                                      <w:rFonts w:hint="eastAsia"/>
                                      <w:sz w:val="21"/>
                                      <w:szCs w:val="21"/>
                                      <w:lang w:val="en-US" w:eastAsia="zh-CN"/>
                                    </w:rPr>
                                    <w:t>528</w:t>
                                  </w:r>
                                </w:p>
                              </w:txbxContent>
                            </wps:txbx>
                            <wps:bodyPr upright="1"/>
                          </wps:wsp>
                        </a:graphicData>
                      </a:graphic>
                    </wp:anchor>
                  </w:drawing>
                </mc:Choice>
                <mc:Fallback>
                  <w:pict>
                    <v:shape id="_x0000_s1026" o:spid="_x0000_s1026" o:spt="202" type="#_x0000_t202" style="position:absolute;left:0pt;margin-left:259.5pt;margin-top:23.65pt;height:23pt;width:40pt;z-index:251667456;mso-width-relative:page;mso-height-relative:page;" filled="f" stroked="f" coordsize="21600,21600" o:gfxdata="UEsDBAoAAAAAAIdO4kAAAAAAAAAAAAAAAAAEAAAAZHJzL1BLAwQUAAAACACHTuJACpfdxtYAAAAJ&#10;AQAADwAAAGRycy9kb3ducmV2LnhtbE2PwU7DMBBE70j9B2uRuFE7TVNIyKYHEFcQpSBxc+NtEhGv&#10;o9htwt/jnuA4O6PZN+V2tr040+g7xwjJUoEgrp3puEHYvz/f3oPwQbPRvWNC+CEP22pxVerCuInf&#10;6LwLjYgl7AuN0IYwFFL6uiWr/dINxNE7utHqEOXYSDPqKZbbXq6U2kirO44fWj3QY0v19+5kET5e&#10;jl+fa/XaPNlsmNysJNtcIt5cJ+oBRKA5/IXhgh/RoYpMB3di40WPkCV53BIQ1ncpiBjI8svhgJCn&#10;KciqlP8XVL9QSwMEFAAAAAgAh07iQJS6v9WeAQAADwMAAA4AAABkcnMvZTJvRG9jLnhtbK1SS04j&#10;MRDdj8QdLO+JuxsShVY6SAjBZjSDxHAAx22nLbVdlm3SnQvM3GBWs2HPuXIOyk74DOwQm7Jd9fSq&#10;3isvzkfTk430QYNtaDkpKJFWQKvtuqF3v66O55SEyG3Le7CyoVsZ6Pny6NticLWsoIO+lZ4giQ31&#10;4BraxehqxoLopOFhAk5aLCrwhkd8+jVrPR+Q3fSsKooZG8C3zoOQIWD2cl+ky8yvlBTxp1JBRtI3&#10;FGeLOfocVymy5YLXa89dp8VhDP6JKQzXFpu+UF3yyMm91x+ojBYeAqg4EWAYKKWFzBpQTVm8U3Pb&#10;cSezFjQnuBebwtfRih+bG090i7srziix3OCSdn//7P497h5+k5REiwYXakTeOsTG8QJGhD/nAyaT&#10;8lF5k07URLB+ejKfnpRo+bahs1lVlqfTvdlyjEQgYFrMiwLrAgHVWVXiHTuxVyLnQ7yWYEi6NNTj&#10;LrPFfPM9xD30GZL6WrjSfZ/32dv/EsiZMiyp2E+bbnFcjQdpK2i3qOzeeb3usFXWluHoep7p8EPS&#10;Wt++M+nrP14+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qX3cbWAAAACQEAAA8AAAAAAAAAAQAg&#10;AAAAIgAAAGRycy9kb3ducmV2LnhtbFBLAQIUABQAAAAIAIdO4kCUur/VngEAAA8DAAAOAAAAAAAA&#10;AAEAIAAAACUBAABkcnMvZTJvRG9jLnhtbFBLBQYAAAAABgAGAFkBAAA1BQAAAAA=&#10;">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528</w:t>
                            </w:r>
                          </w:p>
                        </w:txbxContent>
                      </v:textbox>
                    </v:shape>
                  </w:pict>
                </mc:Fallback>
              </mc:AlternateContent>
            </w: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854075</wp:posOffset>
                      </wp:positionH>
                      <wp:positionV relativeFrom="paragraph">
                        <wp:posOffset>327660</wp:posOffset>
                      </wp:positionV>
                      <wp:extent cx="520065" cy="300355"/>
                      <wp:effectExtent l="0" t="0" r="0" b="0"/>
                      <wp:wrapNone/>
                      <wp:docPr id="107" name="文本框 107"/>
                      <wp:cNvGraphicFramePr/>
                      <a:graphic xmlns:a="http://schemas.openxmlformats.org/drawingml/2006/main">
                        <a:graphicData uri="http://schemas.microsoft.com/office/word/2010/wordprocessingShape">
                          <wps:wsp>
                            <wps:cNvSpPr txBox="1"/>
                            <wps:spPr>
                              <a:xfrm>
                                <a:off x="1943735" y="6648450"/>
                                <a:ext cx="520065" cy="300355"/>
                              </a:xfrm>
                              <a:prstGeom prst="rect">
                                <a:avLst/>
                              </a:prstGeom>
                              <a:noFill/>
                              <a:ln>
                                <a:noFill/>
                              </a:ln>
                            </wps:spPr>
                            <wps:txbx>
                              <w:txbxContent>
                                <w:p>
                                  <w:pPr>
                                    <w:rPr>
                                      <w:rFonts w:hint="default" w:eastAsia="宋体"/>
                                      <w:sz w:val="21"/>
                                      <w:szCs w:val="21"/>
                                      <w:lang w:val="en-US" w:eastAsia="zh-CN"/>
                                    </w:rPr>
                                  </w:pPr>
                                  <w:r>
                                    <w:rPr>
                                      <w:rFonts w:hint="eastAsia"/>
                                      <w:sz w:val="21"/>
                                      <w:szCs w:val="21"/>
                                      <w:lang w:val="en-US" w:eastAsia="zh-CN"/>
                                    </w:rPr>
                                    <w:t>660</w:t>
                                  </w:r>
                                </w:p>
                              </w:txbxContent>
                            </wps:txbx>
                            <wps:bodyPr upright="1"/>
                          </wps:wsp>
                        </a:graphicData>
                      </a:graphic>
                    </wp:anchor>
                  </w:drawing>
                </mc:Choice>
                <mc:Fallback>
                  <w:pict>
                    <v:shape id="_x0000_s1026" o:spid="_x0000_s1026" o:spt="202" type="#_x0000_t202" style="position:absolute;left:0pt;margin-left:67.25pt;margin-top:25.8pt;height:23.65pt;width:40.95pt;z-index:251666432;mso-width-relative:page;mso-height-relative:page;" filled="f" stroked="f" coordsize="21600,21600" o:gfxdata="UEsDBAoAAAAAAIdO4kAAAAAAAAAAAAAAAAAEAAAAZHJzL1BLAwQUAAAACACHTuJAQxP8MdcAAAAJ&#10;AQAADwAAAGRycy9kb3ducmV2LnhtbE2Py07DMBBF90j8gzVI7KidkkRNGqcLEFsQ5SF158bTJCIe&#10;R7HbhL9nWMHyao7uPVPtFjeIC06h96QhWSkQSI23PbUa3t+e7jYgQjRkzeAJNXxjgF19fVWZ0vqZ&#10;XvGyj63gEgql0dDFOJZShqZDZ8LKj0h8O/nJmchxaqWdzMzlbpBrpXLpTE+80JkRHzpsvvZnp+Hj&#10;+XT4TNVL++iycfaLkuQKqfXtTaK2ICIu8Q+GX31Wh5qdjv5MNoiB832aMaohS3IQDKyTPAVx1FBs&#10;CpB1Jf9/UP8AUEsDBBQAAAAIAIdO4kD1gUytnAEAAA8DAAAOAAAAZHJzL2Uyb0RvYy54bWytUktu&#10;2zAQ3RfIHQjuYyqx5SSC5QCBkW6KtkCSA9AUaREQOQRJW/IF2ht01U33PZfP0SH9SZPsgmyG5MzD&#10;m3nzOLsdTEc20gcNtqYXo4ISaQU02q5q+vR4f35NSYjcNrwDK2u6lYHezs8+zXpXyUtooWukJ0hi&#10;Q9W7mrYxuoqxIFppeBiBkxaLCrzhEZ9+xRrPe2Q3HbssiinrwTfOg5AhYHaxL9J55ldKivhNqSAj&#10;6WqKs8UcfY7LFNl8xquV567V4jAGf8cUhmuLTU9UCx45WXv9hspo4SGAiiMBhoFSWsisAdVcFK/U&#10;PLTcyawFlxPcaU3h42jF1813T3SD3hVXlFhu0KTdr5+73393f36QlMQV9S5UiHxwiI3DHQwIP+YD&#10;JpPyQXmTTtREUv1mMr4al5RsazqdTq4n5WHZcohEIKBM9mFdIGBcFOOyTIzsmcj5ED9LMCRdaurR&#10;y7xivvkS4h56hKS+Fu5112U/O/sigZwpw5KK/bTpFoflcJC2hGaLytbO61WLrbK2DMet55kOPyTZ&#10;+v87kz7/4/k/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xP8MdcAAAAJAQAADwAAAAAAAAABACAA&#10;AAAiAAAAZHJzL2Rvd25yZXYueG1sUEsBAhQAFAAAAAgAh07iQPWBTK2cAQAADwMAAA4AAAAAAAAA&#10;AQAgAAAAJgEAAGRycy9lMm9Eb2MueG1sUEsFBgAAAAAGAAYAWQEAADQFAAAAAA==&#10;">
                      <v:fill on="f"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660</w:t>
                            </w:r>
                          </w:p>
                        </w:txbxContent>
                      </v:textbox>
                    </v:shape>
                  </w:pict>
                </mc:Fallback>
              </mc:AlternateContent>
            </w:r>
            <w:r>
              <w:rPr>
                <w:color w:val="auto"/>
                <w:sz w:val="24"/>
              </w:rPr>
              <mc:AlternateContent>
                <mc:Choice Requires="wps">
                  <w:drawing>
                    <wp:anchor distT="0" distB="0" distL="114300" distR="114300" simplePos="0" relativeHeight="251662336" behindDoc="0" locked="0" layoutInCell="1" allowOverlap="1">
                      <wp:simplePos x="0" y="0"/>
                      <wp:positionH relativeFrom="column">
                        <wp:posOffset>2028825</wp:posOffset>
                      </wp:positionH>
                      <wp:positionV relativeFrom="paragraph">
                        <wp:posOffset>47625</wp:posOffset>
                      </wp:positionV>
                      <wp:extent cx="672465" cy="339090"/>
                      <wp:effectExtent l="50165" t="3810" r="13970" b="76200"/>
                      <wp:wrapNone/>
                      <wp:docPr id="5" name="云形标注 5"/>
                      <wp:cNvGraphicFramePr/>
                      <a:graphic xmlns:a="http://schemas.openxmlformats.org/drawingml/2006/main">
                        <a:graphicData uri="http://schemas.microsoft.com/office/word/2010/wordprocessingShape">
                          <wps:wsp>
                            <wps:cNvSpPr/>
                            <wps:spPr>
                              <a:xfrm>
                                <a:off x="3118485" y="6368415"/>
                                <a:ext cx="672465" cy="339090"/>
                              </a:xfrm>
                              <a:prstGeom prst="cloudCallout">
                                <a:avLst>
                                  <a:gd name="adj1" fmla="val -55384"/>
                                  <a:gd name="adj2" fmla="val 66806"/>
                                </a:avLst>
                              </a:prstGeom>
                              <a:noFill/>
                              <a:ln w="9525" cap="flat" cmpd="sng">
                                <a:solidFill>
                                  <a:srgbClr val="000000"/>
                                </a:solidFill>
                                <a:prstDash val="solid"/>
                                <a:headEnd type="none" w="med" len="med"/>
                                <a:tailEnd type="none" w="med" len="med"/>
                              </a:ln>
                            </wps:spPr>
                            <wps:txbx>
                              <w:txbxContent>
                                <w:p>
                                  <w:pPr>
                                    <w:spacing w:line="240" w:lineRule="exact"/>
                                    <w:rPr>
                                      <w:rFonts w:hint="default" w:eastAsia="宋体"/>
                                      <w:sz w:val="21"/>
                                      <w:szCs w:val="21"/>
                                      <w:lang w:val="en-US" w:eastAsia="zh-CN"/>
                                    </w:rPr>
                                  </w:pPr>
                                  <w:r>
                                    <w:rPr>
                                      <w:rFonts w:hint="eastAsia"/>
                                      <w:sz w:val="21"/>
                                      <w:szCs w:val="21"/>
                                      <w:lang w:val="en-US" w:eastAsia="zh-CN"/>
                                    </w:rPr>
                                    <w:t>132</w:t>
                                  </w:r>
                                </w:p>
                              </w:txbxContent>
                            </wps:txbx>
                            <wps:bodyPr upright="1"/>
                          </wps:wsp>
                        </a:graphicData>
                      </a:graphic>
                    </wp:anchor>
                  </w:drawing>
                </mc:Choice>
                <mc:Fallback>
                  <w:pict>
                    <v:shape id="_x0000_s1026" o:spid="_x0000_s1026" o:spt="106" type="#_x0000_t106" style="position:absolute;left:0pt;margin-left:159.75pt;margin-top:3.75pt;height:26.7pt;width:52.95pt;z-index:251662336;mso-width-relative:page;mso-height-relative:page;" filled="f" stroked="t" coordsize="21600,21600" o:gfxdata="UEsDBAoAAAAAAIdO4kAAAAAAAAAAAAAAAAAEAAAAZHJzL1BLAwQUAAAACACHTuJA19mynNcAAAAI&#10;AQAADwAAAGRycy9kb3ducmV2LnhtbE2PzW7CMBCE75X6DtZW6q3YpkAhjcOhUg+9FYI4m9jEAXsd&#10;xQ4/b9/tqT2NVjOa+bZc34JnFzukLqICORHALDbRdNgq2NWfL0tgKWs02ke0Cu42wbp6fCh1YeIV&#10;N/ayzS2jEkyFVuBy7gvOU+Ns0GkSe4vkHeMQdKZzaLkZ9JXKg+dTIRY86A5pwenefjjbnLdjUFCH&#10;/XIjvsaO7094b49euvpbKvX8JMU7sGxv+S8Mv/iEDhUxHeKIJjGv4FWu5hRV8EZC/mw6nwE7KFiI&#10;FfCq5P8fqH4AUEsDBBQAAAAIAIdO4kB/6IcHHAIAABMEAAAOAAAAZHJzL2Uyb0RvYy54bWytU8uO&#10;0zAU3SPxD5b30yR9hDRqOospwwbBSAMf4NpOY+SXbLdJv4A1f4BYsWc3En8D8x1cu2GmwAYhsrCv&#10;4+Nzz32tLgcl0YE7L4xucDHJMeKaGib0rsFv31xfVBj5QDQj0mje4CP3+HL99MmqtzWfms5Ixh0C&#10;Eu3r3ja4C8HWWeZpxxXxE2O5hsvWOEUCHN0uY470wK5kNs3zMuuNY9YZyr2Hv5vTJV4n/rblNLxu&#10;W88Dkg0GbSGtLq3buGbrFal3jthO0FEG+QcViggNTh+oNiQQtHfiDyolqDPetGFCjcpM2wrKUwwQ&#10;TZH/Fs1tRyxPsUByvH1Ik/9/tPTV4cYhwRq8wEgTBSX6dvfh+9dP9x/f33/5jBYxQ731NQBv7Y0b&#10;Tx7MGO7QOhV3CAQNDZ4VRTWvgOnY4HJWVvMivSc1HwKiACifTecl3FMAzGbLfJkqkD0SWefDC24U&#10;ikaDqTR7dkUkbCHllxxe+pASzUa5hL0rMGqVhLodiEQXi8Wsmo+FPQNNz0FlWeVlxIDrkRKsn84j&#10;vzbXQsrUHlKjvsHLxTQKJ9CkrSQBTGUhbV7vkjBvpGDxSXzs3W57JR0CPdBk6Rud/QKL/jbEdydc&#10;ujrp7jhhzzVD4WihIBomB0cJijOMJIdBi1bSFoiQf4OE6KSGcGMpT8WLVhi2w1jRrWFH6IS9dWLX&#10;QeaLJDiCoPNSnsYpia19fk6kj7O8/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X2bKc1wAAAAgB&#10;AAAPAAAAAAAAAAEAIAAAACIAAABkcnMvZG93bnJldi54bWxQSwECFAAUAAAACACHTuJAf+iHBxwC&#10;AAATBAAADgAAAAAAAAABACAAAAAmAQAAZHJzL2Uyb0RvYy54bWxQSwUGAAAAAAYABgBZAQAAtAUA&#10;AAAA&#10;" adj="-1163,25230">
                      <v:fill on="f" focussize="0,0"/>
                      <v:stroke color="#000000" joinstyle="round"/>
                      <v:imagedata o:title=""/>
                      <o:lock v:ext="edit" aspectratio="f"/>
                      <v:textbox>
                        <w:txbxContent>
                          <w:p>
                            <w:pPr>
                              <w:spacing w:line="240" w:lineRule="exact"/>
                              <w:rPr>
                                <w:rFonts w:hint="default" w:eastAsia="宋体"/>
                                <w:sz w:val="21"/>
                                <w:szCs w:val="21"/>
                                <w:lang w:val="en-US" w:eastAsia="zh-CN"/>
                              </w:rPr>
                            </w:pPr>
                            <w:r>
                              <w:rPr>
                                <w:rFonts w:hint="eastAsia"/>
                                <w:sz w:val="21"/>
                                <w:szCs w:val="21"/>
                                <w:lang w:val="en-US" w:eastAsia="zh-CN"/>
                              </w:rPr>
                              <w:t>132</w:t>
                            </w:r>
                          </w:p>
                        </w:txbxContent>
                      </v:textbox>
                    </v:shape>
                  </w:pict>
                </mc:Fallback>
              </mc:AlternateContent>
            </w:r>
          </w:p>
          <w:p>
            <w:pPr>
              <w:pStyle w:val="10"/>
              <w:rPr>
                <w:color w:val="auto"/>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272415</wp:posOffset>
                      </wp:positionH>
                      <wp:positionV relativeFrom="paragraph">
                        <wp:posOffset>91440</wp:posOffset>
                      </wp:positionV>
                      <wp:extent cx="709295" cy="344170"/>
                      <wp:effectExtent l="0" t="0" r="0" b="0"/>
                      <wp:wrapNone/>
                      <wp:docPr id="14" name="文本框 14"/>
                      <wp:cNvGraphicFramePr/>
                      <a:graphic xmlns:a="http://schemas.openxmlformats.org/drawingml/2006/main">
                        <a:graphicData uri="http://schemas.microsoft.com/office/word/2010/wordprocessingShape">
                          <wps:wsp>
                            <wps:cNvSpPr txBox="1"/>
                            <wps:spPr>
                              <a:xfrm>
                                <a:off x="1494790" y="7112000"/>
                                <a:ext cx="709295" cy="344170"/>
                              </a:xfrm>
                              <a:prstGeom prst="rect">
                                <a:avLst/>
                              </a:prstGeom>
                              <a:noFill/>
                              <a:ln>
                                <a:noFill/>
                              </a:ln>
                            </wps:spPr>
                            <wps:txbx>
                              <w:txbxContent>
                                <w:p>
                                  <w:pPr>
                                    <w:rPr>
                                      <w:sz w:val="21"/>
                                      <w:szCs w:val="21"/>
                                    </w:rPr>
                                  </w:pPr>
                                  <w:r>
                                    <w:rPr>
                                      <w:rFonts w:hint="eastAsia"/>
                                      <w:sz w:val="21"/>
                                      <w:szCs w:val="21"/>
                                    </w:rPr>
                                    <w:t>自来水</w:t>
                                  </w:r>
                                </w:p>
                              </w:txbxContent>
                            </wps:txbx>
                            <wps:bodyPr upright="1"/>
                          </wps:wsp>
                        </a:graphicData>
                      </a:graphic>
                    </wp:anchor>
                  </w:drawing>
                </mc:Choice>
                <mc:Fallback>
                  <w:pict>
                    <v:shape id="_x0000_s1026" o:spid="_x0000_s1026" o:spt="202" type="#_x0000_t202" style="position:absolute;left:0pt;margin-left:21.45pt;margin-top:7.2pt;height:27.1pt;width:55.85pt;z-index:251665408;mso-width-relative:page;mso-height-relative:page;" filled="f" stroked="f" coordsize="21600,21600" o:gfxdata="UEsDBAoAAAAAAIdO4kAAAAAAAAAAAAAAAAAEAAAAZHJzL1BLAwQUAAAACACHTuJAXOoSLtYAAAAI&#10;AQAADwAAAGRycy9kb3ducmV2LnhtbE2PzW7CMBCE75X6DtZW4lZskIkgzYYDqNei0h+pNxMvSdR4&#10;HcWGpG9fc2qPszOa+bbYTq4TVxpC6xlhMVcgiCtvW64R3t+eH9cgQjRsTeeZEH4owLa8vytMbv3I&#10;r3Q9xlqkEg65QWhi7HMpQ9WQM2Hue+Lknf3gTExyqKUdzJjKXSeXSmXSmZbTQmN62jVUfR8vDuHj&#10;5fz1qdWh3rtVP/pJSXYbiTh7WKgnEJGm+BeGG35ChzIxnfyFbRAdgl5uUjLdtQZx81c6A3FCyNYZ&#10;yLKQ/x8ofwFQSwMEFAAAAAgAh07iQH8NYoScAQAADQMAAA4AAABkcnMvZTJvRG9jLnhtbK1SS27b&#10;MBDdB+gdCO5rSq5S14LlAIWRboo0QNoD0BRpERA5BElb8gWSG2TVTfc5l8+RIe18muyKbobkzMOb&#10;eW+4uBhNT3bSBw22oeWkoERaAa22m4b++nn58QslIXLb8h6sbOheBnqx/HC2GFwtp9BB30pPkMSG&#10;enAN7WJ0NWNBdNLwMAEnLRYVeMMjPv2GtZ4PyG56Ni2Kz2wA3zoPQoaA2dWxSJeZXykp4g+lgoyk&#10;byjOFnP0Oa5TZMsFrzeeu06L0xj8H6YwXFts+ky14pGTrdfvqIwWHgKoOBFgGCilhcwaUE1ZvFFz&#10;03EnsxY0J7hnm8L/oxVXu2tPdIu7qyix3OCODvd3h98Phz+3BHNo0OBCjbgbh8g4foURwU/5gMmk&#10;e1TepBMVkVSv5tVsjobvGzorS9zUyWo5RiIQMCvm0/k5JQIBn6qqnOU6eyFyPsRvEgxJl4Z63GQ2&#10;mO++h4hDIfQJkvpauNR9n7fZ278SCEwZllQcp023OK7Hk7Q1tHtUtnVebzpslbVlOHqeG53+R1rq&#10;63cmffnFy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c6hIu1gAAAAgBAAAPAAAAAAAAAAEAIAAA&#10;ACIAAABkcnMvZG93bnJldi54bWxQSwECFAAUAAAACACHTuJAfw1ihJwBAAANAwAADgAAAAAAAAAB&#10;ACAAAAAlAQAAZHJzL2Uyb0RvYy54bWxQSwUGAAAAAAYABgBZAQAAMwUAAAAA&#10;">
                      <v:fill on="f" focussize="0,0"/>
                      <v:stroke on="f"/>
                      <v:imagedata o:title=""/>
                      <o:lock v:ext="edit" aspectratio="f"/>
                      <v:textbox>
                        <w:txbxContent>
                          <w:p>
                            <w:pPr>
                              <w:rPr>
                                <w:sz w:val="21"/>
                                <w:szCs w:val="21"/>
                              </w:rPr>
                            </w:pPr>
                            <w:r>
                              <w:rPr>
                                <w:rFonts w:hint="eastAsia"/>
                                <w:sz w:val="21"/>
                                <w:szCs w:val="21"/>
                              </w:rPr>
                              <w:t>自来水</w:t>
                            </w:r>
                          </w:p>
                        </w:txbxContent>
                      </v:textbox>
                    </v:shape>
                  </w:pict>
                </mc:Fallback>
              </mc:AlternateContent>
            </w: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3193415</wp:posOffset>
                      </wp:positionH>
                      <wp:positionV relativeFrom="paragraph">
                        <wp:posOffset>226060</wp:posOffset>
                      </wp:positionV>
                      <wp:extent cx="775970" cy="635"/>
                      <wp:effectExtent l="0" t="38100" r="11430" b="37465"/>
                      <wp:wrapNone/>
                      <wp:docPr id="110" name="直接连接符 110"/>
                      <wp:cNvGraphicFramePr/>
                      <a:graphic xmlns:a="http://schemas.openxmlformats.org/drawingml/2006/main">
                        <a:graphicData uri="http://schemas.microsoft.com/office/word/2010/wordprocessingShape">
                          <wps:wsp>
                            <wps:cNvCnPr/>
                            <wps:spPr>
                              <a:xfrm flipV="1">
                                <a:off x="4283075" y="6877050"/>
                                <a:ext cx="77597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51.45pt;margin-top:17.8pt;height:0.05pt;width:61.1pt;z-index:251668480;mso-width-relative:page;mso-height-relative:page;" filled="f" stroked="t" coordsize="21600,21600" o:gfxdata="UEsDBAoAAAAAAIdO4kAAAAAAAAAAAAAAAAAEAAAAZHJzL1BLAwQUAAAACACHTuJAJKOTRdoAAAAJ&#10;AQAADwAAAGRycy9kb3ducmV2LnhtbE2PwU7DMAyG70h7h8hI3FjSQjtWmu4wgcQJwTZN4pY1pi1r&#10;nJJk6+DpyU7saPvT7+8vFyfTsyM631mSkEwFMKTa6o4aCZv18+0DMB8UadVbQgk/6GFRTa5KVWg7&#10;0jseV6FhMYR8oSS0IQwF575u0Sg/tQNSvH1aZ1SIo2u4dmqM4abnqRA5N6qj+KFVAy5brPerg5Ew&#10;X4+ZfXP77X3SfX/8Pn2F4eU1SHlznYhHYAFP4R+Gs35Uhyo67eyBtGe9hEyk84hKuMtyYBHI0ywB&#10;tjsvZsCrkl82qP4AUEsDBBQAAAAIAIdO4kAEfDb77gEAAKkDAAAOAAAAZHJzL2Uyb0RvYy54bWyt&#10;U0uOEzEQ3SNxB8t70p0Mmc600pnFhGGDIBKffcWfbkv+yTbp5BJcAIkdrFjOntswHIOyE2b4iA3C&#10;i1LZ9fyq6rm8vNwbTXYiROVsR6eTmhJhmePK9h19/er60YKSmMBy0M6Kjh5EpJerhw+Wo2/FzA1O&#10;cxEIktjYjr6jQ0q+rarIBmEgTpwXFoPSBQMJt6GveIAR2Y2uZnV9Xo0ucB8cEzHi6foYpKvCL6Vg&#10;6YWUUSSiO4q1pWJDsdtsq9US2j6AHxQ7lQH/UIUBZTHpHdUaEpC3Qf1BZRQLLjqZJsyZykmpmCg9&#10;YDfT+rduXg7gRekFxYn+Tqb4/2jZ890mEMXx7aaojwWDj3T7/ubru4/fvnxAe/v5E8khFGr0sUX8&#10;ld2E0y76Tchd72UwRGrl3yBP0QE7I/uOPp4tzupmTsmho+eLpqnnJ8nFPhGGgKaZXzSYmGXA2Tyn&#10;qY58mdeHmJ4KZ0h2OqqVzXJAC7tnMR2hPyD5WFsydvRiPsOEDHCapIaErvHYX7R9uRudVvxaaZ1v&#10;xNBvr3QgO8jzUdaphF9gOcka4nDElVCGQTsI4E8sJ+ngUTeLI05zCUZwSrTAH5G9gkyg9D0yBQW2&#10;139BowLaohBZ8KPE2ds6fijKl3OchyLVaXbzwP28L7fvf9jq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Sjk0XaAAAACQEAAA8AAAAAAAAAAQAgAAAAIgAAAGRycy9kb3ducmV2LnhtbFBLAQIUABQA&#10;AAAIAIdO4kAEfDb77gEAAKkDAAAOAAAAAAAAAAEAIAAAACkBAABkcnMvZTJvRG9jLnhtbFBLBQYA&#10;AAAABgAGAFkBAACJBQAAAAA=&#10;">
                      <v:fill on="f" focussize="0,0"/>
                      <v:stroke color="#000000" joinstyle="round" endarrow="block"/>
                      <v:imagedata o:title=""/>
                      <o:lock v:ext="edit" aspectratio="f"/>
                    </v:line>
                  </w:pict>
                </mc:Fallback>
              </mc:AlternateContent>
            </w: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2501900</wp:posOffset>
                      </wp:positionH>
                      <wp:positionV relativeFrom="paragraph">
                        <wp:posOffset>91440</wp:posOffset>
                      </wp:positionV>
                      <wp:extent cx="683895" cy="314325"/>
                      <wp:effectExtent l="4445" t="4445" r="16510" b="5080"/>
                      <wp:wrapNone/>
                      <wp:docPr id="7" name="文本框 7"/>
                      <wp:cNvGraphicFramePr/>
                      <a:graphic xmlns:a="http://schemas.openxmlformats.org/drawingml/2006/main">
                        <a:graphicData uri="http://schemas.microsoft.com/office/word/2010/wordprocessingShape">
                          <wps:wsp>
                            <wps:cNvSpPr txBox="1"/>
                            <wps:spPr>
                              <a:xfrm>
                                <a:off x="3591560" y="6742430"/>
                                <a:ext cx="683895" cy="314325"/>
                              </a:xfrm>
                              <a:prstGeom prst="rect">
                                <a:avLst/>
                              </a:prstGeom>
                              <a:no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化粪池</w:t>
                                  </w:r>
                                </w:p>
                              </w:txbxContent>
                            </wps:txbx>
                            <wps:bodyPr upright="1"/>
                          </wps:wsp>
                        </a:graphicData>
                      </a:graphic>
                    </wp:anchor>
                  </w:drawing>
                </mc:Choice>
                <mc:Fallback>
                  <w:pict>
                    <v:shape id="_x0000_s1026" o:spid="_x0000_s1026" o:spt="202" type="#_x0000_t202" style="position:absolute;left:0pt;margin-left:197pt;margin-top:7.2pt;height:24.75pt;width:53.85pt;z-index:251664384;mso-width-relative:page;mso-height-relative:page;" filled="f" stroked="t" coordsize="21600,21600" o:gfxdata="UEsDBAoAAAAAAIdO4kAAAAAAAAAAAAAAAAAEAAAAZHJzL1BLAwQUAAAACACHTuJA5/wGW9YAAAAJ&#10;AQAADwAAAGRycy9kb3ducmV2LnhtbE2Py07DMBBF90j8gzVI7KidJjRNGqcLCnsIBbZOPE0i/Ihi&#10;9wFfz7CC5eg+5txqe7GGnXAOo3cSkoUAhq7zenS9hP3r090aWIjKaWW8QwlfGGBbX19VqtT+7F7w&#10;1MSeUYkLpZIwxDiVnIduQKvCwk/oSDv42apI59xzPaszlVvDl0KsuFWjow+DmvBhwO6zOVrCWH7s&#10;091zg3mu2nT3+P1WHN6NlLc3idgAi3iJf2b4xacM1MTU+qPTgRkJaZHRlkhClgEjw71IcmCthFVa&#10;AK8r/n9B/QNQSwMEFAAAAAgAh07iQPXhZGb2AQAAygMAAA4AAABkcnMvZTJvRG9jLnhtbK1TS44T&#10;MRDdI3EHy3vSSTrfVjojQRg2CJAGDlCx3d2W/JPtSXcuADdgxYY958o5puxkZphhgxC9cJddz6+q&#10;XpU3V4NW5CB8kNbUdDIaUyIMs1yatqZfPl+/WlESIhgOyhpR06MI9Gr78sWmd5WY2s4qLjxBEhOq&#10;3tW0i9FVRRFYJzSEkXXCoLOxXkPErW8L7qFHdq2K6Xi8KHrrufOWiRDwdHd20m3mbxrB4semCSIS&#10;VVPMLebV53Wf1mK7gar14DrJLmnAP2ShQRoM+kC1gwjk1ss/qLRk3gbbxBGzurBNI5nINWA1k/Gz&#10;am46cCLXguIE9yBT+H+07MPhkyeS13RJiQGNLTp9/3b68ev08ytZJnl6FypE3TjExeG1HbDN9+cB&#10;D1PVQ+N1+mM9BP3lfD2ZL1DuY00Xy9l0Vl6EFkMkDAGLVblazylhCCgns3I6T4zFI5HzIb4TVpNk&#10;1NRjH7O8cHgf4hl6D0lxjb2WSuVeKkP6mq7nSEkY4EQ1CiKa2mGNwbSZJlglebqSLgff7t8oTw6Q&#10;ZiR/l2yewFK8HYTujMuuBINKyyh8tjoB/K3hJB4d6mhw4GlKRgtOiRL4PpKVkRGk+hskSqIMKpOa&#10;cBY7WXHYD0iTzL3lR2zMrfOy7VCp3JoMx4HJkl6GO03k7/tM+vgEt3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AZb1gAAAAkBAAAPAAAAAAAAAAEAIAAAACIAAABkcnMvZG93bnJldi54bWxQSwEC&#10;FAAUAAAACACHTuJA9eFkZvYBAADKAwAADgAAAAAAAAABACAAAAAlAQAAZHJzL2Uyb0RvYy54bWxQ&#10;SwUGAAAAAAYABgBZAQAAjQUAAAAA&#10;">
                      <v:fill on="f" focussize="0,0"/>
                      <v:stroke color="#000000" joinstyle="miter"/>
                      <v:imagedata o:title=""/>
                      <o:lock v:ext="edit" aspectratio="f"/>
                      <v:textbox>
                        <w:txbxContent>
                          <w:p>
                            <w:pPr>
                              <w:rPr>
                                <w:sz w:val="21"/>
                                <w:szCs w:val="21"/>
                              </w:rPr>
                            </w:pPr>
                            <w:r>
                              <w:rPr>
                                <w:rFonts w:hint="eastAsia"/>
                                <w:sz w:val="21"/>
                                <w:szCs w:val="21"/>
                              </w:rPr>
                              <w:t>化粪池</w:t>
                            </w:r>
                          </w:p>
                        </w:txbxContent>
                      </v:textbox>
                    </v:shape>
                  </w:pict>
                </mc:Fallback>
              </mc:AlternateContent>
            </w:r>
            <w:r>
              <w:rPr>
                <w:color w:val="auto"/>
                <w:sz w:val="24"/>
              </w:rPr>
              <mc:AlternateContent>
                <mc:Choice Requires="wps">
                  <w:drawing>
                    <wp:anchor distT="0" distB="0" distL="114300" distR="114300" simplePos="0" relativeHeight="251663360" behindDoc="0" locked="0" layoutInCell="1" allowOverlap="1">
                      <wp:simplePos x="0" y="0"/>
                      <wp:positionH relativeFrom="column">
                        <wp:posOffset>2103120</wp:posOffset>
                      </wp:positionH>
                      <wp:positionV relativeFrom="paragraph">
                        <wp:posOffset>228600</wp:posOffset>
                      </wp:positionV>
                      <wp:extent cx="406400" cy="0"/>
                      <wp:effectExtent l="0" t="38100" r="0" b="38100"/>
                      <wp:wrapNone/>
                      <wp:docPr id="6" name="直接连接符 6"/>
                      <wp:cNvGraphicFramePr/>
                      <a:graphic xmlns:a="http://schemas.openxmlformats.org/drawingml/2006/main">
                        <a:graphicData uri="http://schemas.microsoft.com/office/word/2010/wordprocessingShape">
                          <wps:wsp>
                            <wps:cNvCnPr/>
                            <wps:spPr>
                              <a:xfrm>
                                <a:off x="3192780" y="6879590"/>
                                <a:ext cx="406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65.6pt;margin-top:18pt;height:0pt;width:32pt;z-index:251663360;mso-width-relative:page;mso-height-relative:page;" filled="f" stroked="t" coordsize="21600,21600" o:gfxdata="UEsDBAoAAAAAAIdO4kAAAAAAAAAAAAAAAAAEAAAAZHJzL1BLAwQUAAAACACHTuJAtAHRqtgAAAAJ&#10;AQAADwAAAGRycy9kb3ducmV2LnhtbE2PQU/DMAyF70j8h8hI3FjaVUylNN0BaVw2QNsQglvWmLai&#10;caok3cq/x2gHuNnPT8/fK5eT7cURfegcKUhnCQik2pmOGgWv+9VNDiJETUb3jlDBNwZYVpcXpS6M&#10;O9EWj7vYCA6hUGgFbYxDIWWoW7Q6zNyAxLdP562OvPpGGq9PHG57OU+ShbS6I/7Q6gEfWqy/dqNV&#10;sN2s1vnbepxq//GYPu9fNk/vIVfq+ipN7kFEnOKfGX7xGR0qZjq4kUwQvYIsS+ds5WHBndiQ3d2y&#10;cDgLsirl/wbVD1BLAwQUAAAACACHTuJADevqjOUBAACZAwAADgAAAGRycy9lMm9Eb2MueG1srVNL&#10;jhMxEN0jcQfLe9KdMMkkrXRmMWHYIIgEc4CKP92W/JNt0skluAASO1ixZM9tGI5B2clM+IgNohfu&#10;suv5ud5zeXm1N5rsRIjK2ZaORzUlwjLHle1aevvm5smckpjActDOipYeRKRXq8ePloNvxMT1TnMR&#10;CJLY2Ay+pX1KvqmqyHphII6cFxaT0gUDCaehq3iAAdmNriZ1PasGF7gPjokYcXV9TNJV4ZdSsPRK&#10;yigS0S3F2lIZQxm3eaxWS2i6AL5X7FQG/EMVBpTFQx+o1pCAvA3qDyqjWHDRyTRizlROSsVE0YBq&#10;xvVval734EXRguZE/2BT/H+07OVuE4jiLZ1RYsHgFd29//Lt3cfvXz/gePf5E5llkwYfG8Re2004&#10;zaLfhKx4L4PJf9RC9i19Ol5MLudo9QEp55eL6eJkstgnwhBwUc8uaswzBJRUdebwIabnwhmSg5Zq&#10;ZbN8aGD3IiY8F6H3kLysLRlauphOpkgH2D1SQ8LQeNQTbVf2RqcVv1Fa5x0xdNtrHcgOcj+UL6tD&#10;3l9g+ZA1xP6IK6ljp/QC+DPLSTp4dMpiS9NcghGcEi3wBeQICaFJoPQZmYIC2+m/oPF4bbGKbPLR&#10;1hxtHT8Ut8s63n+p89SrucF+npfd5xe1+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0AdGq2AAA&#10;AAkBAAAPAAAAAAAAAAEAIAAAACIAAABkcnMvZG93bnJldi54bWxQSwECFAAUAAAACACHTuJADevq&#10;jOUBAACZAwAADgAAAAAAAAABACAAAAAnAQAAZHJzL2Uyb0RvYy54bWxQSwUGAAAAAAYABgBZAQAA&#10;fgUAAAAA&#10;">
                      <v:fill on="f" focussize="0,0"/>
                      <v:stroke color="#000000" joinstyle="round" endarrow="block"/>
                      <v:imagedata o:title=""/>
                      <o:lock v:ext="edit" aspectratio="f"/>
                    </v:line>
                  </w:pict>
                </mc:Fallback>
              </mc:AlternateContent>
            </w: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1349375</wp:posOffset>
                      </wp:positionH>
                      <wp:positionV relativeFrom="paragraph">
                        <wp:posOffset>95885</wp:posOffset>
                      </wp:positionV>
                      <wp:extent cx="755650" cy="297815"/>
                      <wp:effectExtent l="4445" t="4445" r="20955" b="21590"/>
                      <wp:wrapNone/>
                      <wp:docPr id="4" name="文本框 4"/>
                      <wp:cNvGraphicFramePr/>
                      <a:graphic xmlns:a="http://schemas.openxmlformats.org/drawingml/2006/main">
                        <a:graphicData uri="http://schemas.microsoft.com/office/word/2010/wordprocessingShape">
                          <wps:wsp>
                            <wps:cNvSpPr txBox="1"/>
                            <wps:spPr>
                              <a:xfrm>
                                <a:off x="2439035" y="6746875"/>
                                <a:ext cx="755650" cy="297815"/>
                              </a:xfrm>
                              <a:prstGeom prst="rect">
                                <a:avLst/>
                              </a:prstGeom>
                              <a:noFill/>
                              <a:ln w="9525" cap="flat" cmpd="sng">
                                <a:solidFill>
                                  <a:srgbClr val="000000"/>
                                </a:solidFill>
                                <a:prstDash val="solid"/>
                                <a:miter/>
                                <a:headEnd type="none" w="med" len="med"/>
                                <a:tailEnd type="none" w="med" len="med"/>
                              </a:ln>
                            </wps:spPr>
                            <wps:txbx>
                              <w:txbxContent>
                                <w:p>
                                  <w:r>
                                    <w:rPr>
                                      <w:rFonts w:hint="eastAsia"/>
                                      <w:sz w:val="21"/>
                                      <w:szCs w:val="21"/>
                                    </w:rPr>
                                    <w:t>生活用水</w:t>
                                  </w:r>
                                </w:p>
                              </w:txbxContent>
                            </wps:txbx>
                            <wps:bodyPr upright="1"/>
                          </wps:wsp>
                        </a:graphicData>
                      </a:graphic>
                    </wp:anchor>
                  </w:drawing>
                </mc:Choice>
                <mc:Fallback>
                  <w:pict>
                    <v:shape id="_x0000_s1026" o:spid="_x0000_s1026" o:spt="202" type="#_x0000_t202" style="position:absolute;left:0pt;margin-left:106.25pt;margin-top:7.55pt;height:23.45pt;width:59.5pt;z-index:251661312;mso-width-relative:page;mso-height-relative:page;" filled="f" stroked="t" coordsize="21600,21600" o:gfxdata="UEsDBAoAAAAAAIdO4kAAAAAAAAAAAAAAAAAEAAAAZHJzL1BLAwQUAAAACACHTuJAAClp4NUAAAAJ&#10;AQAADwAAAGRycy9kb3ducmV2LnhtbE2PS0/DMBCE70j8B2uRuFE/orYQ4vRA4Q6hwNWJt0mEH1Hs&#10;PuDXs5zguDuzs99Um7N37IhzGmPQIBcCGIYu2jH0GnavTze3wFI2wRoXA2r4wgSb+vKiMqWNp/CC&#10;xyb3jEJCKo2GIeep5Dx1A3qTFnHCQNo+zt5kGuee29mcKNw7roRYcW/GQB8GM+HDgN1nc/CEoT52&#10;xfa5wfXatMX28fvtbv/utL6+kuIeWMZz/jPDLz7dQE1MbTwEm5jToKRakpWEpQRGhqKQtGg1rJQA&#10;Xlf8f4P6B1BLAwQUAAAACACHTuJApd4hxvkBAADKAwAADgAAAGRycy9lMm9Eb2MueG1srVNLjtQw&#10;EN0jcQfLezrpTKc/UadHgmbYIEAaOIDbn8SSf7I9nfQF4Aas2LDnXH2OKTvzYYYNQmThlF3Pr+pV&#10;lbeXo1boyH2Q1rR4Pisx4oZaJk3X4i+fr16tMQqRGEaUNbzFJx7w5e7li+3gGl7Z3irGPQISE5rB&#10;tbiP0TVFEWjPNQkz67gBp7Bekwhb3xXMkwHYtSqqslwWg/XMeUt5CHC6n5x4l/mF4DR+FCLwiFSL&#10;IbeYV5/XQ1qL3ZY0nSeul/QuDfIPWWgiDQR9oNqTSNCNl39QaUm9DVbEGbW6sEJIyrMGUDMvn6m5&#10;7onjWQsUJ7iHMoX/R0s/HD95JFmLFxgZoqFF5+/fzj9+nX9+RYtUnsGFBlDXDnBxfG1HaPP9eYDD&#10;pHoUXqc/6EHgrxYXm/KixujU4uVqsVyv6qnQfIyIAmBV18sa2kEBUG1W63n2F49Ezof4jluNktFi&#10;D33M5SXH9yFCUgC9h6S4xl5JpXIvlUFDizd1BeEpgYkSikQwtQONwXSZJlglWbqSLgffHd4oj44k&#10;zUj+UrYQ4gksxduT0E+47JpEaRm5z7F7Tthbw1A8OaijgYHHKRnNGUaKw/tIVkZGItXfICEJZSCX&#10;1ISp2MmK42EEmmQeLDtBY26cl10PlcqtyXAYmCzibrjTRP6+z6SPT3B3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ApaeDVAAAACQEAAA8AAAAAAAAAAQAgAAAAIgAAAGRycy9kb3ducmV2LnhtbFBL&#10;AQIUABQAAAAIAIdO4kCl3iHG+QEAAMoDAAAOAAAAAAAAAAEAIAAAACQBAABkcnMvZTJvRG9jLnht&#10;bFBLBQYAAAAABgAGAFkBAACPBQAAAAA=&#10;">
                      <v:fill on="f" focussize="0,0"/>
                      <v:stroke color="#000000" joinstyle="miter"/>
                      <v:imagedata o:title=""/>
                      <o:lock v:ext="edit" aspectratio="f"/>
                      <v:textbox>
                        <w:txbxContent>
                          <w:p>
                            <w:r>
                              <w:rPr>
                                <w:rFonts w:hint="eastAsia"/>
                                <w:sz w:val="21"/>
                                <w:szCs w:val="21"/>
                              </w:rPr>
                              <w:t>生活用水</w:t>
                            </w:r>
                          </w:p>
                        </w:txbxContent>
                      </v:textbox>
                    </v:shap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936625</wp:posOffset>
                      </wp:positionH>
                      <wp:positionV relativeFrom="paragraph">
                        <wp:posOffset>248285</wp:posOffset>
                      </wp:positionV>
                      <wp:extent cx="406400" cy="0"/>
                      <wp:effectExtent l="0" t="38100" r="0" b="38100"/>
                      <wp:wrapNone/>
                      <wp:docPr id="3" name="直接连接符 3"/>
                      <wp:cNvGraphicFramePr/>
                      <a:graphic xmlns:a="http://schemas.openxmlformats.org/drawingml/2006/main">
                        <a:graphicData uri="http://schemas.microsoft.com/office/word/2010/wordprocessingShape">
                          <wps:wsp>
                            <wps:cNvCnPr/>
                            <wps:spPr>
                              <a:xfrm>
                                <a:off x="2026285" y="6899275"/>
                                <a:ext cx="406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73.75pt;margin-top:19.55pt;height:0pt;width:32pt;z-index:251660288;mso-width-relative:page;mso-height-relative:page;" filled="f" stroked="t" coordsize="21600,21600" o:gfxdata="UEsDBAoAAAAAAIdO4kAAAAAAAAAAAAAAAAAEAAAAZHJzL1BLAwQUAAAACACHTuJA1/NH5dgAAAAJ&#10;AQAADwAAAGRycy9kb3ducmV2LnhtbE2PS0/DMBCE70j8B2uRuFHH5dEQ4vSAVC4tRX0Iwc2NlyQi&#10;Xkex04Z/zyIOcJzZT7Mz+Xx0rThiHxpPGtQkAYFUettQpWG/W1ylIEI0ZE3rCTV8YYB5cX6Wm8z6&#10;E23wuI2V4BAKmdFQx9hlUoayRmfCxHdIfPvwvTORZV9J25sTh7tWTpPkTjrTEH+oTYePNZaf28Fp&#10;2KwWy/R1OYxl//6k1ruX1fNbSLW+vFDJA4iIY/yD4ac+V4eCOx38QDaIlvXN7JZRDdf3CgQDU6XY&#10;OPwassjl/wXFN1BLAwQUAAAACACHTuJAq533IecBAACZAwAADgAAAGRycy9lMm9Eb2MueG1srVNL&#10;jhMxEN0jcQfLe9I9PZOQtNKZxYRhgyAScICKP92W/JNt0skluAASO1ixZM9tGI5B2QkTPmKD6IW7&#10;bD+/qvdcXl7vjSY7EaJytqMXk5oSYZnjyvYdff3q9tGckpjActDOio4eRKTXq4cPlqNvReMGp7kI&#10;BElsbEff0SEl31ZVZIMwECfOC4ub0gUDCaehr3iAEdmNrpq6nlWjC9wHx0SMuLo+btJV4ZdSsPRC&#10;yigS0R3F2lIZQxm3eaxWS2j7AH5Q7FQG/EMVBpTFpPdUa0hA3gT1B5VRLLjoZJowZyonpWKiaEA1&#10;F/Vval4O4EXRguZEf29T/H+07PluE4jiHb2kxILBK7p79/nr2w/fvrzH8e7TR3KZTRp9bBF7Yzfh&#10;NIt+E7LivQwm/1EL2Xe0qZtZM59ScujobL5YNI+nR5PFPhGGgKt6dlXjVTAEFP+rM4cPMT0VzpAc&#10;dFQrm+VDC7tnMWFehP6A5GVtydjRxbTBdAywe6SGhKHxqCfavpyNTit+q7TOJ2Lotzc6kB3kfihf&#10;rg55f4HlJGuIwxFXto4iBgH8ieUkHTw6ZbGlaS7BCE6JFvgCcoSE0CZQ+oxMQYHt9V/QmF5brCKb&#10;fLQ1R1vHD8Xtso73X+o89WpusJ/n5fT5Ra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fzR+XY&#10;AAAACQEAAA8AAAAAAAAAAQAgAAAAIgAAAGRycy9kb3ducmV2LnhtbFBLAQIUABQAAAAIAIdO4kCr&#10;nfch5wEAAJkDAAAOAAAAAAAAAAEAIAAAACcBAABkcnMvZTJvRG9jLnhtbFBLBQYAAAAABgAGAFkB&#10;AACABQAAAAA=&#10;">
                      <v:fill on="f" focussize="0,0"/>
                      <v:stroke color="#000000" joinstyle="round" endarrow="block"/>
                      <v:imagedata o:title=""/>
                      <o:lock v:ext="edit" aspectratio="f"/>
                    </v:line>
                  </w:pict>
                </mc:Fallback>
              </mc:AlternateContent>
            </w:r>
          </w:p>
          <w:p>
            <w:pPr>
              <w:pStyle w:val="10"/>
              <w:rPr>
                <w:color w:val="auto"/>
              </w:rPr>
            </w:pPr>
          </w:p>
          <w:p>
            <w:pPr>
              <w:pStyle w:val="10"/>
              <w:rPr>
                <w:rFonts w:eastAsia="宋体"/>
                <w:b/>
                <w:bCs/>
                <w:color w:val="auto"/>
                <w:kern w:val="0"/>
                <w:szCs w:val="24"/>
                <w:lang w:bidi="ar"/>
              </w:rPr>
            </w:pPr>
            <w:r>
              <w:rPr>
                <w:color w:val="auto"/>
              </w:rPr>
              <w:t>图</w:t>
            </w:r>
            <w:r>
              <w:rPr>
                <w:rFonts w:hint="eastAsia"/>
                <w:color w:val="auto"/>
                <w:lang w:val="en-US" w:eastAsia="zh-CN"/>
              </w:rPr>
              <w:t>2-</w:t>
            </w:r>
            <w:r>
              <w:rPr>
                <w:color w:val="auto"/>
              </w:rPr>
              <w:fldChar w:fldCharType="begin"/>
            </w:r>
            <w:r>
              <w:rPr>
                <w:color w:val="auto"/>
              </w:rPr>
              <w:instrText xml:space="preserve"> SEQ 图 \* ARABIC </w:instrText>
            </w:r>
            <w:r>
              <w:rPr>
                <w:color w:val="auto"/>
              </w:rPr>
              <w:fldChar w:fldCharType="separate"/>
            </w:r>
            <w:r>
              <w:rPr>
                <w:color w:val="auto"/>
              </w:rPr>
              <w:t>1</w:t>
            </w:r>
            <w:r>
              <w:rPr>
                <w:color w:val="auto"/>
              </w:rPr>
              <w:fldChar w:fldCharType="end"/>
            </w:r>
            <w:r>
              <w:rPr>
                <w:color w:val="auto"/>
              </w:rPr>
              <w:t xml:space="preserve"> </w:t>
            </w:r>
            <w:r>
              <w:rPr>
                <w:rFonts w:hint="eastAsia"/>
                <w:color w:val="auto"/>
                <w:lang w:val="en-US" w:eastAsia="zh-CN"/>
              </w:rPr>
              <w:t xml:space="preserve"> </w:t>
            </w:r>
            <w:r>
              <w:rPr>
                <w:color w:val="auto"/>
              </w:rPr>
              <w:t>项目水平衡图（单位：t/a）</w:t>
            </w:r>
          </w:p>
          <w:p>
            <w:pPr>
              <w:widowControl/>
              <w:spacing w:line="520" w:lineRule="exact"/>
              <w:jc w:val="left"/>
              <w:rPr>
                <w:color w:val="auto"/>
              </w:rPr>
            </w:pPr>
            <w:r>
              <w:rPr>
                <w:b/>
                <w:bCs/>
                <w:color w:val="auto"/>
                <w:kern w:val="0"/>
                <w:lang w:bidi="ar"/>
              </w:rPr>
              <w:t>6</w:t>
            </w:r>
            <w:r>
              <w:rPr>
                <w:rFonts w:hint="eastAsia" w:ascii="宋体" w:hAnsi="宋体" w:cs="宋体"/>
                <w:b/>
                <w:bCs/>
                <w:color w:val="auto"/>
                <w:kern w:val="0"/>
                <w:lang w:bidi="ar"/>
              </w:rPr>
              <w:t>、劳动定员和工作制度</w:t>
            </w:r>
          </w:p>
          <w:p>
            <w:pPr>
              <w:widowControl/>
              <w:spacing w:line="520" w:lineRule="exact"/>
              <w:ind w:firstLine="480" w:firstLineChars="200"/>
              <w:jc w:val="left"/>
              <w:rPr>
                <w:rFonts w:hint="eastAsia"/>
                <w:color w:val="auto"/>
                <w:lang w:bidi="zh-CN"/>
              </w:rPr>
            </w:pPr>
            <w:r>
              <w:rPr>
                <w:rFonts w:hint="eastAsia"/>
                <w:color w:val="auto"/>
                <w:lang w:bidi="zh-CN"/>
              </w:rPr>
              <w:t>本项目劳动定员30人，均不在厂内住宿，采用单班</w:t>
            </w:r>
            <w:r>
              <w:rPr>
                <w:color w:val="auto"/>
                <w:lang w:bidi="zh-CN"/>
              </w:rPr>
              <w:t>8h</w:t>
            </w:r>
            <w:r>
              <w:rPr>
                <w:rFonts w:hint="eastAsia"/>
                <w:color w:val="auto"/>
                <w:lang w:bidi="zh-CN"/>
              </w:rPr>
              <w:t>工作制，年工作</w:t>
            </w:r>
            <w:r>
              <w:rPr>
                <w:color w:val="auto"/>
                <w:lang w:bidi="zh-CN"/>
              </w:rPr>
              <w:t>300d</w:t>
            </w:r>
            <w:r>
              <w:rPr>
                <w:rFonts w:hint="eastAsia"/>
                <w:color w:val="auto"/>
                <w:lang w:bidi="zh-CN"/>
              </w:rPr>
              <w:t>。</w:t>
            </w:r>
          </w:p>
          <w:p>
            <w:pPr>
              <w:widowControl/>
              <w:spacing w:line="520" w:lineRule="exact"/>
              <w:jc w:val="left"/>
              <w:rPr>
                <w:rFonts w:hint="default" w:ascii="Times New Roman" w:hAnsi="Times New Roman" w:eastAsia="宋体" w:cs="Times New Roman"/>
                <w:b/>
                <w:bCs/>
                <w:color w:val="auto"/>
                <w:lang w:val="en-US" w:eastAsia="zh-CN" w:bidi="zh-CN"/>
              </w:rPr>
            </w:pPr>
            <w:r>
              <w:rPr>
                <w:rFonts w:hint="eastAsia" w:ascii="Times New Roman" w:hAnsi="Times New Roman" w:eastAsia="宋体" w:cs="Times New Roman"/>
                <w:b/>
                <w:bCs/>
                <w:color w:val="auto"/>
                <w:lang w:val="en-US" w:eastAsia="zh-CN" w:bidi="zh-CN"/>
              </w:rPr>
              <w:t>7</w:t>
            </w:r>
            <w:r>
              <w:rPr>
                <w:rFonts w:hint="default" w:ascii="Times New Roman" w:hAnsi="Times New Roman" w:eastAsia="宋体" w:cs="Times New Roman"/>
                <w:b/>
                <w:bCs/>
                <w:color w:val="auto"/>
                <w:lang w:val="en-US" w:eastAsia="zh-CN" w:bidi="zh-CN"/>
              </w:rPr>
              <w:t>、总平面布局</w:t>
            </w:r>
          </w:p>
          <w:p>
            <w:pPr>
              <w:widowControl/>
              <w:spacing w:line="520" w:lineRule="exact"/>
              <w:ind w:firstLine="480" w:firstLineChars="200"/>
              <w:jc w:val="left"/>
            </w:pPr>
            <w:r>
              <w:rPr>
                <w:rFonts w:hint="eastAsia" w:ascii="Times New Roman" w:hAnsi="Times New Roman" w:eastAsia="宋体" w:cs="Times New Roman"/>
                <w:color w:val="auto"/>
                <w:lang w:bidi="zh-CN"/>
              </w:rPr>
              <w:t>本项目租赁</w:t>
            </w:r>
            <w:r>
              <w:rPr>
                <w:rFonts w:hint="eastAsia" w:ascii="Times New Roman" w:hAnsi="Times New Roman" w:eastAsia="宋体" w:cs="Times New Roman"/>
                <w:color w:val="auto"/>
                <w:lang w:val="en-US" w:eastAsia="zh-CN" w:bidi="zh-CN"/>
              </w:rPr>
              <w:t>1</w:t>
            </w:r>
            <w:r>
              <w:rPr>
                <w:rFonts w:hint="eastAsia" w:ascii="Times New Roman" w:hAnsi="Times New Roman" w:eastAsia="宋体" w:cs="Times New Roman"/>
                <w:color w:val="auto"/>
                <w:lang w:bidi="zh-CN"/>
              </w:rPr>
              <w:t>栋标准化厂房，生产车间内部</w:t>
            </w:r>
            <w:r>
              <w:rPr>
                <w:rFonts w:hint="eastAsia" w:ascii="Times New Roman" w:hAnsi="Times New Roman" w:eastAsia="宋体" w:cs="Times New Roman"/>
                <w:color w:val="auto"/>
                <w:lang w:val="en-US" w:bidi="zh-CN"/>
              </w:rPr>
              <w:t>中部为木床、板材、沙发加工区，东西两</w:t>
            </w:r>
            <w:r>
              <w:rPr>
                <w:rFonts w:hint="eastAsia" w:ascii="Times New Roman" w:hAnsi="Times New Roman" w:eastAsia="宋体" w:cs="Times New Roman"/>
                <w:color w:val="auto"/>
                <w:lang w:bidi="zh-CN"/>
              </w:rPr>
              <w:t>侧</w:t>
            </w:r>
            <w:r>
              <w:rPr>
                <w:rFonts w:hint="eastAsia" w:ascii="Times New Roman" w:hAnsi="Times New Roman" w:eastAsia="宋体" w:cs="Times New Roman"/>
                <w:color w:val="auto"/>
                <w:lang w:val="en-US" w:eastAsia="zh-CN" w:bidi="zh-CN"/>
              </w:rPr>
              <w:t>分别布设材料库及中转区</w:t>
            </w:r>
            <w:r>
              <w:rPr>
                <w:rFonts w:hint="eastAsia" w:ascii="Times New Roman" w:hAnsi="Times New Roman" w:eastAsia="宋体" w:cs="Times New Roman"/>
                <w:color w:val="auto"/>
                <w:lang w:eastAsia="zh-CN" w:bidi="zh-CN"/>
              </w:rPr>
              <w:t>；</w:t>
            </w:r>
            <w:r>
              <w:rPr>
                <w:rFonts w:hint="eastAsia" w:ascii="Times New Roman" w:hAnsi="Times New Roman" w:eastAsia="宋体" w:cs="Times New Roman"/>
                <w:color w:val="auto"/>
                <w:lang w:val="en-US" w:eastAsia="zh-CN" w:bidi="zh-CN"/>
              </w:rPr>
              <w:t>办公区位于车间西北角，</w:t>
            </w:r>
            <w:r>
              <w:rPr>
                <w:rFonts w:hint="eastAsia" w:ascii="Times New Roman" w:hAnsi="Times New Roman" w:eastAsia="宋体" w:cs="Times New Roman"/>
                <w:color w:val="auto"/>
                <w:lang w:bidi="zh-CN"/>
              </w:rPr>
              <w:t>本项目生产区按照生产工艺布局，集中生产，减少了物料运输距离。经预测分析项目噪声能满足厂界达标的要求；废气浓度能满足厂界达标的要求。评价认为项目厂区平面布置是合理的</w:t>
            </w:r>
            <w:r>
              <w:rPr>
                <w:rFonts w:hint="eastAsia" w:ascii="Times New Roman" w:hAnsi="Times New Roman" w:eastAsia="宋体" w:cs="Times New Roman"/>
                <w:color w:val="auto"/>
                <w:lang w:eastAsia="zh-CN" w:bidi="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741" w:hRule="atLeast"/>
          <w:jc w:val="center"/>
        </w:trPr>
        <w:tc>
          <w:tcPr>
            <w:tcW w:w="718" w:type="dxa"/>
            <w:tcBorders>
              <w:tl2br w:val="nil"/>
              <w:tr2bl w:val="nil"/>
            </w:tcBorders>
            <w:vAlign w:val="center"/>
          </w:tcPr>
          <w:p>
            <w:pPr>
              <w:jc w:val="center"/>
              <w:rPr>
                <w:rFonts w:ascii="宋体" w:hAnsi="宋体" w:cs="宋体"/>
                <w:b/>
                <w:bCs/>
                <w:color w:val="auto"/>
                <w:kern w:val="21"/>
                <w:szCs w:val="21"/>
              </w:rPr>
            </w:pPr>
            <w:r>
              <w:rPr>
                <w:rFonts w:hint="eastAsia" w:ascii="宋体" w:hAnsi="宋体" w:cs="宋体"/>
                <w:b/>
                <w:bCs/>
                <w:color w:val="auto"/>
                <w:kern w:val="21"/>
                <w:szCs w:val="21"/>
              </w:rPr>
              <w:t>工艺流程和产排污环节</w:t>
            </w:r>
          </w:p>
        </w:tc>
        <w:tc>
          <w:tcPr>
            <w:tcW w:w="9407" w:type="dxa"/>
            <w:tcBorders>
              <w:tl2br w:val="nil"/>
              <w:tr2bl w:val="nil"/>
            </w:tcBorders>
          </w:tcPr>
          <w:p>
            <w:pPr>
              <w:widowControl/>
              <w:spacing w:line="520" w:lineRule="exact"/>
              <w:jc w:val="left"/>
              <w:rPr>
                <w:b/>
                <w:bCs/>
                <w:color w:val="auto"/>
                <w:lang w:bidi="zh-CN"/>
              </w:rPr>
            </w:pPr>
            <w:r>
              <w:rPr>
                <w:rFonts w:hint="eastAsia"/>
                <w:b/>
                <w:bCs/>
                <w:color w:val="auto"/>
                <w:lang w:bidi="zh-CN"/>
              </w:rPr>
              <w:t>一、施工期</w:t>
            </w:r>
          </w:p>
          <w:p>
            <w:pPr>
              <w:widowControl/>
              <w:spacing w:line="520" w:lineRule="exact"/>
              <w:ind w:firstLine="480" w:firstLineChars="200"/>
              <w:jc w:val="left"/>
              <w:rPr>
                <w:color w:val="auto"/>
                <w:lang w:bidi="zh-CN"/>
              </w:rPr>
            </w:pPr>
            <w:r>
              <w:rPr>
                <w:rFonts w:hint="eastAsia"/>
                <w:color w:val="auto"/>
                <w:lang w:bidi="zh-CN"/>
              </w:rPr>
              <w:t>项目工程施工期主要为生产设备的安装与调试，不再分析施工期环境影响。</w:t>
            </w:r>
          </w:p>
          <w:p>
            <w:pPr>
              <w:widowControl/>
              <w:spacing w:line="520" w:lineRule="exact"/>
              <w:jc w:val="left"/>
              <w:rPr>
                <w:color w:val="auto"/>
                <w:lang w:bidi="zh-CN"/>
              </w:rPr>
            </w:pPr>
            <w:r>
              <w:rPr>
                <w:rFonts w:hint="eastAsia"/>
                <w:b/>
                <w:bCs/>
                <w:color w:val="auto"/>
                <w:lang w:bidi="zh-CN"/>
              </w:rPr>
              <w:t>二、营运期</w:t>
            </w:r>
          </w:p>
          <w:p>
            <w:pPr>
              <w:widowControl/>
              <w:spacing w:line="520" w:lineRule="exact"/>
              <w:ind w:firstLine="480" w:firstLineChars="200"/>
              <w:jc w:val="left"/>
              <w:rPr>
                <w:rFonts w:hint="eastAsia"/>
                <w:color w:val="auto"/>
                <w:lang w:bidi="zh-CN"/>
              </w:rPr>
            </w:pPr>
            <w:r>
              <w:rPr>
                <w:rFonts w:hint="eastAsia"/>
                <w:color w:val="auto"/>
                <w:lang w:bidi="zh-CN"/>
              </w:rPr>
              <w:t>本项目生产工艺如下：</w:t>
            </w:r>
          </w:p>
          <w:p>
            <w:pPr>
              <w:widowControl/>
              <w:spacing w:line="520" w:lineRule="exact"/>
              <w:ind w:firstLine="480" w:firstLineChars="200"/>
              <w:jc w:val="left"/>
              <w:rPr>
                <w:color w:val="auto"/>
                <w:lang w:bidi="zh-CN"/>
              </w:rPr>
            </w:pPr>
            <w:r>
              <w:rPr>
                <w:rFonts w:hint="eastAsia"/>
                <w:color w:val="auto"/>
                <w:lang w:bidi="zh-CN"/>
              </w:rPr>
              <w:t>（</w:t>
            </w:r>
            <w:r>
              <w:rPr>
                <w:color w:val="auto"/>
                <w:lang w:bidi="zh-CN"/>
              </w:rPr>
              <w:t>1</w:t>
            </w:r>
            <w:r>
              <w:rPr>
                <w:rFonts w:hint="eastAsia"/>
                <w:color w:val="auto"/>
                <w:lang w:bidi="zh-CN"/>
              </w:rPr>
              <w:t>）家具生产工艺</w:t>
            </w:r>
          </w:p>
          <w:p>
            <w:pPr>
              <w:widowControl/>
              <w:spacing w:line="520" w:lineRule="exact"/>
              <w:ind w:firstLine="420" w:firstLineChars="200"/>
              <w:jc w:val="left"/>
              <w:rPr>
                <w:color w:val="auto"/>
                <w:lang w:bidi="zh-CN"/>
              </w:rPr>
            </w:pPr>
            <w:r>
              <w:rPr>
                <w:color w:val="auto"/>
                <w:sz w:val="21"/>
              </w:rPr>
              <mc:AlternateContent>
                <mc:Choice Requires="wpg">
                  <w:drawing>
                    <wp:anchor distT="0" distB="0" distL="114300" distR="114300" simplePos="0" relativeHeight="251670528" behindDoc="0" locked="0" layoutInCell="1" allowOverlap="1">
                      <wp:simplePos x="0" y="0"/>
                      <wp:positionH relativeFrom="column">
                        <wp:posOffset>13335</wp:posOffset>
                      </wp:positionH>
                      <wp:positionV relativeFrom="paragraph">
                        <wp:posOffset>147320</wp:posOffset>
                      </wp:positionV>
                      <wp:extent cx="5750560" cy="1310005"/>
                      <wp:effectExtent l="0" t="0" r="15240" b="0"/>
                      <wp:wrapNone/>
                      <wp:docPr id="196" name="组合 196"/>
                      <wp:cNvGraphicFramePr/>
                      <a:graphic xmlns:a="http://schemas.openxmlformats.org/drawingml/2006/main">
                        <a:graphicData uri="http://schemas.microsoft.com/office/word/2010/wordprocessingGroup">
                          <wpg:wgp>
                            <wpg:cNvGrpSpPr/>
                            <wpg:grpSpPr>
                              <a:xfrm>
                                <a:off x="0" y="0"/>
                                <a:ext cx="5750560" cy="1310005"/>
                                <a:chOff x="2066" y="3327"/>
                                <a:chExt cx="8739" cy="2063"/>
                              </a:xfrm>
                            </wpg:grpSpPr>
                            <wps:wsp>
                              <wps:cNvPr id="1" name="文本框 1"/>
                              <wps:cNvSpPr txBox="1"/>
                              <wps:spPr>
                                <a:xfrm>
                                  <a:off x="2095" y="4152"/>
                                  <a:ext cx="946" cy="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val="en-US" w:eastAsia="zh-CN"/>
                                      </w:rPr>
                                    </w:pPr>
                                    <w:r>
                                      <w:rPr>
                                        <w:rFonts w:hint="eastAsia"/>
                                        <w:lang w:val="en-US" w:eastAsia="zh-CN"/>
                                      </w:rPr>
                                      <w:t>开料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直接箭头连接符 2"/>
                              <wps:cNvCnPr/>
                              <wps:spPr>
                                <a:xfrm flipV="1">
                                  <a:off x="3047" y="4389"/>
                                  <a:ext cx="599" cy="1"/>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97" name="文本框 4"/>
                              <wps:cNvSpPr txBox="1"/>
                              <wps:spPr>
                                <a:xfrm>
                                  <a:off x="3646" y="4153"/>
                                  <a:ext cx="946" cy="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封边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 name="直接箭头连接符 3"/>
                              <wps:cNvCnPr/>
                              <wps:spPr>
                                <a:xfrm flipV="1">
                                  <a:off x="4598" y="4390"/>
                                  <a:ext cx="599" cy="1"/>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99" name="文本框 6"/>
                              <wps:cNvSpPr txBox="1"/>
                              <wps:spPr>
                                <a:xfrm>
                                  <a:off x="5202" y="4148"/>
                                  <a:ext cx="946" cy="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打孔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 name="直接箭头连接符 5"/>
                              <wps:cNvCnPr/>
                              <wps:spPr>
                                <a:xfrm flipV="1">
                                  <a:off x="6154" y="4385"/>
                                  <a:ext cx="599" cy="1"/>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01" name="文本框 8"/>
                              <wps:cNvSpPr txBox="1"/>
                              <wps:spPr>
                                <a:xfrm>
                                  <a:off x="6763" y="4158"/>
                                  <a:ext cx="946" cy="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组装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2" name="直接箭头连接符 7"/>
                              <wps:cNvCnPr/>
                              <wps:spPr>
                                <a:xfrm flipV="1">
                                  <a:off x="7715" y="4395"/>
                                  <a:ext cx="599" cy="1"/>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 name="文本框 10"/>
                              <wps:cNvSpPr txBox="1"/>
                              <wps:spPr>
                                <a:xfrm>
                                  <a:off x="8309" y="4153"/>
                                  <a:ext cx="946" cy="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精修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 name="直接箭头连接符 9"/>
                              <wps:cNvCnPr/>
                              <wps:spPr>
                                <a:xfrm flipV="1">
                                  <a:off x="9261" y="4390"/>
                                  <a:ext cx="599" cy="1"/>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2" name="文本框 12"/>
                              <wps:cNvSpPr txBox="1"/>
                              <wps:spPr>
                                <a:xfrm>
                                  <a:off x="9859" y="4153"/>
                                  <a:ext cx="946" cy="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打包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直接箭头连接符 26"/>
                              <wps:cNvCnPr/>
                              <wps:spPr>
                                <a:xfrm flipV="1">
                                  <a:off x="2346" y="3806"/>
                                  <a:ext cx="1" cy="336"/>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27" name="文本框 27"/>
                              <wps:cNvSpPr txBox="1"/>
                              <wps:spPr>
                                <a:xfrm>
                                  <a:off x="2066" y="3327"/>
                                  <a:ext cx="1340" cy="4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粉尘 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直接箭头连接符 28"/>
                              <wps:cNvCnPr/>
                              <wps:spPr>
                                <a:xfrm flipV="1">
                                  <a:off x="2836" y="3806"/>
                                  <a:ext cx="1" cy="336"/>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30" name="直接箭头连接符 30"/>
                              <wps:cNvCnPr/>
                              <wps:spPr>
                                <a:xfrm flipV="1">
                                  <a:off x="5353" y="3813"/>
                                  <a:ext cx="1" cy="336"/>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29" name="文本框 29"/>
                              <wps:cNvSpPr txBox="1"/>
                              <wps:spPr>
                                <a:xfrm>
                                  <a:off x="5073" y="3334"/>
                                  <a:ext cx="1340" cy="4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粉尘 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4" name="直接箭头连接符 31"/>
                              <wps:cNvCnPr/>
                              <wps:spPr>
                                <a:xfrm flipV="1">
                                  <a:off x="5843" y="3813"/>
                                  <a:ext cx="1" cy="336"/>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33" name="直接箭头连接符 33"/>
                              <wps:cNvCnPr/>
                              <wps:spPr>
                                <a:xfrm flipV="1">
                                  <a:off x="3903" y="3818"/>
                                  <a:ext cx="1" cy="336"/>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32" name="文本框 32"/>
                              <wps:cNvSpPr txBox="1"/>
                              <wps:spPr>
                                <a:xfrm>
                                  <a:off x="3283" y="3339"/>
                                  <a:ext cx="1835" cy="4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有机废气 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直接箭头连接符 34"/>
                              <wps:cNvCnPr/>
                              <wps:spPr>
                                <a:xfrm flipV="1">
                                  <a:off x="4393" y="3818"/>
                                  <a:ext cx="1" cy="336"/>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36" name="直接箭头连接符 36"/>
                              <wps:cNvCnPr/>
                              <wps:spPr>
                                <a:xfrm flipV="1">
                                  <a:off x="7020" y="3830"/>
                                  <a:ext cx="1" cy="336"/>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35" name="文本框 35"/>
                              <wps:cNvSpPr txBox="1"/>
                              <wps:spPr>
                                <a:xfrm>
                                  <a:off x="6740" y="3351"/>
                                  <a:ext cx="912" cy="4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直接箭头连接符 51"/>
                              <wps:cNvCnPr/>
                              <wps:spPr>
                                <a:xfrm flipV="1">
                                  <a:off x="2575" y="4658"/>
                                  <a:ext cx="1" cy="336"/>
                                </a:xfrm>
                                <a:prstGeom prst="straightConnector1">
                                  <a:avLst/>
                                </a:prstGeom>
                                <a:ln w="9525">
                                  <a:solidFill>
                                    <a:schemeClr val="tx1"/>
                                  </a:solidFill>
                                  <a:prstDash val="dash"/>
                                  <a:headEnd type="triangle"/>
                                  <a:tailEnd type="none"/>
                                </a:ln>
                              </wps:spPr>
                              <wps:style>
                                <a:lnRef idx="2">
                                  <a:schemeClr val="accent1"/>
                                </a:lnRef>
                                <a:fillRef idx="0">
                                  <a:srgbClr val="FFFFFF"/>
                                </a:fillRef>
                                <a:effectRef idx="0">
                                  <a:srgbClr val="FFFFFF"/>
                                </a:effectRef>
                                <a:fontRef idx="minor">
                                  <a:schemeClr val="tx1"/>
                                </a:fontRef>
                              </wps:style>
                              <wps:bodyPr/>
                            </wps:wsp>
                            <wps:wsp>
                              <wps:cNvPr id="52" name="文本框 52"/>
                              <wps:cNvSpPr txBox="1"/>
                              <wps:spPr>
                                <a:xfrm>
                                  <a:off x="2230" y="4918"/>
                                  <a:ext cx="912" cy="4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05pt;margin-top:11.6pt;height:103.15pt;width:452.8pt;z-index:251670528;mso-width-relative:page;mso-height-relative:page;" coordorigin="2066,3327" coordsize="8739,2063" o:gfxdata="UEsDBAoAAAAAAIdO4kAAAAAAAAAAAAAAAAAEAAAAZHJzL1BLAwQUAAAACACHTuJAb4IkftkAAAAI&#10;AQAADwAAAGRycy9kb3ducmV2LnhtbE2PQWvCQBCF74X+h2UKvdXdRKw1ZiNF2p6kUC0Ub2N2TILZ&#10;3ZBdE/33nZ7qaZh5jzffy1cX24qB+tB4pyGZKBDkSm8aV2n43r0/vYAIEZ3B1jvScKUAq+L+LsfM&#10;+NF90bCNleAQFzLUUMfYZVKGsiaLYeI7cqwdfW8x8tpX0vQ4crhtZarUs7TYOP5QY0frmsrT9mw1&#10;fIw4vk6Tt2FzOq6v+93s82eTkNaPD4lagoh0if9m+MNndCiY6eDPzgTRakgTNvKYpiBYXqj5HMSB&#10;D+liBrLI5W2B4hdQSwMEFAAAAAgAh07iQIPx6GUrBgAAijoAAA4AAABkcnMvZTJvRG9jLnhtbO1b&#10;y27sNBjeI/EOUfZ0kjiZJKNOj0p7WiEdcSqVy9rNbSKSODhuZ8oaASvEig0ICQlYHVidHQue5rQ8&#10;Br8vyQzT9DJBPXQkdzFN7MSxf3/+/pu9+2xRFsZFQpucVFPT3rFMI6kiEudVNjU//ujovcA0Goar&#10;GBekSqbmZdKYz/befWd3Xk8Sh8xIESfUgEaqZjKvp+aMsXoyGjXRLClxs0PqpILKlNASM7il2Sim&#10;eA6tl8XIsazxaE5oXFMSJU0DpYey0twT7adpErGXadokzCimJvSNiV8qfs/472hvF08yiutZHqlu&#10;4AG9KHFewUe7pg4xw8Y5zW80VeYRJQ1J2U5EyhFJ0zxKxBhgNLa1NppjSs5rMZZsMs/qTkwg2jU5&#10;DW42+vDihBp5DHMXjk2jwiVM0vWfX7757huDl4B85nU2gceOaX1an1BVkMk7PuRFSkv+HwZjLIRk&#10;LzvJJgtmRFDo+Z7ljWECIqizkW1ZlidlH81ggvh7jjWGDkA1Qo7f1j1X7wc+CuXL8BjitaP2wyPe&#10;v6478xpw1CxF1fw3UZ3OcJ2IGWi4DFpRtYK6+v7rqx9fXf38lWHzPvGPw1NcTAZbvE9gVF15A4U9&#10;0nKs0BOjdm3PkaNuZRa6IA8uL88SOO1GjCc1bdhxQkqDX0xNCjAX6MMXLxomhdM+wr9ZkaO8KKAc&#10;T4rKmE/NMfIs8UJDijzmlbyOv3JQUOMCw2I5K3D0mRL0ylPQiaIC6fOhyiHxK7Y4W6jxn5H4EoZP&#10;iVxqTR0d5dDuC9ywE0xhbQEIgC/YS/hJCwKdIerKNGaEftFXzp+HeYRa05jDWp2azefnmCamUXxQ&#10;wQyHtuvyxS1uXM934Iau1pyt1lTn5QGBEdrATHUkLvnzrGgvU0rKT4FW9vlXoQpXEXx7arL28oBJ&#10;BgFaipL9ffEQLOcasxfVaR3xpqXY988ZSXMxI1xMUjZKeoBSiZhHh6vTwvX6h9dX3/56/cfvb355&#10;/fdfP/HrV78ZAnYKugeVWuHt7MpVZqRFXn/SjkstdGS5voQuCsJ/Q9cL1WoV8L8duA2jOM9m7IBU&#10;FWCYUCm4h8LYdnxYGkbEEZEWGOYnKusY0FFlMFVFBhopYvQm0BuanXVAByqCv5tIl+vhEDczuSDE&#10;IpDDLHMGSqvIy6kZdG/jCcN58byKDXZZA4kymuMqKxLVcs+qkXDgy5VL/+3hwQ5h3iTTLwnM5f1U&#10;KNiEwNCY0xSwFBCYIGY80QS2TmyawB5o8dyib0OwIpVp0kthAngDKMz1eMscvChUtmALXk1hT5vC&#10;QMGsU5iyVje2wTzHAhUpKMwNJMO3KNA2mLTSpM2mbbAHOG39FAa+agvYfitMuEMDKGxse25rhSmX&#10;qgWvprCnTGHg77eIWFphgn4GWGFjH7xiZYVpCtNu5GNEPYSWvMsKE1GbARTm+7aKgSAIhogwhaaw&#10;rXAkO522ZDBb2NEDKCxAFth02pGEmJiOhAF+HofCQEveRWEijjWAwkJnDNpcO5IqkrZFsbAuOLpC&#10;YasR0U1iYWHgaQprHUYdzH8cCltm6XpDYc5qFGSTcL6DVCAXBZZoYxnIBWrjeSiERPmjhfNDzwE7&#10;8O1E82OI60tTc8uD+ZArvREIk/nTATZYTw62tcRtxFNsHAauL/jxdhgMT0d2iUqdZgT63LY04z1B&#10;emc1uLERMwVAPNy40szE08rbkmZEnXfYH/GE+mXKcRM8eAgyjRIP9lrKUWuqp5t2dnpSNlC2xMAm&#10;prZn+QoDCInU9Yq1ojWV3hCj9gPeloyBlMldYQDUbduC7VwbUVPgampq99Nskaq6JyyEhm4wgG0F&#10;HR7W8jJaVT1dVYV6okJQNkxVISfoVNXaPjk7QNzj1U6V3ruZ9asqMG7u1lSr+/Y20VSw40kz0xZq&#10;qnvCfzJENyCD4Vt817RwsqVjtmJQ6/Dfk93Ly/XH+j44KBumqcY+j/FxDCBPWMBLDIQ2qEStqPQh&#10;g+oWRQWAuVNRSUANICYHzg4JULpjT5vQk1mC4/69IevuVgUH7jgR9MfS/6/DB3DK6QZhyZNPQ/IV&#10;Dg8ycvM5tNewoQlre4NA4kgfHHgU2FWHM/mJytV7cWpmeYR07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BvgiR+2QAAAAgBAAAPAAAAAAAAAAEAIAAAACIAAABkcnMvZG93bnJldi54bWxQSwECFAAU&#10;AAAACACHTuJAg/HoZSsGAACKOgAADgAAAAAAAAABACAAAAAoAQAAZHJzL2Uyb0RvYy54bWxQSwUG&#10;AAAAAAYABgBZAQAAxQkAAAAA&#10;">
                      <o:lock v:ext="edit" aspectratio="f"/>
                      <v:shape id="_x0000_s1026" o:spid="_x0000_s1026" o:spt="202" type="#_x0000_t202" style="position:absolute;left:2095;top:4152;height:500;width:946;" filled="f" stroked="t" coordsize="21600,21600" o:gfxdata="UEsDBAoAAAAAAIdO4kAAAAAAAAAAAAAAAAAEAAAAZHJzL1BLAwQUAAAACACHTuJAISDPx7sAAADa&#10;AAAADwAAAGRycy9kb3ducmV2LnhtbEVPS2sCMRC+C/6HMIK3mij0wdbooSi0IIJaao/jZrpZmky2&#10;m7haf30jFDwNH99zpvOzd6KjNtaBNYxHCgRxGUzNlYb33fLuCURMyAZdYNLwSxHms35vioUJJ95Q&#10;t02VyCEcC9RgU2oKKWNpyWMchYY4c1+h9ZgybCtpWjzlcO/kRKkH6bHm3GCxoRdL5ff26DWsPvY/&#10;i+X6U+3p4Or7zj3at8tB6+FgrJ5BJDqnm/jf/WryfLi+cr1y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DPx7sAAADa&#10;AAAADwAAAAAAAAABACAAAAAiAAAAZHJzL2Rvd25yZXYueG1sUEsBAhQAFAAAAAgAh07iQDMvBZ47&#10;AAAAOQAAABAAAAAAAAAAAQAgAAAACgEAAGRycy9zaGFwZXhtbC54bWxQSwUGAAAAAAYABgBbAQAA&#10;tAMAAAAA&#10;">
                        <v:fill on="f" focussize="0,0"/>
                        <v:stroke weight="0.5pt" color="#000000 [3204]" joinstyle="round"/>
                        <v:imagedata o:title=""/>
                        <o:lock v:ext="edit" aspectratio="f"/>
                        <v:textbox>
                          <w:txbxContent>
                            <w:p>
                              <w:pPr>
                                <w:jc w:val="center"/>
                                <w:rPr>
                                  <w:rFonts w:hint="eastAsia" w:eastAsiaTheme="minorEastAsia"/>
                                  <w:lang w:val="en-US" w:eastAsia="zh-CN"/>
                                </w:rPr>
                              </w:pPr>
                              <w:r>
                                <w:rPr>
                                  <w:rFonts w:hint="eastAsia"/>
                                  <w:lang w:val="en-US" w:eastAsia="zh-CN"/>
                                </w:rPr>
                                <w:t>开料</w:t>
                              </w:r>
                            </w:p>
                          </w:txbxContent>
                        </v:textbox>
                      </v:shape>
                      <v:shape id="_x0000_s1026" o:spid="_x0000_s1026" o:spt="32" type="#_x0000_t32" style="position:absolute;left:3047;top:4389;flip:y;height:1;width:599;" filled="f" stroked="t" coordsize="21600,21600" o:gfxdata="UEsDBAoAAAAAAIdO4kAAAAAAAAAAAAAAAAAEAAAAZHJzL1BLAwQUAAAACACHTuJAcabWJrsAAADa&#10;AAAADwAAAGRycy9kb3ducmV2LnhtbEWPT4vCMBTE7wt+h/CEva1pFUSr0UNR8OKC/+7P5m1bNnkp&#10;TWzrfvqNsLDHYWZ+w6y3gzWio9bXjhWkkwQEceF0zaWC62X/sQDhA7JG45gUPMnDdjN6W2OmXc8n&#10;6s6hFBHCPkMFVQhNJqUvKrLoJ64hjt6Xay2GKNtS6hb7CLdGTpNkLi3WHBcqbCivqPg+P6yCWW4+&#10;ubv75zLNj0Nz+kl3/c0o9T5OkxWIQEP4D/+1D1rBFF5X4g2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bWJrsAAADa&#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shape id="文本框 4" o:spid="_x0000_s1026" o:spt="202" type="#_x0000_t202" style="position:absolute;left:3646;top:4153;height:500;width:946;" filled="f" stroked="t" coordsize="21600,21600" o:gfxdata="UEsDBAoAAAAAAIdO4kAAAAAAAAAAAAAAAAAEAAAAZHJzL1BLAwQUAAAACACHTuJAnlAtlL0AAADc&#10;AAAADwAAAGRycy9kb3ducmV2LnhtbEVPTWsCMRC9C/0PYQreNLGgtlujh1LBQinUltrjuBk3i8lk&#10;u4mr9tc3BcHbPN7nzBYn70RHbawDaxgNFQjiMpiaKw2fH8vBPYiYkA26wKThTBEW85veDAsTjvxO&#10;3TpVIodwLFCDTakppIylJY9xGBrizO1C6zFl2FbStHjM4d7JO6Um0mPNucFiQ0+Wyv364DW8fm1+&#10;npdv32pDW1ePOze1L79brfu3I/UIItEpXcUX98rk+Q9T+H8mXy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UC2UvQAA&#10;ANwAAAAPAAAAAAAAAAEAIAAAACIAAABkcnMvZG93bnJldi54bWxQSwECFAAUAAAACACHTuJAMy8F&#10;njsAAAA5AAAAEAAAAAAAAAABACAAAAAMAQAAZHJzL3NoYXBleG1sLnhtbFBLBQYAAAAABgAGAFsB&#10;AAC2Aw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封边</w:t>
                              </w:r>
                            </w:p>
                          </w:txbxContent>
                        </v:textbox>
                      </v:shape>
                      <v:shape id="直接箭头连接符 3" o:spid="_x0000_s1026" o:spt="32" type="#_x0000_t32" style="position:absolute;left:4598;top:4390;flip:y;height:1;width:599;" filled="f" stroked="t" coordsize="21600,21600" o:gfxdata="UEsDBAoAAAAAAIdO4kAAAAAAAAAAAAAAAAAEAAAAZHJzL1BLAwQUAAAACACHTuJAbHC4JL4AAADc&#10;AAAADwAAAGRycy9kb3ducmV2LnhtbEWPT2vDMAzF74N9B6PBbquTDUab1e0hbNBLB/1312I1CbXl&#10;EHtJuk8/HQq9Sbyn935arifv1EB9bAMbyGcZKOIq2JZrA8fD18scVEzIFl1gMnClCOvV48MSCxtG&#10;3tGwT7WSEI4FGmhS6gqtY9WQxzgLHbFo59B7TLL2tbY9jhLunX7NsnftsWVpaLCjsqHqsv/1Bt5K&#10;983DT7wu8nI7dbu//HM8OWOen/LsA1SiKd3Nt+uNFfyF0MozMoF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HC4JL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文本框 6" o:spid="_x0000_s1026" o:spt="202" type="#_x0000_t202" style="position:absolute;left:5202;top:4148;height:500;width:946;" filled="f" stroked="t" coordsize="21600,21600" o:gfxdata="UEsDBAoAAAAAAIdO4kAAAAAAAAAAAAAAAAAEAAAAZHJzL1BLAwQUAAAACACHTuJAgIMcfb4AAADc&#10;AAAADwAAAGRycy9kb3ducmV2LnhtbEVPS0sDMRC+C/0PYQRvNqngo9vN9lAsKIhglbbH6Wa6WUwm&#10;6yZua399Iwje5uN7Tjk/eicG6mMbWMNkrEAQ18G03Gj4eF9eP4CICdmgC0wafijCvBpdlFiYcOA3&#10;GlapETmEY4EabEpdIWWsLXmM49ARZ24feo8pw76RpsdDDvdO3ih1Jz22nBssdrSwVH+uvr2Gl/Xm&#10;63H5ulUb2rn2dnD39vm00/rqcqJmIBId07/4z/1k8vzpFH6fyRfI6gx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Mcfb4A&#10;AADc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打孔</w:t>
                              </w:r>
                            </w:p>
                          </w:txbxContent>
                        </v:textbox>
                      </v:shape>
                      <v:shape id="直接箭头连接符 5" o:spid="_x0000_s1026" o:spt="32" type="#_x0000_t32" style="position:absolute;left:6154;top:4385;flip:y;height:1;width:599;" filled="f" stroked="t" coordsize="21600,21600" o:gfxdata="UEsDBAoAAAAAAIdO4kAAAAAAAAAAAAAAAAAEAAAAZHJzL1BLAwQUAAAACACHTuJAoSlA2bwAAADc&#10;AAAADwAAAGRycy9kb3ducmV2LnhtbEWPS2vDMBCE74X8B7GB3hrZDZTEieKDSaGXFPK6b6yNbSKt&#10;jKX60V9fFQo9DjPzDbPNR2tET51vHCtIFwkI4tLphisFl/P7ywqED8gajWNSMJGHfDd72mKm3cBH&#10;6k+hEhHCPkMFdQhtJqUva7LoF64ljt7ddRZDlF0ldYdDhFsjX5PkTVpsOC7U2FJRU/k4fVkFy8J8&#10;cn/z0zotDmN7/E73w9Uo9TxPkw2IQGP4D/+1P7SCSITfM/EI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pQNm8AAAA&#10;3A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shape id="文本框 8" o:spid="_x0000_s1026" o:spt="202" type="#_x0000_t202" style="position:absolute;left:6763;top:4158;height:500;width:946;" filled="f" stroked="t" coordsize="21600,21600" o:gfxdata="UEsDBAoAAAAAAIdO4kAAAAAAAAAAAAAAAAAEAAAAZHJzL1BLAwQUAAAACACHTuJATdrkgL8AAADc&#10;AAAADwAAAGRycy9kb3ducmV2LnhtbEWPT2sCMRTE70K/Q3iF3mqyQv+wGj1IBYVSqBb1+Nw8N4vJ&#10;y3aTrrafvikUPA4z8xtmMrt4J3rqYhNYQzFUIIirYBquNXxsFvfPIGJCNugCk4ZvijCb3gwmWJpw&#10;5nfq16kWGcKxRA02pbaUMlaWPMZhaImzdwydx5RlV0vT4TnDvZMjpR6lx4bzgsWW5paq0/rLa3jd&#10;7j5fFm97taODax5692RXPwet724LNQaR6JKu4f/20mgYqQL+zuQjIK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a5IC/&#10;AAAA3A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组装</w:t>
                              </w:r>
                            </w:p>
                          </w:txbxContent>
                        </v:textbox>
                      </v:shape>
                      <v:shape id="直接箭头连接符 7" o:spid="_x0000_s1026" o:spt="32" type="#_x0000_t32" style="position:absolute;left:7715;top:4395;flip:y;height:1;width:599;" filled="f" stroked="t" coordsize="21600,21600" o:gfxdata="UEsDBAoAAAAAAIdO4kAAAAAAAAAAAAAAAAAEAAAAZHJzL1BLAwQUAAAACACHTuJAPrd7Nb0AAADc&#10;AAAADwAAAGRycy9kb3ducmV2LnhtbEWPzWrDMBCE74G+g9hCbolkF0rqRsnBtNBLA/npfWttbBNp&#10;ZSzVdvL0UaHQ4zAz3zDr7eSsGKgPrWcN2VKBIK68abnWcDq+L1YgQkQ2aD2ThisF2G4eZmssjB95&#10;T8Mh1iJBOBSooYmxK6QMVUMOw9J3xMk7+95hTLKvpelxTHBnZa7Us3TYclposKOyoepy+HEankq7&#10;4+E7XF+y8nPq9rfsbfyyWs8fM/UKItIU/8N/7Q+jIVc5/J5JR0B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3s1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202" type="#_x0000_t202" style="position:absolute;left:8309;top:4153;height:500;width:946;" filled="f" stroked="t" coordsize="21600,21600" o:gfxdata="UEsDBAoAAAAAAIdO4kAAAAAAAAAAAAAAAAAEAAAAZHJzL1BLAwQUAAAACACHTuJAzUeVzr8AAADb&#10;AAAADwAAAGRycy9kb3ducmV2LnhtbEWPT0sDMRDF70K/Q5iCN5u04B+2TXuQFhREsBXrcbqZbhaT&#10;ybqJ2+qndw6Ctxnem/d+s1idY1AD9blNbGE6MaCI6+Rabiy87jZXd6ByQXYYEpOFb8qwWo4uFli5&#10;dOIXGralURLCuUILvpSu0jrXniLmSeqIRTumPmKRtW+06/Ek4THomTE3OmLL0uCxo3tP9cf2K1p4&#10;ett/rjfP72ZPh9BeD+HWP/4crL0cT80cVKFz+Tf/XT84wRd6+UUG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1Hlc6/&#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精修</w:t>
                              </w:r>
                            </w:p>
                          </w:txbxContent>
                        </v:textbox>
                      </v:shape>
                      <v:shape id="直接箭头连接符 9" o:spid="_x0000_s1026" o:spt="32" type="#_x0000_t32" style="position:absolute;left:9261;top:4390;flip:y;height:1;width:599;" filled="f" stroked="t" coordsize="21600,21600" o:gfxdata="UEsDBAoAAAAAAIdO4kAAAAAAAAAAAAAAAAAEAAAAZHJzL1BLAwQUAAAACACHTuJAUfverr0AAADc&#10;AAAADwAAAGRycy9kb3ducmV2LnhtbEWPQWvCQBSE7wX/w/IEb3U3CqVNXT0EC14UtO39NfuaBHff&#10;huw2if56tyB4HGbmG2a1GZ0VPXWh8awhmysQxKU3DVcavj4/nl9BhIhs0HomDRcKsFlPnlaYGz/w&#10;kfpTrESCcMhRQx1jm0sZypochrlviZP36zuHMcmukqbDIcGdlQulXqTDhtNCjS0VNZXn05/TsCzs&#10;gfufcHnLiv3YHq/Zdvi2Ws+mmXoHEWmMj/C9vTMaFmoJ/2fSE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96u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202" type="#_x0000_t202" style="position:absolute;left:9859;top:4153;height:500;width:946;" filled="f" stroked="t" coordsize="21600,21600" o:gfxdata="UEsDBAoAAAAAAIdO4kAAAAAAAAAAAAAAAAAEAAAAZHJzL1BLAwQUAAAACACHTuJAUtmuIrwAAADb&#10;AAAADwAAAGRycy9kb3ducmV2LnhtbEVPS2sCMRC+F/wPYQRvmihYy9booSi0UArVUnscN9PN0mSy&#10;btL18esbQehtPr7nzJcn70RHbawDaxiPFAjiMpiaKw0f2/XwAURMyAZdYNJwpgjLRe9ujoUJR36n&#10;bpMqkUM4FqjBptQUUsbSksc4Cg1x5r5D6zFl2FbStHjM4d7JiVL30mPNucFiQ0+Wyp/Nr9fw+rk7&#10;rNZvX2pHe1dPOzezL5e91oP+WD2CSHRK/+Kb+9nk+RO4/pIP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ZriK8AAAA&#10;2wAAAA8AAAAAAAAAAQAgAAAAIgAAAGRycy9kb3ducmV2LnhtbFBLAQIUABQAAAAIAIdO4kAzLwWe&#10;OwAAADkAAAAQAAAAAAAAAAEAIAAAAAsBAABkcnMvc2hhcGV4bWwueG1sUEsFBgAAAAAGAAYAWwEA&#10;ALUDA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打包</w:t>
                              </w:r>
                            </w:p>
                          </w:txbxContent>
                        </v:textbox>
                      </v:shape>
                      <v:shape id="_x0000_s1026" o:spid="_x0000_s1026" o:spt="32" type="#_x0000_t32" style="position:absolute;left:2346;top:3806;flip:y;height:336;width:1;" filled="f" stroked="t" coordsize="21600,21600" o:gfxdata="UEsDBAoAAAAAAIdO4kAAAAAAAAAAAAAAAAAEAAAAZHJzL1BLAwQUAAAACACHTuJAx8/yfLsAAADb&#10;AAAADwAAAGRycy9kb3ducmV2LnhtbEWPS2uDQBSF94X8h+EGsmtGpUiwjlJaAukuzWN/69yoxLlj&#10;nUk0+fWdQiHLw3l8nLycTCeuNLjWsoJ4GYEgrqxuuVZw2K+fVyCcR9bYWSYFN3JQFrOnHDNtR/6i&#10;687XIoywy1BB432fSemqhgy6pe2Jg3eyg0Ef5FBLPeAYxk0nkyhKpcGWA6HBnt4bqs67iwlcavHl&#10;83j/4G3sv/Htp3LrdKXUYh5HryA8Tf4R/m9vtIIkhb8v4Qf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8/yfLsAAADb&#10;AAAADwAAAAAAAAABACAAAAAiAAAAZHJzL2Rvd25yZXYueG1sUEsBAhQAFAAAAAgAh07iQDMvBZ47&#10;AAAAOQAAABAAAAAAAAAAAQAgAAAACgEAAGRycy9zaGFwZXhtbC54bWxQSwUGAAAAAAYABgBbAQAA&#10;tAMAAAAA&#10;">
                        <v:fill on="f" focussize="0,0"/>
                        <v:stroke color="#000000 [3213]" miterlimit="8" joinstyle="miter" dashstyle="dash" endarrow="block"/>
                        <v:imagedata o:title=""/>
                        <o:lock v:ext="edit" aspectratio="f"/>
                      </v:shape>
                      <v:shape id="_x0000_s1026" o:spid="_x0000_s1026" o:spt="202" type="#_x0000_t202" style="position:absolute;left:2066;top:3327;height:472;width:1340;" filled="f" stroked="f" coordsize="21600,21600" o:gfxdata="UEsDBAoAAAAAAIdO4kAAAAAAAAAAAAAAAAAEAAAAZHJzL1BLAwQUAAAACACHTuJAiqEbSb4AAADb&#10;AAAADwAAAGRycy9kb3ducmV2LnhtbEWPS4vCQBCE74L/YWjBm04MuCvRUSQgiqwHHxdvbaZNgpme&#10;mBlf++t3hAWPRVV9RU1mT1OJOzWutKxg0I9AEGdWl5wrOOwXvREI55E1VpZJwYsczKbt1gQTbR+8&#10;pfvO5yJA2CWooPC+TqR0WUEGXd/WxME728agD7LJpW7wEeCmknEUfUmDJYeFAmtKC8ouu5tRsE4X&#10;G9yeYjP6rdLlz3leXw/HoVLdziAag/D09J/wf3ulFcTf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EbS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粉尘 噪声</w:t>
                              </w:r>
                            </w:p>
                          </w:txbxContent>
                        </v:textbox>
                      </v:shape>
                      <v:shape id="_x0000_s1026" o:spid="_x0000_s1026" o:spt="32" type="#_x0000_t32" style="position:absolute;left:2836;top:3806;flip:y;height:336;width:1;" filled="f" stroked="t" coordsize="21600,21600" o:gfxdata="UEsDBAoAAAAAAIdO4kAAAAAAAAAAAAAAAAAEAAAAZHJzL1BLAwQUAAAACACHTuJA2RzDlbgAAADb&#10;AAAADwAAAGRycy9kb3ducmV2LnhtbEVPTWvCQBC9C/0Pywi96SZSgsRsRCxCe2tTvY/ZMQlmZ9Ps&#10;Vq2/3jkUeny872J9c7260Bg6zwbSeQKKuPa248bA/ms3W4IKEdli75kM/FKAdfk0KTC3/sqfdKli&#10;oySEQ44G2hiHXOtQt+QwzP1ALNzJjw6jwLHRdsSrhLteL5Ik0w47loYWB9q2VJ+rHye91OHL++H+&#10;yh9pPOLmuw67bGnM8zRNVqAi3eK/+M/9Zg0sZKx8kR+g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RzDlbgAAADbAAAA&#10;DwAAAAAAAAABACAAAAAiAAAAZHJzL2Rvd25yZXYueG1sUEsBAhQAFAAAAAgAh07iQDMvBZ47AAAA&#10;OQAAABAAAAAAAAAAAQAgAAAABwEAAGRycy9zaGFwZXhtbC54bWxQSwUGAAAAAAYABgBbAQAAsQMA&#10;AAAA&#10;">
                        <v:fill on="f" focussize="0,0"/>
                        <v:stroke color="#000000 [3213]" miterlimit="8" joinstyle="miter" dashstyle="dash" endarrow="block"/>
                        <v:imagedata o:title=""/>
                        <o:lock v:ext="edit" aspectratio="f"/>
                      </v:shape>
                      <v:shape id="_x0000_s1026" o:spid="_x0000_s1026" o:spt="32" type="#_x0000_t32" style="position:absolute;left:5353;top:3813;flip:y;height:336;width:1;" filled="f" stroked="t" coordsize="21600,21600" o:gfxdata="UEsDBAoAAAAAAIdO4kAAAAAAAAAAAAAAAAAEAAAAZHJzL1BLAwQUAAAACACHTuJAorNZTrkAAADb&#10;AAAADwAAAGRycy9kb3ducmV2LnhtbEVPTWvCQBC9C/0PyxS86Sa2iKSuUlqEeqtR79PsNAnNzqbZ&#10;NYn+eudQ6PHxvtfb0TWqpy7Ung2k8wQUceFtzaWB03E3W4EKEdli45kMXCnAdvMwWWNm/cAH6vNY&#10;KgnhkKGBKsY20zoUFTkMc98SC/ftO4dRYFdq2+Eg4a7RiyRZaoc1S0OFLb1VVPzkFye9VOPz/nx7&#10;5880fuHrbxF2y5Ux08c0eQEVaYz/4j/3hzXwJOvli/wAvb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KzWU65AAAA2wAA&#10;AA8AAAAAAAAAAQAgAAAAIgAAAGRycy9kb3ducmV2LnhtbFBLAQIUABQAAAAIAIdO4kAzLwWeOwAA&#10;ADkAAAAQAAAAAAAAAAEAIAAAAAgBAABkcnMvc2hhcGV4bWwueG1sUEsFBgAAAAAGAAYAWwEAALID&#10;AAAAAA==&#10;">
                        <v:fill on="f" focussize="0,0"/>
                        <v:stroke color="#000000 [3213]" miterlimit="8" joinstyle="miter" dashstyle="dash" endarrow="block"/>
                        <v:imagedata o:title=""/>
                        <o:lock v:ext="edit" aspectratio="f"/>
                      </v:shape>
                      <v:shape id="_x0000_s1026" o:spid="_x0000_s1026" o:spt="202" type="#_x0000_t202" style="position:absolute;left:5073;top:3334;height:472;width:1340;"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粉尘 噪声</w:t>
                              </w:r>
                            </w:p>
                          </w:txbxContent>
                        </v:textbox>
                      </v:shape>
                      <v:shape id="直接箭头连接符 31" o:spid="_x0000_s1026" o:spt="32" type="#_x0000_t32" style="position:absolute;left:5843;top:3813;flip:y;height:336;width:1;" filled="f" stroked="t" coordsize="21600,21600" o:gfxdata="UEsDBAoAAAAAAIdO4kAAAAAAAAAAAAAAAAAEAAAAZHJzL1BLAwQUAAAACACHTuJAzdmkJLwAAADc&#10;AAAADwAAAGRycy9kb3ducmV2LnhtbEWPX2vCMBTF3wf7DuEKe5tJSxHpTIsohe1tc/p+be7aYnPT&#10;NVG7ffpFEPZ4OH9+nFU52V5caPSdYw3JXIEgrp3puNGw/6yelyB8QDbYOyYNP+ShLB4fVpgbd+UP&#10;uuxCI+II+xw1tCEMuZS+bsmin7uBOHpfbrQYohwbaUa8xnHby1SphbTYcSS0ONCmpfq0O9vIpQ6z&#10;t8Pvlt+TcMT1d+2rxVLrp1miXkAEmsJ/+N5+NRpSlcHtTDwCsv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ZpCS8AAAA&#10;3AAAAA8AAAAAAAAAAQAgAAAAIgAAAGRycy9kb3ducmV2LnhtbFBLAQIUABQAAAAIAIdO4kAzLwWe&#10;OwAAADkAAAAQAAAAAAAAAAEAIAAAAAsBAABkcnMvc2hhcGV4bWwueG1sUEsFBgAAAAAGAAYAWwEA&#10;ALUDAAAAAA==&#10;">
                        <v:fill on="f" focussize="0,0"/>
                        <v:stroke color="#000000 [3213]" miterlimit="8" joinstyle="miter" dashstyle="dash" endarrow="block"/>
                        <v:imagedata o:title=""/>
                        <o:lock v:ext="edit" aspectratio="f"/>
                      </v:shape>
                      <v:shape id="_x0000_s1026" o:spid="_x0000_s1026" o:spt="32" type="#_x0000_t32" style="position:absolute;left:3903;top:3818;flip:y;height:336;width:1;" filled="f" stroked="t" coordsize="21600,21600" o:gfxdata="UEsDBAoAAAAAAIdO4kAAAAAAAAAAAAAAAAAEAAAAZHJzL1BLAwQUAAAACACHTuJAUmHHObkAAADb&#10;AAAADwAAAGRycy9kb3ducmV2LnhtbEWPS4vCMBSF94L/IVzBnaadikg1ijgUnJ3P/bW5tsXmptNk&#10;1PHXG0FweTiPjzNb3E0trtS6yrKCeBiBIM6trrhQcNhngwkI55E11pZJwT85WMy7nRmm2t54S9ed&#10;L0QYYZeigtL7JpXS5SUZdEPbEAfvbFuDPsi2kLrFWxg3tfyKorE0WHEglNjQqqT8svszgUsVjn6O&#10;j2/exP6Ey9/cZeOJUv1eHE1BeLr7T/jdXmsFSQKvL+EHyP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Jhxzm5AAAA2wAA&#10;AA8AAAAAAAAAAQAgAAAAIgAAAGRycy9kb3ducmV2LnhtbFBLAQIUABQAAAAIAIdO4kAzLwWeOwAA&#10;ADkAAAAQAAAAAAAAAAEAIAAAAAgBAABkcnMvc2hhcGV4bWwueG1sUEsFBgAAAAAGAAYAWwEAALID&#10;AAAAAA==&#10;">
                        <v:fill on="f" focussize="0,0"/>
                        <v:stroke color="#000000 [3213]" miterlimit="8" joinstyle="miter" dashstyle="dash" endarrow="block"/>
                        <v:imagedata o:title=""/>
                        <o:lock v:ext="edit" aspectratio="f"/>
                      </v:shape>
                      <v:shape id="_x0000_s1026" o:spid="_x0000_s1026" o:spt="202" type="#_x0000_t202" style="position:absolute;left:3283;top:3339;height:472;width:1835;" filled="f" stroked="f" coordsize="21600,21600" o:gfxdata="UEsDBAoAAAAAAIdO4kAAAAAAAAAAAAAAAAAEAAAAZHJzL1BLAwQUAAAACACHTuJAHw8uDL4AAADb&#10;AAAADwAAAGRycy9kb3ducmV2LnhtbEWPS4vCQBCE74L/YWjBm06M7CLRUSQgiqwHHxdvbaZNgpme&#10;mBlf++t3hAWPRVV9RU1mT1OJOzWutKxg0I9AEGdWl5wrOOwXvREI55E1VpZJwYsczKbt1gQTbR+8&#10;pfvO5yJA2CWooPC+TqR0WUEGXd/WxME728agD7LJpW7wEeCmknEUfUuDJYeFAmtKC8ouu5tRsE4X&#10;G9yeYjP6rdLlz3leXw/HL6W6nUE0BuHp6T/h//ZKKxjG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8uD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有机废气 噪声</w:t>
                              </w:r>
                            </w:p>
                          </w:txbxContent>
                        </v:textbox>
                      </v:shape>
                      <v:shape id="_x0000_s1026" o:spid="_x0000_s1026" o:spt="32" type="#_x0000_t32" style="position:absolute;left:4393;top:3818;flip:y;height:336;width:1;" filled="f" stroked="t" coordsize="21600,21600" o:gfxdata="UEsDBAoAAAAAAIdO4kAAAAAAAAAAAAAAAAAEAAAAZHJzL1BLAwQUAAAACACHTuJA3YhfTboAAADb&#10;AAAADwAAAGRycy9kb3ducmV2LnhtbEWPS4vCMBSF9wP+h3CF2Y1pVaRU0yKK4OzG1/7aXNtic1Ob&#10;+Pz1E2Fglofz+Diz/GEacaPO1ZYVxIMIBHFhdc2lgv1u9ZWAcB5ZY2OZFDzJQZ71PmaYanvnDd22&#10;vhRhhF2KCirv21RKV1Rk0A1sSxy8k+0M+iC7UuoO72HcNHIYRRNpsOZAqLClRUXFeXs1gUs1jr8P&#10;ryX/xP6I80vhVpNEqc9+HE1BeHr4//Bfe60VjMbw/hJ+gM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F9NugAAANsA&#10;AAAPAAAAAAAAAAEAIAAAACIAAABkcnMvZG93bnJldi54bWxQSwECFAAUAAAACACHTuJAMy8FnjsA&#10;AAA5AAAAEAAAAAAAAAABACAAAAAJAQAAZHJzL3NoYXBleG1sLnhtbFBLBQYAAAAABgAGAFsBAACz&#10;AwAAAAA=&#10;">
                        <v:fill on="f" focussize="0,0"/>
                        <v:stroke color="#000000 [3213]" miterlimit="8" joinstyle="miter" dashstyle="dash" endarrow="block"/>
                        <v:imagedata o:title=""/>
                        <o:lock v:ext="edit" aspectratio="f"/>
                      </v:shape>
                      <v:shape id="_x0000_s1026" o:spid="_x0000_s1026" o:spt="32" type="#_x0000_t32" style="position:absolute;left:7020;top:3830;flip:y;height:336;width:1;" filled="f" stroked="t" coordsize="21600,21600" o:gfxdata="UEsDBAoAAAAAAIdO4kAAAAAAAAAAAAAAAAAEAAAAZHJzL1BLAwQUAAAACACHTuJAQhZkobsAAADb&#10;AAAADwAAAGRycy9kb3ducmV2LnhtbEWPzWrCQBSF90LfYbiF7uokVoLETEQqQt3VqPtr5poEM3fS&#10;zFRjn94RCi4P5+fjZIvBtOJCvWssK4jHEQji0uqGKwX73fp9BsJ5ZI2tZVJwIweL/GWUYartlbd0&#10;KXwlwgi7FBXU3neplK6syaAb2444eCfbG/RB9pXUPV7DuGnlJIoSabDhQKixo8+aynPxawKXGpxu&#10;Dn8r/o79EZc/pVsnM6XeXuNoDsLT4J/h//aXVvCRwONL+AEyv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hZkobsAAADb&#10;AAAADwAAAAAAAAABACAAAAAiAAAAZHJzL2Rvd25yZXYueG1sUEsBAhQAFAAAAAgAh07iQDMvBZ47&#10;AAAAOQAAABAAAAAAAAAAAQAgAAAACgEAAGRycy9zaGFwZXhtbC54bWxQSwUGAAAAAAYABgBbAQAA&#10;tAMAAAAA&#10;">
                        <v:fill on="f" focussize="0,0"/>
                        <v:stroke color="#000000 [3213]" miterlimit="8" joinstyle="miter" dashstyle="dash" endarrow="block"/>
                        <v:imagedata o:title=""/>
                        <o:lock v:ext="edit" aspectratio="f"/>
                      </v:shape>
                      <v:shape id="_x0000_s1026" o:spid="_x0000_s1026" o:spt="202" type="#_x0000_t202" style="position:absolute;left:6740;top:3351;height:472;width:912;" filled="f" stroked="f" coordsize="21600,21600" o:gfxdata="UEsDBAoAAAAAAIdO4kAAAAAAAAAAAAAAAAAEAAAAZHJzL1BLAwQUAAAACACHTuJAkOa2eL8AAADb&#10;AAAADwAAAGRycy9kb3ducmV2LnhtbEWPQWvCQBSE7wX/w/IEb3UTS4pE1yABaRF70Hrx9sw+k2D2&#10;bcxuNfrr3UKhx2FmvmHmWW8acaXO1ZYVxOMIBHFhdc2lgv336nUKwnlkjY1lUnAnB9li8DLHVNsb&#10;b+m686UIEHYpKqi8b1MpXVGRQTe2LXHwTrYz6IPsSqk7vAW4aeQkit6lwZrDQoUt5RUV592PUbDO&#10;V1+4PU7M9NHkH5vTsr3sD4lSo2EczUB46v1/+K/9qRW8Jf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mtni/&#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噪声</w:t>
                              </w:r>
                            </w:p>
                          </w:txbxContent>
                        </v:textbox>
                      </v:shape>
                      <v:shape id="_x0000_s1026" o:spid="_x0000_s1026" o:spt="32" type="#_x0000_t32" style="position:absolute;left:2575;top:4658;flip:y;height:336;width:1;" filled="f" stroked="t" coordsize="21600,21600" o:gfxdata="UEsDBAoAAAAAAIdO4kAAAAAAAAAAAAAAAAAEAAAAZHJzL1BLAwQUAAAACACHTuJAN7gVObwAAADb&#10;AAAADwAAAGRycy9kb3ducmV2LnhtbEWPwWrDMBBE74X+g9hAbo3sQtLgRPHBxSUUeqiTD1isjW1i&#10;rYwl2fHfV4VCj8PMvGGO+cP0YqLRdZYVpJsEBHFtdceNguulfNmDcB5ZY2+ZFCzkID89Px0x03bm&#10;b5oq34gIYZehgtb7IZPS1S0ZdBs7EEfvZkeDPsqxkXrEOcJNL1+TZCcNdhwXWhyoaKm+V8EomPV8&#10;3n18Fe+lrT7fQghLw2ZRar1KkwMITw//H/5rn7WCbQq/X+IPkK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4FTm8AAAA&#10;2wAAAA8AAAAAAAAAAQAgAAAAIgAAAGRycy9kb3ducmV2LnhtbFBLAQIUABQAAAAIAIdO4kAzLwWe&#10;OwAAADkAAAAQAAAAAAAAAAEAIAAAAAsBAABkcnMvc2hhcGV4bWwueG1sUEsFBgAAAAAGAAYAWwEA&#10;ALUDAAAAAA==&#10;">
                        <v:fill on="f" focussize="0,0"/>
                        <v:stroke color="#000000 [3213]" miterlimit="8" joinstyle="miter" dashstyle="dash" startarrow="block"/>
                        <v:imagedata o:title=""/>
                        <o:lock v:ext="edit" aspectratio="f"/>
                      </v:shape>
                      <v:shape id="_x0000_s1026" o:spid="_x0000_s1026" o:spt="202" type="#_x0000_t202" style="position:absolute;left:2230;top:4918;height:472;width:912;" filled="f" stroked="f" coordsize="21600,21600" o:gfxdata="UEsDBAoAAAAAAIdO4kAAAAAAAAAAAAAAAAAEAAAAZHJzL1BLAwQUAAAACACHTuJAwtDLrL4AAADb&#10;AAAADwAAAGRycy9kb3ducmV2LnhtbEWPQWvCQBSE74X+h+UVvDUbA4qkrlICYhE9qLl4e80+k9Ds&#10;25jdmuivdwsFj8PMfMPMl4NpxJU6V1tWMI5iEMSF1TWXCvLj6n0GwnlkjY1lUnAjB8vF68scU217&#10;3tP14EsRIOxSVFB536ZSuqIigy6yLXHwzrYz6IPsSqk77APcNDKJ46k0WHNYqLClrKLi5/BrFGyy&#10;1Q7334mZ3ZtsvT1/tpf8NFFq9DaOP0B4Gvwz/N/+0gom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DLr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固废</w:t>
                              </w:r>
                            </w:p>
                          </w:txbxContent>
                        </v:textbox>
                      </v:shape>
                    </v:group>
                  </w:pict>
                </mc:Fallback>
              </mc:AlternateContent>
            </w:r>
          </w:p>
          <w:p>
            <w:pPr>
              <w:widowControl/>
              <w:spacing w:line="520" w:lineRule="exact"/>
              <w:ind w:firstLine="480" w:firstLineChars="200"/>
              <w:jc w:val="left"/>
              <w:rPr>
                <w:color w:val="auto"/>
                <w:lang w:bidi="zh-CN"/>
              </w:rPr>
            </w:pPr>
          </w:p>
          <w:p>
            <w:pPr>
              <w:widowControl/>
              <w:spacing w:line="520" w:lineRule="exact"/>
              <w:ind w:firstLine="480" w:firstLineChars="200"/>
              <w:jc w:val="left"/>
              <w:rPr>
                <w:color w:val="auto"/>
                <w:lang w:bidi="zh-CN"/>
              </w:rPr>
            </w:pPr>
          </w:p>
          <w:p>
            <w:pPr>
              <w:widowControl/>
              <w:spacing w:line="520" w:lineRule="exact"/>
              <w:ind w:firstLine="480" w:firstLineChars="200"/>
              <w:jc w:val="left"/>
              <w:rPr>
                <w:color w:val="auto"/>
                <w:lang w:bidi="zh-CN"/>
              </w:rPr>
            </w:pPr>
            <w:r>
              <w:rPr>
                <w:color w:val="auto"/>
                <w:sz w:val="24"/>
              </w:rPr>
              <mc:AlternateContent>
                <mc:Choice Requires="wps">
                  <w:drawing>
                    <wp:anchor distT="0" distB="0" distL="114300" distR="114300" simplePos="0" relativeHeight="251700224" behindDoc="0" locked="0" layoutInCell="1" allowOverlap="1">
                      <wp:simplePos x="0" y="0"/>
                      <wp:positionH relativeFrom="column">
                        <wp:posOffset>1097280</wp:posOffset>
                      </wp:positionH>
                      <wp:positionV relativeFrom="paragraph">
                        <wp:posOffset>171450</wp:posOffset>
                      </wp:positionV>
                      <wp:extent cx="634365" cy="29972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634365"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4pt;margin-top:13.5pt;height:23.6pt;width:49.95pt;z-index:251700224;mso-width-relative:page;mso-height-relative:page;" filled="f" stroked="f" coordsize="21600,21600" o:gfxdata="UEsDBAoAAAAAAIdO4kAAAAAAAAAAAAAAAAAEAAAAZHJzL1BLAwQUAAAACACHTuJAxJKC39kAAAAJ&#10;AQAADwAAAGRycy9kb3ducmV2LnhtbE2PzU7DMBCE70i8g7WVuFGnFuAqxKlQpAoJwaGlF26beJtE&#10;je0Quz/w9CwnOI5mNPNNsbq4QZxoin3wBhbzDAT5JtjetwZ27+vbJYiY0FscgicDXxRhVV5fFZjb&#10;cPYbOm1TK7jExxwNdCmNuZSx6chhnIeRPHv7MDlMLKdW2gnPXO4GqbLsQTrsPS90OFLVUXPYHp2B&#10;l2r9hptaueX3UD2/7p/Gz93HvTE3s0X2CCLRJf2F4Ref0aFkpjocvY1iYK0VoycDSvMnDiitNIja&#10;gL5TIMtC/n9Q/gBQSwMEFAAAAAgAh07iQK2DqzQeAgAAGQQAAA4AAABkcnMvZTJvRG9jLnhtbK1T&#10;zY7TMBC+I/EOlu80/YdWTVdlV0VIFbtSd8XZdewmku0xttukPAC8AScu3HmuPgdjp+1WwAlxcSYz&#10;45n5vvk8u2m0InvhfAUmp71OlxJhOBSV2eb06XH56g0lPjBTMAVG5PQgPL2Zv3wxq+1U9KEEVQhH&#10;sIjx09rmtAzBTrPM81Jo5jtghcGgBKdZwF+3zQrHaqyuVdbvdsdZDa6wDrjwHr13bZDOU30pBQ/3&#10;UnoRiMopzhbS6dK5iWc2n7Hp1jFbVvw0BvuHKTSrDDa9lLpjgZGdq/4opSvuwIMMHQ46AykrLhIG&#10;RNPr/oZmXTIrEhYkx9sLTf7/leUf9g+OVEVOBz1KDNO4o+O3r8fvP48/vhD0IUG19VPMW1vMDM1b&#10;aHDRZ79HZ8TdSKfjFxERjCPVhwu9ogmEo3M8GA7GI0o4hvqTyet+oj97vmydD+8EaBKNnDrcXiKV&#10;7Vc+4CCYek6JvQwsK6XSBpUhdWww6qYLlwjeUAYvRgjtqNEKzaY54dpAcUBYDlpleMuXFTZfMR8e&#10;mEMpIBKUd7jHQyrAJnCyKCnBff6bP+bjhjBKSY3Syqn/tGNOUKLeG9zdpDccRi2mn+Eo8kDcdWRz&#10;HTE7fQuoXlwPTpfMmB/U2ZQO9Ed8BYvYFUPMcOyd03A2b0MreHxFXCwWKQnVZ1lYmbXlsXRL52IX&#10;QFaJ6UhTy82JPdRfWsDprUSBX/+nrOcXPf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JKC39kA&#10;AAAJAQAADwAAAAAAAAABACAAAAAiAAAAZHJzL2Rvd25yZXYueG1sUEsBAhQAFAAAAAgAh07iQK2D&#10;qzQeAgAAGQQAAA4AAAAAAAAAAQAgAAAAKAEAAGRycy9lMm9Eb2MueG1sUEsFBgAAAAAGAAYAWQEA&#10;ALgFA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固废</w:t>
                            </w:r>
                          </w:p>
                        </w:txbxContent>
                      </v:textbox>
                    </v:shape>
                  </w:pict>
                </mc:Fallback>
              </mc:AlternateContent>
            </w:r>
            <w:r>
              <w:rPr>
                <w:color w:val="auto"/>
                <w:sz w:val="24"/>
              </w:rPr>
              <mc:AlternateContent>
                <mc:Choice Requires="wps">
                  <w:drawing>
                    <wp:anchor distT="0" distB="0" distL="114300" distR="114300" simplePos="0" relativeHeight="251699200" behindDoc="0" locked="0" layoutInCell="1" allowOverlap="1">
                      <wp:simplePos x="0" y="0"/>
                      <wp:positionH relativeFrom="column">
                        <wp:posOffset>1360805</wp:posOffset>
                      </wp:positionH>
                      <wp:positionV relativeFrom="paragraph">
                        <wp:posOffset>15240</wp:posOffset>
                      </wp:positionV>
                      <wp:extent cx="635" cy="213360"/>
                      <wp:effectExtent l="38100" t="0" r="37465" b="15240"/>
                      <wp:wrapNone/>
                      <wp:docPr id="37" name="直接箭头连接符 37"/>
                      <wp:cNvGraphicFramePr/>
                      <a:graphic xmlns:a="http://schemas.openxmlformats.org/drawingml/2006/main">
                        <a:graphicData uri="http://schemas.microsoft.com/office/word/2010/wordprocessingShape">
                          <wps:wsp>
                            <wps:cNvCnPr/>
                            <wps:spPr>
                              <a:xfrm flipV="1">
                                <a:off x="0" y="0"/>
                                <a:ext cx="635" cy="213360"/>
                              </a:xfrm>
                              <a:prstGeom prst="straightConnector1">
                                <a:avLst/>
                              </a:prstGeom>
                              <a:ln w="9525">
                                <a:solidFill>
                                  <a:schemeClr val="tx1"/>
                                </a:solidFill>
                                <a:prstDash val="dash"/>
                                <a:headEnd type="triangl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07.15pt;margin-top:1.2pt;height:16.8pt;width:0.05pt;z-index:251699200;mso-width-relative:page;mso-height-relative:page;" filled="f" stroked="t" coordsize="21600,21600" o:gfxdata="UEsDBAoAAAAAAIdO4kAAAAAAAAAAAAAAAAAEAAAAZHJzL1BLAwQUAAAACACHTuJAG2zaBdUAAAAI&#10;AQAADwAAAGRycy9kb3ducmV2LnhtbE2PwU7DMBBE70j8g7VI3KidtgoojdNDURFC4kDgA9x4m0TE&#10;6yi2m+bvWU5wm9GMZt+W+6sbxAWn0HvSkK0UCKTG255aDV+fx4cnECEasmbwhBoWDLCvbm9KU1g/&#10;0wde6tgKHqFQGA1djGMhZWg6dCas/IjE2dlPzkS2UyvtZGYed4NcK5VLZ3riC50Z8dBh810np2G2&#10;82v+8n54Pvr67TGltLTkFq3v7zK1AxHxGv/K8IvP6FAx08knskEMGtbZdsNVFlsQnLNncdKwyRXI&#10;qpT/H6h+AFBLAwQUAAAACACHTuJAId6f9P0BAAC3AwAADgAAAGRycy9lMm9Eb2MueG1srVPJjhMx&#10;EL0j8Q+W76SzaMLQSmcOCcMFQSSWe8VLtyVvsk06+Ql+AIkTcAJOc+drZobPoOwOGZYbog9Wuarr&#10;VdWr58XF3miyEyEqZxs6GY0pEZY5rmzb0FcvLx+cUxITWA7aWdHQg4j0Ynn/3qL3tZi6zmkuAkEQ&#10;G+veN7RLyddVFVknDMSR88JiULpgIOE1tBUP0CO60dV0PJ5XvQvcB8dEjOhdD0G6LPhSCpaeSxlF&#10;Irqh2FsqZyjnNp/VcgF1G8B3ih3bgH/owoCyWPQEtYYE5E1Qf0EZxYKLTqYRc6ZyUiomygw4zWT8&#10;xzQvOvCizILkRH+iKf4/WPZstwlE8YbOHlJiweCObt9d3bz9ePv1y/WHq+/f3mf78yeCcSSr97HG&#10;nJXdhOMt+k3Ik+9lMERq5V+jDgoXOB3ZF6oPJ6rFPhGGzvnsjBKG/ulkNpuXPVQDRsbyIaYnwhmS&#10;jYbGFEC1XVo5a3GjLgz4sHsaE3aBiT8TcrJ1l0rrslhtSd/QR2fTXAxQXlJDQtN4HDjalhLQLeqW&#10;pVA6jk4rnrMzTgztdqUD2UHWTvkyA1jtt99y6TXEbviPozWIyqiEytbKNPT8lAx1J4A/tpykg0eq&#10;U1BgWy2GlARK38UsPphjQW2xbqZ+IDtbW8cPZQfFj+oonR2VnOX3671k37235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bNoF1QAAAAgBAAAPAAAAAAAAAAEAIAAAACIAAABkcnMvZG93bnJldi54&#10;bWxQSwECFAAUAAAACACHTuJAId6f9P0BAAC3AwAADgAAAAAAAAABACAAAAAkAQAAZHJzL2Uyb0Rv&#10;Yy54bWxQSwUGAAAAAAYABgBZAQAAkwUAAAAA&#10;">
                      <v:fill on="f" focussize="0,0"/>
                      <v:stroke color="#000000 [3213]" miterlimit="8" joinstyle="miter" dashstyle="dash" startarrow="block"/>
                      <v:imagedata o:title=""/>
                      <o:lock v:ext="edit" aspectratio="f"/>
                    </v:shape>
                  </w:pict>
                </mc:Fallback>
              </mc:AlternateContent>
            </w:r>
            <w:r>
              <w:rPr>
                <w:color w:val="auto"/>
                <w:sz w:val="24"/>
              </w:rPr>
              <mc:AlternateContent>
                <mc:Choice Requires="wps">
                  <w:drawing>
                    <wp:anchor distT="0" distB="0" distL="114300" distR="114300" simplePos="0" relativeHeight="251698176" behindDoc="0" locked="0" layoutInCell="1" allowOverlap="1">
                      <wp:simplePos x="0" y="0"/>
                      <wp:positionH relativeFrom="column">
                        <wp:posOffset>2078990</wp:posOffset>
                      </wp:positionH>
                      <wp:positionV relativeFrom="paragraph">
                        <wp:posOffset>183515</wp:posOffset>
                      </wp:positionV>
                      <wp:extent cx="634365" cy="2997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34365"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7pt;margin-top:14.45pt;height:23.6pt;width:49.95pt;z-index:251698176;mso-width-relative:page;mso-height-relative:page;" filled="f" stroked="f" coordsize="21600,21600" o:gfxdata="UEsDBAoAAAAAAIdO4kAAAAAAAAAAAAAAAAAEAAAAZHJzL1BLAwQUAAAACACHTuJAIBL3i9sAAAAJ&#10;AQAADwAAAGRycy9kb3ducmV2LnhtbE2Py07DMBBF90j8gzVI7KgTtzQhxKlQpAoJ0UVLN+wm8TSJ&#10;8CPE7gO+HrOC5ege3XumXF2MZiea/OCshHSWACPbOjXYTsL+bX2XA/MBrULtLEn4Ig+r6vqqxEK5&#10;s93SaRc6FkusL1BCH8JYcO7bngz6mRvJxuzgJoMhnlPH1YTnWG40F0my5AYHGxd6HKnuqf3YHY2E&#10;l3q9wW0jTP6t6+fXw9P4uX+/l/L2Jk0egQW6hD8YfvWjOlTRqXFHqzzTEuYiW0RUgsgfgEVgIbI5&#10;sEZCtkyBVyX//0H1A1BLAwQUAAAACACHTuJAiHbRQh8CAAAZBAAADgAAAGRycy9lMm9Eb2MueG1s&#10;rVPBjtMwEL0j8Q+W7zRtty00aroquypCqtiVCuLsOnYTyfYY221SPgD+gBMX7nxXv4Ox03Yr4IS4&#10;OJOZ8Yzfmzez21YrshfO12AKOuj1KRGGQ1mbbUE/vF++eEWJD8yUTIERBT0IT2/nz5/NGpuLIVSg&#10;SuEIFjE+b2xBqxBsnmWeV0Iz3wMrDAYlOM0C/rptVjrWYHWtsmG/P8kacKV1wIX36L3vgnSe6ksp&#10;eHiQ0otAVEHxbSGdLp2beGbzGcu3jtmq5qdnsH94hWa1waaXUvcsMLJz9R+ldM0deJChx0FnIGXN&#10;RcKAaAb939CsK2ZFwoLkeHuhyf+/svzd/tGRuizocESJYRpndPz29fj95/HHF4I+JKixPse8tcXM&#10;0L6GFgd99nt0RtytdDp+ERHBOFJ9uNAr2kA4Oic3o5vJmBKOoeF0+nKY6M+eLlvnwxsBmkSjoA6n&#10;l0hl+5UP+BBMPafEXgaWtVJpgsqQJjYY99OFSwRvKIMXI4TuqdEK7aY94dpAeUBYDjpleMuXNTZf&#10;MR8emUMpIBKUd3jAQyrAJnCyKKnAff6bP+bjhDBKSYPSKqj/tGNOUKLeGpzddDAaRS2mn9E48kDc&#10;dWRzHTE7fQeo3gEukuXJjPlBnU3pQH/ELVjErhhihmPvgoazeRc6weMWcbFYpCRUn2VhZdaWx9Id&#10;nYtdAFknpiNNHTcn9lB/aQCnXYkCv/5PWU8bPf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BL3&#10;i9sAAAAJAQAADwAAAAAAAAABACAAAAAiAAAAZHJzL2Rvd25yZXYueG1sUEsBAhQAFAAAAAgAh07i&#10;QIh20UIfAgAAGQQAAA4AAAAAAAAAAQAgAAAAKgEAAGRycy9lMm9Eb2MueG1sUEsFBgAAAAAGAAYA&#10;WQEAALsFA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固废</w:t>
                            </w:r>
                          </w:p>
                        </w:txbxContent>
                      </v:textbox>
                    </v:shape>
                  </w:pict>
                </mc:Fallback>
              </mc:AlternateContent>
            </w:r>
            <w:r>
              <w:rPr>
                <w:color w:val="auto"/>
                <w:sz w:val="24"/>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27305</wp:posOffset>
                      </wp:positionV>
                      <wp:extent cx="635" cy="213360"/>
                      <wp:effectExtent l="38100" t="0" r="37465" b="15240"/>
                      <wp:wrapNone/>
                      <wp:docPr id="25" name="直接箭头连接符 25"/>
                      <wp:cNvGraphicFramePr/>
                      <a:graphic xmlns:a="http://schemas.openxmlformats.org/drawingml/2006/main">
                        <a:graphicData uri="http://schemas.microsoft.com/office/word/2010/wordprocessingShape">
                          <wps:wsp>
                            <wps:cNvCnPr/>
                            <wps:spPr>
                              <a:xfrm flipV="1">
                                <a:off x="0" y="0"/>
                                <a:ext cx="635" cy="213360"/>
                              </a:xfrm>
                              <a:prstGeom prst="straightConnector1">
                                <a:avLst/>
                              </a:prstGeom>
                              <a:ln w="9525">
                                <a:solidFill>
                                  <a:schemeClr val="tx1"/>
                                </a:solidFill>
                                <a:prstDash val="dash"/>
                                <a:headEnd type="triangl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84.45pt;margin-top:2.15pt;height:16.8pt;width:0.05pt;z-index:251697152;mso-width-relative:page;mso-height-relative:page;" filled="f" stroked="t" coordsize="21600,21600" o:gfxdata="UEsDBAoAAAAAAIdO4kAAAAAAAAAAAAAAAAAEAAAAZHJzL1BLAwQUAAAACACHTuJAmc10qdcAAAAI&#10;AQAADwAAAGRycy9kb3ducmV2LnhtbE2PwU7DMBBE70j8g7VI3KhTgtImjdNDURFC4kDgA9x4SaLG&#10;6yi2m+bvWU5w29GMZt+U+6sdxAUn3ztSsF4lIJAaZ3pqFXx9Hh+2IHzQZPTgCBUs6GFf3d6UujBu&#10;pg+81KEVXEK+0Aq6EMZCSt90aLVfuRGJvW83WR1YTq00k5653A7yMUkyaXVP/KHTIx46bM51tApm&#10;M79mL++H56Or3zYxxqUluyh1f7dOdiACXsNfGH7xGR0qZjq5SMaLQUGabXOOKnhKQbCfZjlvO/Gx&#10;yUFWpfw/oPoBUEsDBBQAAAAIAIdO4kAvjZgI/QEAALcDAAAOAAAAZHJzL2Uyb0RvYy54bWytU8mO&#10;EzEQvSPxD5bvpLNooqGVzhwShguCSCz3ipduS95km3TyE/wAEifgBHOaO1/DzHwGZXfIsNwQfbDK&#10;VV2vql49Ly72RpOdCFE529DJaEyJsMxxZduGvn51+eickpjActDOioYeRKQXy4cPFr2vxdR1TnMR&#10;CILYWPe+oV1Kvq6qyDphII6cFxaD0gUDCa+hrXiAHtGNrqbj8bzqXeA+OCZiRO96CNJlwZdSsPRC&#10;yigS0Q3F3lI5Qzm3+ayWC6jbAL5T7NgG/EMXBpTFoieoNSQgb4P6C8ooFlx0Mo2YM5WTUjFRZsBp&#10;JuM/pnnZgRdlFiQn+hNN8f/Bsue7TSCKN3R6RokFgzu6fX998+7T7dXX7x+v7759yPaXzwTjSFbv&#10;Y405K7sJx1v0m5An38tgiNTKv0EdFC5wOrIvVB9OVIt9Igyd8xmWY+ifTmazedlDNWBkLB9ieiqc&#10;IdloaEwBVNullbMWN+rCgA+7ZzFhF5j4MyEnW3eptC6L1Zb0DX18lmdjgPKSGhKaxuPA0baUgG5R&#10;tyyF0nF0WvGcnXFiaLcrHcgOsnbKlxnAar/9lkuvIXbDfxytQVRGJVS2Vqah56dkqDsB/InlJB08&#10;Up2CAttqMaQkUPo+ZvHBHAtqi3Uz9QPZ2do6fig7KH5UR+nsqOQsv1/vJfv+vS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nNdKnXAAAACAEAAA8AAAAAAAAAAQAgAAAAIgAAAGRycy9kb3ducmV2&#10;LnhtbFBLAQIUABQAAAAIAIdO4kAvjZgI/QEAALcDAAAOAAAAAAAAAAEAIAAAACYBAABkcnMvZTJv&#10;RG9jLnhtbFBLBQYAAAAABgAGAFkBAACVBQAAAAA=&#10;">
                      <v:fill on="f" focussize="0,0"/>
                      <v:stroke color="#000000 [3213]" miterlimit="8" joinstyle="miter" dashstyle="dash" startarrow="block"/>
                      <v:imagedata o:title=""/>
                      <o:lock v:ext="edit" aspectratio="f"/>
                    </v:shape>
                  </w:pict>
                </mc:Fallback>
              </mc:AlternateContent>
            </w:r>
          </w:p>
          <w:p>
            <w:pPr>
              <w:pStyle w:val="10"/>
              <w:spacing w:line="240" w:lineRule="auto"/>
              <w:rPr>
                <w:color w:val="auto"/>
              </w:rPr>
            </w:pPr>
          </w:p>
          <w:p>
            <w:pPr>
              <w:pStyle w:val="10"/>
              <w:spacing w:line="240" w:lineRule="auto"/>
              <w:rPr>
                <w:color w:val="auto"/>
              </w:rPr>
            </w:pPr>
          </w:p>
          <w:p>
            <w:pPr>
              <w:pStyle w:val="10"/>
              <w:spacing w:line="240" w:lineRule="auto"/>
              <w:rPr>
                <w:color w:val="auto"/>
              </w:rPr>
            </w:pPr>
            <w:r>
              <w:rPr>
                <w:color w:val="auto"/>
              </w:rPr>
              <w:t>图</w:t>
            </w:r>
            <w:r>
              <w:rPr>
                <w:rFonts w:hint="eastAsia"/>
                <w:color w:val="auto"/>
                <w:lang w:val="en-US" w:eastAsia="zh-CN"/>
              </w:rPr>
              <w:t>2-</w:t>
            </w:r>
            <w:r>
              <w:rPr>
                <w:rFonts w:hint="eastAsia"/>
                <w:color w:val="auto"/>
              </w:rPr>
              <w:t>2</w:t>
            </w:r>
            <w:r>
              <w:rPr>
                <w:rFonts w:hint="eastAsia"/>
                <w:color w:val="auto"/>
                <w:lang w:val="en-US" w:eastAsia="zh-CN"/>
              </w:rPr>
              <w:t xml:space="preserve"> </w:t>
            </w:r>
            <w:r>
              <w:rPr>
                <w:rFonts w:hint="eastAsia"/>
                <w:color w:val="auto"/>
              </w:rPr>
              <w:t xml:space="preserve"> 家具工艺流程及产污环节示意图</w:t>
            </w:r>
          </w:p>
          <w:p>
            <w:pPr>
              <w:spacing w:line="360" w:lineRule="auto"/>
              <w:ind w:firstLine="480"/>
              <w:rPr>
                <w:color w:val="auto"/>
              </w:rPr>
            </w:pPr>
            <w:r>
              <w:rPr>
                <w:color w:val="auto"/>
              </w:rPr>
              <w:t>开料：使用电子锯、推台锯</w:t>
            </w:r>
            <w:r>
              <w:rPr>
                <w:rFonts w:hint="eastAsia"/>
                <w:color w:val="auto"/>
                <w:lang w:val="en-US" w:eastAsia="zh-CN"/>
              </w:rPr>
              <w:t>等</w:t>
            </w:r>
            <w:r>
              <w:rPr>
                <w:color w:val="auto"/>
              </w:rPr>
              <w:t>开料设备对</w:t>
            </w:r>
            <w:r>
              <w:rPr>
                <w:rFonts w:hint="eastAsia"/>
                <w:color w:val="auto"/>
                <w:lang w:val="en-US" w:eastAsia="zh-CN"/>
              </w:rPr>
              <w:t>板材</w:t>
            </w:r>
            <w:r>
              <w:rPr>
                <w:color w:val="auto"/>
              </w:rPr>
              <w:t>进行开料处理，即按照</w:t>
            </w:r>
            <w:r>
              <w:rPr>
                <w:rFonts w:hint="eastAsia"/>
                <w:color w:val="auto"/>
                <w:lang w:val="en-US" w:eastAsia="zh-CN"/>
              </w:rPr>
              <w:t>客户</w:t>
            </w:r>
            <w:r>
              <w:rPr>
                <w:color w:val="auto"/>
              </w:rPr>
              <w:t>要求尺寸来对物料进行处理，该过程会产生少量粉尘</w:t>
            </w:r>
            <w:r>
              <w:rPr>
                <w:rFonts w:hint="eastAsia"/>
                <w:color w:val="auto"/>
                <w:lang w:eastAsia="zh-CN"/>
              </w:rPr>
              <w:t>、</w:t>
            </w:r>
            <w:r>
              <w:rPr>
                <w:rFonts w:hint="eastAsia"/>
                <w:color w:val="auto"/>
                <w:lang w:val="en-US" w:eastAsia="zh-CN"/>
              </w:rPr>
              <w:t>噪声及废边角料</w:t>
            </w:r>
            <w:r>
              <w:rPr>
                <w:color w:val="auto"/>
              </w:rPr>
              <w:t>。</w:t>
            </w:r>
          </w:p>
          <w:p>
            <w:pPr>
              <w:spacing w:line="360" w:lineRule="auto"/>
              <w:ind w:firstLine="480"/>
              <w:rPr>
                <w:color w:val="auto"/>
              </w:rPr>
            </w:pPr>
            <w:r>
              <w:rPr>
                <w:rFonts w:hint="eastAsia"/>
                <w:color w:val="auto"/>
                <w:lang w:val="en-US" w:eastAsia="zh-CN"/>
              </w:rPr>
              <w:t>封边</w:t>
            </w:r>
            <w:r>
              <w:rPr>
                <w:color w:val="auto"/>
              </w:rPr>
              <w:t>：开好料的</w:t>
            </w:r>
            <w:r>
              <w:rPr>
                <w:rFonts w:hint="eastAsia"/>
                <w:color w:val="auto"/>
                <w:lang w:val="en-US" w:eastAsia="zh-CN"/>
              </w:rPr>
              <w:t>板材侧边采用封边机进行封边，</w:t>
            </w:r>
            <w:r>
              <w:rPr>
                <w:rFonts w:hint="eastAsia"/>
                <w:b/>
                <w:bCs/>
                <w:color w:val="auto"/>
                <w:u w:val="single"/>
                <w:lang w:val="en-US" w:eastAsia="zh-CN"/>
              </w:rPr>
              <w:t>封边采用</w:t>
            </w:r>
            <w:r>
              <w:rPr>
                <w:rFonts w:hint="eastAsia"/>
                <w:b/>
                <w:bCs/>
                <w:color w:val="auto"/>
                <w:highlight w:val="none"/>
                <w:u w:val="single"/>
                <w:lang w:val="en-US" w:eastAsia="zh-CN"/>
              </w:rPr>
              <w:t>封边胶（EVA热熔胶）</w:t>
            </w:r>
            <w:r>
              <w:rPr>
                <w:rFonts w:hint="eastAsia"/>
                <w:color w:val="auto"/>
                <w:lang w:val="en-US" w:eastAsia="zh-CN"/>
              </w:rPr>
              <w:t>，此过程中</w:t>
            </w:r>
            <w:r>
              <w:rPr>
                <w:color w:val="auto"/>
              </w:rPr>
              <w:t>产生非甲烷总烃</w:t>
            </w:r>
            <w:r>
              <w:rPr>
                <w:rFonts w:hint="eastAsia"/>
                <w:color w:val="auto"/>
                <w:lang w:eastAsia="zh-CN"/>
              </w:rPr>
              <w:t>、</w:t>
            </w:r>
            <w:r>
              <w:rPr>
                <w:rFonts w:hint="eastAsia"/>
                <w:color w:val="auto"/>
                <w:lang w:val="en-US" w:eastAsia="zh-CN"/>
              </w:rPr>
              <w:t>噪声</w:t>
            </w:r>
            <w:r>
              <w:rPr>
                <w:color w:val="auto"/>
              </w:rPr>
              <w:t>。</w:t>
            </w:r>
          </w:p>
          <w:p>
            <w:pPr>
              <w:spacing w:line="360" w:lineRule="auto"/>
              <w:ind w:firstLine="480"/>
              <w:rPr>
                <w:color w:val="auto"/>
              </w:rPr>
            </w:pPr>
            <w:r>
              <w:rPr>
                <w:rFonts w:hint="eastAsia"/>
                <w:color w:val="auto"/>
                <w:lang w:val="en-US" w:eastAsia="zh-CN"/>
              </w:rPr>
              <w:t>打孔</w:t>
            </w:r>
            <w:r>
              <w:rPr>
                <w:color w:val="auto"/>
              </w:rPr>
              <w:t>：根据部件形状要求进行</w:t>
            </w:r>
            <w:r>
              <w:rPr>
                <w:rFonts w:hint="eastAsia"/>
                <w:color w:val="auto"/>
                <w:lang w:val="en-US" w:eastAsia="zh-CN"/>
              </w:rPr>
              <w:t>打</w:t>
            </w:r>
            <w:r>
              <w:rPr>
                <w:color w:val="auto"/>
              </w:rPr>
              <w:t>孔</w:t>
            </w:r>
            <w:r>
              <w:rPr>
                <w:rFonts w:hint="eastAsia"/>
                <w:color w:val="auto"/>
                <w:lang w:eastAsia="zh-CN"/>
              </w:rPr>
              <w:t>，</w:t>
            </w:r>
            <w:r>
              <w:rPr>
                <w:rFonts w:hint="eastAsia"/>
                <w:color w:val="auto"/>
                <w:lang w:val="en-US" w:eastAsia="zh-CN"/>
              </w:rPr>
              <w:t>做到无崩口、无毛刺现象</w:t>
            </w:r>
            <w:r>
              <w:rPr>
                <w:color w:val="auto"/>
              </w:rPr>
              <w:t>，该过程会产生少量粉尘。</w:t>
            </w:r>
          </w:p>
          <w:p>
            <w:pPr>
              <w:spacing w:line="360" w:lineRule="auto"/>
              <w:ind w:firstLine="480"/>
              <w:rPr>
                <w:color w:val="auto"/>
              </w:rPr>
            </w:pPr>
            <w:r>
              <w:rPr>
                <w:rFonts w:hint="eastAsia"/>
                <w:color w:val="auto"/>
                <w:lang w:val="en-US" w:eastAsia="zh-CN"/>
              </w:rPr>
              <w:t>组装</w:t>
            </w:r>
            <w:r>
              <w:rPr>
                <w:color w:val="auto"/>
              </w:rPr>
              <w:t>：</w:t>
            </w:r>
            <w:r>
              <w:rPr>
                <w:rFonts w:hint="eastAsia"/>
                <w:color w:val="auto"/>
                <w:lang w:val="en-US" w:eastAsia="zh-CN"/>
              </w:rPr>
              <w:t>使用铰链、螺丝、合页等五金件对半成品家具进行组装成型，该过程无需使用胶类进行组装</w:t>
            </w:r>
            <w:r>
              <w:rPr>
                <w:color w:val="auto"/>
              </w:rPr>
              <w:t>。</w:t>
            </w:r>
          </w:p>
          <w:p>
            <w:pPr>
              <w:spacing w:line="360" w:lineRule="auto"/>
              <w:ind w:firstLine="480"/>
              <w:rPr>
                <w:color w:val="auto"/>
              </w:rPr>
            </w:pPr>
            <w:r>
              <w:rPr>
                <w:rFonts w:hint="eastAsia"/>
                <w:color w:val="auto"/>
                <w:lang w:val="en-US" w:eastAsia="zh-CN"/>
              </w:rPr>
              <w:t>精修</w:t>
            </w:r>
            <w:r>
              <w:rPr>
                <w:color w:val="auto"/>
              </w:rPr>
              <w:t>：</w:t>
            </w:r>
            <w:r>
              <w:rPr>
                <w:rFonts w:hint="eastAsia"/>
                <w:color w:val="auto"/>
                <w:lang w:val="en-US" w:eastAsia="zh-CN"/>
              </w:rPr>
              <w:t>组装好的家具进行精修，去毛刺等</w:t>
            </w:r>
            <w:r>
              <w:rPr>
                <w:color w:val="auto"/>
              </w:rPr>
              <w:t>。</w:t>
            </w:r>
          </w:p>
          <w:p>
            <w:pPr>
              <w:spacing w:line="360" w:lineRule="auto"/>
              <w:ind w:firstLine="480"/>
              <w:rPr>
                <w:color w:val="auto"/>
              </w:rPr>
            </w:pPr>
            <w:r>
              <w:rPr>
                <w:rFonts w:hint="eastAsia"/>
                <w:color w:val="auto"/>
                <w:lang w:val="en-US" w:eastAsia="zh-CN"/>
              </w:rPr>
              <w:t>打包</w:t>
            </w:r>
            <w:r>
              <w:rPr>
                <w:color w:val="auto"/>
              </w:rPr>
              <w:t>：经</w:t>
            </w:r>
            <w:r>
              <w:rPr>
                <w:rFonts w:hint="eastAsia"/>
                <w:color w:val="auto"/>
                <w:lang w:val="en-US" w:eastAsia="zh-CN"/>
              </w:rPr>
              <w:t>质检</w:t>
            </w:r>
            <w:r>
              <w:rPr>
                <w:color w:val="auto"/>
              </w:rPr>
              <w:t>检验</w:t>
            </w:r>
            <w:r>
              <w:rPr>
                <w:rFonts w:hint="eastAsia"/>
                <w:color w:val="auto"/>
                <w:lang w:val="en-US" w:eastAsia="zh-CN"/>
              </w:rPr>
              <w:t>合格</w:t>
            </w:r>
            <w:r>
              <w:rPr>
                <w:color w:val="auto"/>
              </w:rPr>
              <w:t>后，成品</w:t>
            </w:r>
            <w:r>
              <w:rPr>
                <w:rFonts w:hint="eastAsia"/>
                <w:color w:val="auto"/>
                <w:lang w:val="en-US" w:eastAsia="zh-CN"/>
              </w:rPr>
              <w:t>打包待售</w:t>
            </w:r>
            <w:r>
              <w:rPr>
                <w:color w:val="auto"/>
              </w:rPr>
              <w:t>。</w:t>
            </w:r>
          </w:p>
          <w:p>
            <w:pPr>
              <w:pStyle w:val="4"/>
              <w:numPr>
                <w:ilvl w:val="0"/>
                <w:numId w:val="0"/>
              </w:numPr>
              <w:spacing w:line="360" w:lineRule="auto"/>
              <w:outlineLvl w:val="2"/>
              <w:rPr>
                <w:color w:val="auto"/>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color w:val="auto"/>
                <w:sz w:val="24"/>
                <w:szCs w:val="24"/>
              </w:rPr>
              <w:t>软包沙发工艺流程图及产污环节分析</w:t>
            </w:r>
          </w:p>
          <w:p>
            <w:pPr>
              <w:pStyle w:val="11"/>
              <w:ind w:firstLine="422"/>
              <w:jc w:val="center"/>
              <w:rPr>
                <w:b/>
                <w:bCs/>
                <w:color w:val="auto"/>
                <w:szCs w:val="24"/>
              </w:rPr>
            </w:pPr>
            <w:r>
              <w:rPr>
                <w:color w:val="auto"/>
                <w:sz w:val="21"/>
              </w:rPr>
              <mc:AlternateContent>
                <mc:Choice Requires="wps">
                  <w:drawing>
                    <wp:anchor distT="0" distB="0" distL="114300" distR="114300" simplePos="0" relativeHeight="251689984" behindDoc="0" locked="0" layoutInCell="1" allowOverlap="1">
                      <wp:simplePos x="0" y="0"/>
                      <wp:positionH relativeFrom="column">
                        <wp:posOffset>1100455</wp:posOffset>
                      </wp:positionH>
                      <wp:positionV relativeFrom="paragraph">
                        <wp:posOffset>53340</wp:posOffset>
                      </wp:positionV>
                      <wp:extent cx="566420" cy="299720"/>
                      <wp:effectExtent l="0" t="0" r="0" b="0"/>
                      <wp:wrapNone/>
                      <wp:docPr id="48" name="文本框 48"/>
                      <wp:cNvGraphicFramePr/>
                      <a:graphic xmlns:a="http://schemas.openxmlformats.org/drawingml/2006/main">
                        <a:graphicData uri="http://schemas.microsoft.com/office/word/2010/wordprocessingShape">
                          <wps:wsp>
                            <wps:cNvSpPr txBox="1"/>
                            <wps:spPr>
                              <a:xfrm>
                                <a:off x="2550795" y="6486525"/>
                                <a:ext cx="566420"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65pt;margin-top:4.2pt;height:23.6pt;width:44.6pt;z-index:251689984;mso-width-relative:page;mso-height-relative:page;" filled="f" stroked="f" coordsize="21600,21600" o:gfxdata="UEsDBAoAAAAAAIdO4kAAAAAAAAAAAAAAAAAEAAAAZHJzL1BLAwQUAAAACACHTuJAh0JZAtkAAAAI&#10;AQAADwAAAGRycy9kb3ducmV2LnhtbE2PzU7DMBCE70i8g7VI3KjTlIQojVOhSBUSgkNLL9yceJtE&#10;jdchdn/g6VlO5Tia0cw3xepiB3HCyfeOFMxnEQikxpmeWgW7j/VDBsIHTUYPjlDBN3pYlbc3hc6N&#10;O9MGT9vQCi4hn2sFXQhjLqVvOrTaz9yIxN7eTVYHllMrzaTPXG4HGUdRKq3uiRc6PWLVYXPYHq2C&#10;12r9rjd1bLOfoXp52z+PX7vPRKn7u3m0BBHwEq5h+MNndCiZqXZHMl4MrJ8WC44qyB5BsB+ncQKi&#10;VpAkKciykP8PlL9QSwMEFAAAAAgAh07iQNrJRkcrAgAAJQQAAA4AAABkcnMvZTJvRG9jLnhtbK1T&#10;zY7TMBC+I/EOlu80bUi626rpquyqCGnFrlQQZ9exm0ixx9huk/IA8AZ74sKd5+pzMHbabgWcEBdn&#10;7PkyP998M7vpVEN2wroadEFHgyElQnMoa70p6McPy1fXlDjPdMka0KKge+Hozfzli1lrpiKFCppS&#10;WIJBtJu2pqCV92aaJI5XQjE3ACM0OiVYxTxe7SYpLWsxumqSdDgcJy3Y0ljgwjl8veuddB7jSym4&#10;f5DSCU+agmJtPp42nutwJvMZm24sM1XNj2Wwf6hCsVpj0nOoO+YZ2dr6j1Cq5hYcSD/goBKQsuYi&#10;9oDdjIa/dbOqmBGxFyTHmTNN7v+F5e93j5bUZUEznJRmCmd0ePp2+P7z8OMrwTckqDVuiriVQaTv&#10;3kCHgz69O3wMfXfSqvDFjgj60zwfXk1ySvYFHWfX4zzNe6pF5wlHQD4eZykOhCMgnUyu0MZMyXMg&#10;Y51/K0CRYBTU4iQjwWx373wPPUFCXg3LumniNBtNWsz6Oh/GH84eDN5ozBHa6csOlu/W3bHHNZR7&#10;bNFCrxJn+LLG5PfM+UdmURZYL0rdP+AhG8AkcLQoqcB++dt7wOO00EtJizIrqPu8ZVZQ0rzTOMfJ&#10;KMuCLuMlywMPxF561pcevVW3gEoe4VIZHs2A983JlBbUJ9yIRciKLqY55i6oP5m3vhc/bhQXi0UE&#10;oRIN8/d6ZXgI3dO52HqQdWQ60NRzc2QPtRhnddybIPbLe0Q9b/f8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dCWQLZAAAACAEAAA8AAAAAAAAAAQAgAAAAIgAAAGRycy9kb3ducmV2LnhtbFBLAQIU&#10;ABQAAAAIAIdO4kDayUZHKwIAACUEAAAOAAAAAAAAAAEAIAAAACgBAABkcnMvZTJvRG9jLnhtbFBL&#10;BQYAAAAABgAGAFkBAADFBQ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噪声</w:t>
                            </w:r>
                          </w:p>
                        </w:txbxContent>
                      </v:textbox>
                    </v:shape>
                  </w:pict>
                </mc:Fallback>
              </mc:AlternateContent>
            </w: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-76835</wp:posOffset>
                      </wp:positionH>
                      <wp:positionV relativeFrom="paragraph">
                        <wp:posOffset>41910</wp:posOffset>
                      </wp:positionV>
                      <wp:extent cx="932180" cy="299720"/>
                      <wp:effectExtent l="0" t="0" r="0" b="0"/>
                      <wp:wrapNone/>
                      <wp:docPr id="38" name="文本框 38"/>
                      <wp:cNvGraphicFramePr/>
                      <a:graphic xmlns:a="http://schemas.openxmlformats.org/drawingml/2006/main">
                        <a:graphicData uri="http://schemas.microsoft.com/office/word/2010/wordprocessingShape">
                          <wps:wsp>
                            <wps:cNvSpPr txBox="1"/>
                            <wps:spPr>
                              <a:xfrm>
                                <a:off x="1310005" y="6483350"/>
                                <a:ext cx="932180"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粉尘 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pt;margin-top:3.3pt;height:23.6pt;width:73.4pt;z-index:251681792;mso-width-relative:page;mso-height-relative:page;" filled="f" stroked="f" coordsize="21600,21600" o:gfxdata="UEsDBAoAAAAAAIdO4kAAAAAAAAAAAAAAAAAEAAAAZHJzL1BLAwQUAAAACACHTuJArSOiBdoAAAAI&#10;AQAADwAAAGRycy9kb3ducmV2LnhtbE2PzU7DMBCE70i8g7VI3FonKQ1RyKZCkSokBIeWXrg58TaJ&#10;iNchdn/g6XFP5Tia0cw3xepsBnGkyfWWEeJ5BIK4sbrnFmH3sZ5lIJxXrNVgmRB+yMGqvL0pVK7t&#10;iTd03PpWhBJ2uULovB9zKV3TkVFubkfi4O3tZJQPcmqlntQplJtBJlGUSqN6DgudGqnqqPnaHgzC&#10;a7V+V5s6MdnvUL287Z/H793nEvH+Lo6eQHg6+2sYLvgBHcrAVNsDaycGhFmcxCGKkKYgLv7i4RFE&#10;jbBcZCDLQv4/UP4BUEsDBBQAAAAIAIdO4kBCGPX/KQIAACUEAAAOAAAAZHJzL2Uyb0RvYy54bWyt&#10;U82O0zAQviPxDpbvNEl/lrZquiq7KkJasSsVxNl17CaS4zG226Q8ALwBJy7cea4+B2Mn3S0/J8TF&#10;GXu+zM833yyu21qRg7CuAp3TbJBSIjSHotK7nL5/t34xpcR5pgumQIucHoWj18vnzxaNmYshlKAK&#10;YQkG0W7emJyW3pt5kjheipq5ARih0SnB1szj1e6SwrIGo9cqGabpVdKALYwFLpzD19vOSZcxvpSC&#10;+3spnfBE5RRr8/G08dyGM1ku2HxnmSkr3pfB/qGKmlUakz6GumWekb2t/ghVV9yCA+kHHOoEpKy4&#10;iD1gN1n6WzebkhkRe0FynHmkyf2/sPzt4cGSqsjpCCelWY0zOn39cvr24/T9M8E3JKgxbo64jUGk&#10;b19Bi4M+vzt8DH230tbhix2R4B9laZpOKDnm9Go8HY0mPdWi9YQjYDYaZlMcCEfAcDZ7OYz+5CmQ&#10;sc6/FlCTYOTU4iQjwexw5zwWhdAzJOTVsK6UitNUmjSYNaT8xYN/KI0/hna6soPl223b97iF4ogt&#10;WuhU4gxfV5j8jjn/wCzKAutFqft7PKQCTAK9RUkJ9tPf3gMep4VeShqUWU7dxz2zghL1RuMcZ9l4&#10;HHQZL+NJ4IHYS8/20qP39Q2gkjNcKsOjGfBenU1pof6AG7EKWdHFNMfcOfVn88Z34seN4mK1iiBU&#10;omH+Tm8MD6E70lZ7D7KKTAeaOm569lCLcQD93gSxX94j6mm7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SOiBdoAAAAIAQAADwAAAAAAAAABACAAAAAiAAAAZHJzL2Rvd25yZXYueG1sUEsBAhQA&#10;FAAAAAgAh07iQEIY9f8pAgAAJQQAAA4AAAAAAAAAAQAgAAAAKQEAAGRycy9lMm9Eb2MueG1sUEsF&#10;BgAAAAAGAAYAWQEAAMQFA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粉尘 噪声</w:t>
                            </w:r>
                          </w:p>
                        </w:txbxContent>
                      </v:textbox>
                    </v:shape>
                  </w:pict>
                </mc:Fallback>
              </mc:AlternateContent>
            </w:r>
            <w:r>
              <w:rPr>
                <w:color w:val="auto"/>
                <w:sz w:val="21"/>
              </w:rPr>
              <mc:AlternateContent>
                <mc:Choice Requires="wps">
                  <w:drawing>
                    <wp:anchor distT="0" distB="0" distL="114300" distR="114300" simplePos="0" relativeHeight="251684864" behindDoc="0" locked="0" layoutInCell="1" allowOverlap="1">
                      <wp:simplePos x="0" y="0"/>
                      <wp:positionH relativeFrom="column">
                        <wp:posOffset>4098290</wp:posOffset>
                      </wp:positionH>
                      <wp:positionV relativeFrom="paragraph">
                        <wp:posOffset>59055</wp:posOffset>
                      </wp:positionV>
                      <wp:extent cx="522605" cy="299720"/>
                      <wp:effectExtent l="0" t="0" r="0" b="0"/>
                      <wp:wrapNone/>
                      <wp:docPr id="41" name="文本框 41"/>
                      <wp:cNvGraphicFramePr/>
                      <a:graphic xmlns:a="http://schemas.openxmlformats.org/drawingml/2006/main">
                        <a:graphicData uri="http://schemas.microsoft.com/office/word/2010/wordprocessingShape">
                          <wps:wsp>
                            <wps:cNvSpPr txBox="1"/>
                            <wps:spPr>
                              <a:xfrm>
                                <a:off x="4552315" y="6500495"/>
                                <a:ext cx="522605"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7pt;margin-top:4.65pt;height:23.6pt;width:41.15pt;z-index:251684864;mso-width-relative:page;mso-height-relative:page;" filled="f" stroked="f" coordsize="21600,21600" o:gfxdata="UEsDBAoAAAAAAIdO4kAAAAAAAAAAAAAAAAAEAAAAZHJzL1BLAwQUAAAACACHTuJAQWIt+9oAAAAI&#10;AQAADwAAAGRycy9kb3ducmV2LnhtbE2PzU7DMBCE70i8g7VI3KjT0CQlZFOhSBUSooeWXrht4m0S&#10;Edshdn/g6TEnOI5mNPNNsbroQZx4cr01CPNZBIJNY1VvWoT92/puCcJ5MooGaxjhix2syuurgnJl&#10;z2bLp51vRSgxLieEzvsxl9I1HWtyMzuyCd7BTpp8kFMr1UTnUK4HGUdRKjX1Jix0NHLVcfOxO2qE&#10;l2q9oW0d6+X3UD2/Hp7Gz/17gnh7M48eQXi++L8w/OIHdCgDU22PRjkxIKSLZBGiCA/3IIKfxVkG&#10;okZI0gRkWcj/B8ofUEsDBBQAAAAIAIdO4kBtrL6MKwIAACUEAAAOAAAAZHJzL2Uyb0RvYy54bWyt&#10;U82O0zAQviPxDpbvNGm2KbRquiq7KkKq2JUK4uw6ThPJ9hjbbVIeAN6AExfuPFefg7HTdivghLg4&#10;k5nP8/PN59ltpyTZC+sa0AUdDlJKhOZQNnpb0A/vly9eUeI80yWToEVBD8LR2/nzZ7PWTEUGNchS&#10;WIJJtJu2pqC192aaJI7XQjE3ACM0Biuwinn8tduktKzF7EomWZqOkxZsaSxw4Rx67/sgncf8VSW4&#10;f6gqJzyRBcXefDxtPDfhTOYzNt1aZuqGn9pg/9CFYo3GopdU98wzsrPNH6lUwy04qPyAg0qgqhou&#10;4gw4zTD9bZp1zYyIsyA5zlxocv8vLX+3f7SkKQs6GlKimcIdHb99PX7/efzxhaAPCWqNmyJubRDp&#10;u9fQ4aLPfofOMHdXWRW+OBHB+CjPs5thTsmhoOM8TUeTvKdadJ5wBORZNk4xzhGQTSYvs7iK5CmR&#10;sc6/EaBIMApqcZORYLZfOY9NIfQMCXU1LBsp4zalJi1WvcnTeOESwRtS48UwTt92sHy36U4zbqA8&#10;4IgWepU4w5cNFl8x5x+ZRVmggFDq/gGPSgIWgZNFSQ3289/8AY/bwiglLcqsoO7TjllBiXyrcY+T&#10;4WgUdBl/RnnggdjryOY6onfqDlDJuCrsLpoB7+XZrCyoj/giFqEqhpjmWLug/mze+V78+KK4WCwi&#10;CJVomF/pteEhdU/nYuehaiLTgaaemxN7qMW4gNO7CWK//o+op9c9/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Yi372gAAAAgBAAAPAAAAAAAAAAEAIAAAACIAAABkcnMvZG93bnJldi54bWxQSwEC&#10;FAAUAAAACACHTuJAbay+jCsCAAAlBAAADgAAAAAAAAABACAAAAApAQAAZHJzL2Uyb0RvYy54bWxQ&#10;SwUGAAAAAAYABgBZAQAAxgU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噪声</w:t>
                            </w:r>
                          </w:p>
                        </w:txbxContent>
                      </v:textbox>
                    </v:shape>
                  </w:pict>
                </mc:Fallback>
              </mc:AlternateContent>
            </w:r>
            <w:r>
              <w:rPr>
                <w:color w:val="auto"/>
                <w:sz w:val="21"/>
              </w:rPr>
              <mc:AlternateContent>
                <mc:Choice Requires="wps">
                  <w:drawing>
                    <wp:anchor distT="0" distB="0" distL="114300" distR="114300" simplePos="0" relativeHeight="251686912" behindDoc="0" locked="0" layoutInCell="1" allowOverlap="1">
                      <wp:simplePos x="0" y="0"/>
                      <wp:positionH relativeFrom="column">
                        <wp:posOffset>2823210</wp:posOffset>
                      </wp:positionH>
                      <wp:positionV relativeFrom="paragraph">
                        <wp:posOffset>41275</wp:posOffset>
                      </wp:positionV>
                      <wp:extent cx="1290955" cy="299720"/>
                      <wp:effectExtent l="0" t="0" r="0" b="0"/>
                      <wp:wrapNone/>
                      <wp:docPr id="44" name="文本框 44"/>
                      <wp:cNvGraphicFramePr/>
                      <a:graphic xmlns:a="http://schemas.openxmlformats.org/drawingml/2006/main">
                        <a:graphicData uri="http://schemas.microsoft.com/office/word/2010/wordprocessingShape">
                          <wps:wsp>
                            <wps:cNvSpPr txBox="1"/>
                            <wps:spPr>
                              <a:xfrm>
                                <a:off x="3277235" y="6482715"/>
                                <a:ext cx="1290955"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有机废气 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3pt;margin-top:3.25pt;height:23.6pt;width:101.65pt;z-index:251686912;mso-width-relative:page;mso-height-relative:page;" filled="f" stroked="f" coordsize="21600,21600" o:gfxdata="UEsDBAoAAAAAAIdO4kAAAAAAAAAAAAAAAAAEAAAAZHJzL1BLAwQUAAAACACHTuJAnN0BDdsAAAAI&#10;AQAADwAAAGRycy9kb3ducmV2LnhtbE2PzU7DMBCE70i8g7VI3KjTkqRtmk2FIlVIiB5aeuG2ibdJ&#10;RGyH2P2Bp8ec4Dia0cw3+fqqe3Hm0XXWIEwnEQg2tVWdaRAOb5uHBQjnySjqrWGEL3awLm5vcsqU&#10;vZgdn/e+EaHEuIwQWu+HTEpXt6zJTezAJnhHO2ryQY6NVCNdQrnu5SyKUqmpM2GhpYHLluuP/Ukj&#10;vJSbLe2qmV589+Xz6/Fp+Dy8J4j3d9NoBcLz1f+F4Rc/oEMRmCp7MsqJHiGO4zREEdIERPDTeL4E&#10;USEkj3OQRS7/Hyh+AFBLAwQUAAAACACHTuJAGiAa1i0CAAAmBAAADgAAAGRycy9lMm9Eb2MueG1s&#10;rVPNjtMwEL4j8Q6W7zRp2m63VdNV2VURUsWuVBBn17GbSLHH2G6T8gDwBpy4cOe5+hyMnbZbASfE&#10;xZl4Ps/PN9/M7lpVk72wrgKd034vpURoDkWltzn98H756pYS55kuWA1a5PQgHL2bv3wxa8xUZFBC&#10;XQhLMIh208bktPTeTJPE8VIo5npghEanBKuYx1+7TQrLGoyu6iRL05ukAVsYC1w4h7cPnZPOY3wp&#10;BfePUjrhSZ1TrM3H08ZzE85kPmPTrWWmrPipDPYPVShWaUx6CfXAPCM7W/0RSlXcggPpexxUAlJW&#10;XMQesJt++ls365IZEXtBcpy50OT+X1j+bv9kSVXkdDikRDOFMzp++3r8/vP44wvBOySoMW6KuLVB&#10;pG9fQ4uDPt87vAx9t9Kq8MWOCPoH2XicDUaUHHJ6M7zNxv1RR7VoPeEhQDZJJyMEcERkk8k4i7NI&#10;niMZ6/wbAYoEI6cWRxkZZvuV81gVQs+QkFjDsqrrOM5akwbTDkZpfHDx4Ita48PQT1d3sHy7aU9N&#10;bqA4YI8WOpk4w5cVJl8x55+YRV2gglDr/hEPWQMmgZNFSQn289/uAx7HhV5KGtRZTt2nHbOCkvqt&#10;xkFO+sNhEGb8GY4CD8ReezbXHr1T94BS7uNWGR7NgPf12ZQW1EdciUXIii6mOebOqT+b975TP64U&#10;F4tFBKEUDfMrvTY8hO7oXOw8yCoyHWjquDmxh2KMAzgtTlD79X9EPa/3/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c3QEN2wAAAAgBAAAPAAAAAAAAAAEAIAAAACIAAABkcnMvZG93bnJldi54bWxQ&#10;SwECFAAUAAAACACHTuJAGiAa1i0CAAAmBAAADgAAAAAAAAABACAAAAAqAQAAZHJzL2Uyb0RvYy54&#10;bWxQSwUGAAAAAAYABgBZAQAAyQU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有机废气 噪声</w:t>
                            </w:r>
                          </w:p>
                        </w:txbxContent>
                      </v:textbox>
                    </v:shape>
                  </w:pict>
                </mc:Fallback>
              </mc:AlternateContent>
            </w:r>
          </w:p>
          <w:p>
            <w:pPr>
              <w:pStyle w:val="11"/>
              <w:ind w:firstLine="422"/>
              <w:jc w:val="center"/>
              <w:rPr>
                <w:b/>
                <w:bCs/>
                <w:color w:val="auto"/>
                <w:szCs w:val="24"/>
              </w:rPr>
            </w:pPr>
            <w:r>
              <w:rPr>
                <w:color w:val="auto"/>
                <w:sz w:val="24"/>
              </w:rPr>
              <mc:AlternateContent>
                <mc:Choice Requires="wps">
                  <w:drawing>
                    <wp:anchor distT="0" distB="0" distL="114300" distR="114300" simplePos="0" relativeHeight="251688960" behindDoc="0" locked="0" layoutInCell="1" allowOverlap="1">
                      <wp:simplePos x="0" y="0"/>
                      <wp:positionH relativeFrom="column">
                        <wp:posOffset>1278890</wp:posOffset>
                      </wp:positionH>
                      <wp:positionV relativeFrom="paragraph">
                        <wp:posOffset>51435</wp:posOffset>
                      </wp:positionV>
                      <wp:extent cx="635" cy="213360"/>
                      <wp:effectExtent l="37465" t="0" r="38100" b="15240"/>
                      <wp:wrapNone/>
                      <wp:docPr id="47" name="直接箭头连接符 47"/>
                      <wp:cNvGraphicFramePr/>
                      <a:graphic xmlns:a="http://schemas.openxmlformats.org/drawingml/2006/main">
                        <a:graphicData uri="http://schemas.microsoft.com/office/word/2010/wordprocessingShape">
                          <wps:wsp>
                            <wps:cNvCnPr/>
                            <wps:spPr>
                              <a:xfrm flipV="1">
                                <a:off x="2745740" y="6790690"/>
                                <a:ext cx="635" cy="213360"/>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00.7pt;margin-top:4.05pt;height:16.8pt;width:0.05pt;z-index:251688960;mso-width-relative:page;mso-height-relative:page;" filled="f" stroked="t" coordsize="21600,21600" o:gfxdata="UEsDBAoAAAAAAIdO4kAAAAAAAAAAAAAAAAAEAAAAZHJzL1BLAwQUAAAACACHTuJARXggU9MAAAAI&#10;AQAADwAAAGRycy9kb3ducmV2LnhtbE2PzU7DMBCE70i8g7VI3KjjKi1RiFMhUA/coMB9Ey9JRLwO&#10;sfsDT9/lBMfRjGa+qTYnP6oDzXEIbMEsMlDEbXADdxbeXrc3BaiYkB2OgcnCN0XY1JcXFZYuHPmF&#10;DrvUKSnhWKKFPqWp1Dq2PXmMizARi/cRZo9J5NxpN+NRyv2ol1m21h4HloUeJ3roqf3c7b3s0oD5&#10;0/vPIz+b1OD9Vxu368La6yuT3YFKdEp/YfjFF3SohakJe3ZRjRaWmcklaqEwoMQXvQLVWMjNLei6&#10;0v8P1GdQSwMEFAAAAAgAh07iQPpAVXgAAgAAqwMAAA4AAABkcnMvZTJvRG9jLnhtbK1TS44TMRDd&#10;I3EHy3vS+WfSSmcWCcMGwUh89hW33W3JP9kmnVyCCyCxAlYDq9lzGhiOQdkdwm+H6IVVdvm9qnp+&#10;vbo8aEX23AdpTUVHgyEl3DBbS9NU9MXzqwcXlIQIpgZlDa/okQd6ub5/b9W5ko9ta1XNPUESE8rO&#10;VbSN0ZVFEVjLNYSBddxgUlivIeLWN0XtoUN2rYrxcDgvOutr5y3jIeDptk/SdeYXgrP4VIjAI1EV&#10;xd5iXn1ed2kt1isoGw+ulezUBvxDFxqkwaJnqi1EIK+8/ItKS+ZtsCIOmNWFFUIynmfAaUbDP6Z5&#10;1oLjeRYUJ7izTOH/0bIn+2tPZF3R6YISAxrf6O7N7dfX7+8+ffzy7vbb57cpvvlAMI9idS6UiNmY&#10;a3/aBXft0+QH4TURSrqX6IOsBU5HDhUdL6azxRTFP1Z0vlgO58uT7PwQCcML88mMEobZ8Wgymedk&#10;0fMlXudDfMStJimoaIgeZNPGjTUGX9f6vhbsH4eIHSHwByCBjb2SSuVHVoZ0FV3OxqkYoNWEgoih&#10;djh8MA0loBr0MIs+dx+sknVCJ57gm91GebKH5KP8JTWw2m/XUukthLa/V2PUG0zLiC5XUlf04gyG&#10;MoJUD01N4tGh7NFLMI3iJ2JlkD/J3Qucop2tj1n3fI6OyB2c3Jss9+s+o3/+Y+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XggU9MAAAAIAQAADwAAAAAAAAABACAAAAAiAAAAZHJzL2Rvd25yZXYu&#10;eG1sUEsBAhQAFAAAAAgAh07iQPpAVXgAAgAAqwMAAA4AAAAAAAAAAQAgAAAAIgEAAGRycy9lMm9E&#10;b2MueG1sUEsFBgAAAAAGAAYAWQEAAJQFAAAAAA==&#10;">
                      <v:fill on="f" focussize="0,0"/>
                      <v:stroke color="#000000 [3213]" miterlimit="8" joinstyle="miter"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93056" behindDoc="0" locked="0" layoutInCell="1" allowOverlap="1">
                      <wp:simplePos x="0" y="0"/>
                      <wp:positionH relativeFrom="column">
                        <wp:posOffset>908685</wp:posOffset>
                      </wp:positionH>
                      <wp:positionV relativeFrom="paragraph">
                        <wp:posOffset>266065</wp:posOffset>
                      </wp:positionV>
                      <wp:extent cx="657860" cy="317500"/>
                      <wp:effectExtent l="4445" t="4445" r="23495" b="20955"/>
                      <wp:wrapNone/>
                      <wp:docPr id="8" name="文本框 4"/>
                      <wp:cNvGraphicFramePr/>
                      <a:graphic xmlns:a="http://schemas.openxmlformats.org/drawingml/2006/main">
                        <a:graphicData uri="http://schemas.microsoft.com/office/word/2010/wordprocessingShape">
                          <wps:wsp>
                            <wps:cNvSpPr txBox="1"/>
                            <wps:spPr>
                              <a:xfrm>
                                <a:off x="0" y="0"/>
                                <a:ext cx="657860" cy="317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缝合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71.55pt;margin-top:20.95pt;height:25pt;width:51.8pt;z-index:251693056;mso-width-relative:page;mso-height-relative:page;" filled="f" stroked="t" coordsize="21600,21600" o:gfxdata="UEsDBAoAAAAAAIdO4kAAAAAAAAAAAAAAAAAEAAAAZHJzL1BLAwQUAAAACACHTuJACEKvZ9kAAAAJ&#10;AQAADwAAAGRycy9kb3ducmV2LnhtbE2PwU7DMAyG70i8Q2QkbizpKBsrTXdA7ICEkBiIcUwb01Yk&#10;TmmybvD0mBMcf/vT78/l+uidmHCMfSAN2UyBQGqC7anV8PK8ubgGEZMha1wg1PCFEdbV6UlpChsO&#10;9ITTNrWCSygWRkOX0lBIGZsOvYmzMCDx7j2M3iSOYyvtaA5c7p2cK7WQ3vTEFzoz4G2Hzcd27zU8&#10;vO4+7zaPb2qHteuvJrfs7r9rrc/PMnUDIuEx/cHwq8/qULFTHfZko3Cc88uMUQ15tgLBwDxfLEHU&#10;GlY8kFUp/39Q/QBQSwMEFAAAAAgAh07iQFPIDFw0AgAAPwQAAA4AAABkcnMvZTJvRG9jLnhtbK1T&#10;zW4TMRC+I/EOlu90N21+StRNFVoFIUW0UkGcHa+3u8LrMbaT3fIA8AacuHDnufIcfHaSNgJOiIt3&#10;/nZmvm9mLi77VrONcr4hU/DBSc6ZMpLKxtwX/P27xYtzznwQphSajCr4g/L8cvb82UVnp+qUatKl&#10;cgxJjJ92tuB1CHaaZV7WqhX+hKwycFbkWhGguvusdKJD9lZnp3k+zjpypXUklfewXu+cfJbyV5WS&#10;4aaqvApMFxy9hfS69K7im80uxPTeCVs3ct+G+IcuWtEYFH1MdS2CYGvX/JGqbaQjT1U4kdRmVFWN&#10;VAkD0Azy39Dc1cKqhAXkePtIk/9/aeXbza1jTVlwDMqIFiPafvu6/f5z++MLG0Z6OuuniLqziAv9&#10;K+ox5oPdwxhR95Vr4xd4GPwg+uGRXNUHJmEcjybnY3gkXGeDyShP5GdPP1vnw2tFLYtCwR1mlygV&#10;m6UPaAShh5BYy9Ci0TrNTxvWocDZKE8/eNJNGZ0xLP5ypR3bCGzASgv5MTaPXEdR0LSBMULdQYpS&#10;6Ff9Hv+KygfAd7TbH2/lokHepfDhVjgsDHDhCMINnkoTmqG9xFlN7vPf7DEec4SXsw4LWHD/aS2c&#10;4ky/MZjwy8FwGDc2KcPR5BSKO/asjj1m3V4REA5wblYmMcYHfRArR+0H3Mo8VoVLGInaBQ8H8Srs&#10;zgK3JtV8noKwo1aEpbmzMqbe0T5fB6qaNJFI046bPXvY0kTu/qLiGRzrKerp7m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hCr2fZAAAACQEAAA8AAAAAAAAAAQAgAAAAIgAAAGRycy9kb3ducmV2&#10;LnhtbFBLAQIUABQAAAAIAIdO4kBTyAxcNAIAAD8EAAAOAAAAAAAAAAEAIAAAACgBAABkcnMvZTJv&#10;RG9jLnhtbFBLBQYAAAAABgAGAFkBAADOBQ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缝合</w:t>
                            </w:r>
                          </w:p>
                        </w:txbxContent>
                      </v:textbox>
                    </v:shape>
                  </w:pict>
                </mc:Fallback>
              </mc:AlternateContent>
            </w:r>
            <w:r>
              <w:rPr>
                <w:color w:val="auto"/>
                <w:sz w:val="24"/>
              </w:rPr>
              <mc:AlternateContent>
                <mc:Choice Requires="wps">
                  <w:drawing>
                    <wp:anchor distT="0" distB="0" distL="114300" distR="114300" simplePos="0" relativeHeight="251671552" behindDoc="0" locked="0" layoutInCell="1" allowOverlap="1">
                      <wp:simplePos x="0" y="0"/>
                      <wp:positionH relativeFrom="column">
                        <wp:posOffset>-29845</wp:posOffset>
                      </wp:positionH>
                      <wp:positionV relativeFrom="paragraph">
                        <wp:posOffset>267970</wp:posOffset>
                      </wp:positionV>
                      <wp:extent cx="657860" cy="317500"/>
                      <wp:effectExtent l="4445" t="4445" r="23495" b="20955"/>
                      <wp:wrapNone/>
                      <wp:docPr id="15" name="文本框 1"/>
                      <wp:cNvGraphicFramePr/>
                      <a:graphic xmlns:a="http://schemas.openxmlformats.org/drawingml/2006/main">
                        <a:graphicData uri="http://schemas.microsoft.com/office/word/2010/wordprocessingShape">
                          <wps:wsp>
                            <wps:cNvSpPr txBox="1"/>
                            <wps:spPr>
                              <a:xfrm>
                                <a:off x="1356995" y="7007225"/>
                                <a:ext cx="657860" cy="317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裁板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35pt;margin-top:21.1pt;height:25pt;width:51.8pt;z-index:251671552;mso-width-relative:page;mso-height-relative:page;" filled="f" stroked="t" coordsize="21600,21600" o:gfxdata="UEsDBAoAAAAAAIdO4kAAAAAAAAAAAAAAAAAEAAAAZHJzL1BLAwQUAAAACACHTuJAR9FmTNcAAAAH&#10;AQAADwAAAGRycy9kb3ducmV2LnhtbE2OwU7DMBBE70j8g7VI3Fq7UaFtGqcHRA9ICImCKEcn2cYR&#10;9jrEblr4epYTnEajGc28YnP2Tow4xC6QhtlUgUCqQ9NRq+H1ZTtZgojJUGNcINTwhRE25eVFYfIm&#10;nOgZx11qBY9QzI0Gm1KfSxlri97EaeiRODuEwZvEdmhlM5gTj3snM6VupTcd8YM1Pd5ZrD92R6/h&#10;8W3/eb99eld7rFx3M7qFffiutL6+mqk1iITn9FeGX3xGh5KZqnCkJgqnYTJfcFPDPMtAcL5arkBU&#10;rOxlWcj//OUPUEsDBBQAAAAIAIdO4kDFJBIUQQIAAEwEAAAOAAAAZHJzL2Uyb0RvYy54bWytVMGO&#10;2jAQvVfqP1i+lyRAYEGEFWVFVQl1V6JVz8ZxSFTH49qGhH5A9w966qX3fhff0bEDu6jtqerFzHhe&#10;nmfezDC7bWtJDsLYClRGk15MiVAc8krtMvrh/erVDSXWMZUzCUpk9CgsvZ2/fDFr9FT0oQSZC0OQ&#10;RNlpozNaOqenUWR5KWpme6CFwmABpmYOXbOLcsMaZK9l1I/jUdSAybUBLqzF27suSOeBvygEd/dF&#10;YYUjMqOYmwunCefWn9F8xqY7w3RZ8XMa7B+yqFml8NEnqjvmGNmb6g+quuIGLBSux6GOoCgqLkIN&#10;WE0S/1bNpmRahFpQHKufZLL/j5a/OzwYUuXYu5QSxWrs0enb4+n7z9OPryTx+jTaThG20Qh07Wto&#10;EXu5t3jpy24LU/tfLIj4+CAdTSZIeMzoOI7H/X7aKS1aRzgCRun4ZoT94AgYJOM0Dp2Inom0se6N&#10;gJp4I6MGGxn0ZYe1dZgUQi8Q/66CVSVlaKZUpMEHBmkcPrAgq9wHPcx/spSGHBiOw1Yy/smnhVxX&#10;KPSkwktfdleet1y7bc9abCE/ohQGumGymq8q5F0z6x6YwenBunAj3D0ehQRMBs4WJSWYL3+793hs&#10;KkYpaXAaM2o/75kRlMi3Cts9SYZDP77BGabjPjrmOrK9jqh9vQSsMMHd0zyYHu/kxSwM1B9xcRb+&#10;VQwxxfHtjLqLuXTdjuDicbFYBBAOrGZurTaae+pO9sXeQVGFjniZOm3O6uHIBnHP6+V34toPqOc/&#10;gf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9FmTNcAAAAHAQAADwAAAAAAAAABACAAAAAiAAAA&#10;ZHJzL2Rvd25yZXYueG1sUEsBAhQAFAAAAAgAh07iQMUkEhRBAgAATAQAAA4AAAAAAAAAAQAgAAAA&#10;JgEAAGRycy9lMm9Eb2MueG1sUEsFBgAAAAAGAAYAWQEAANkFA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裁板</w:t>
                            </w:r>
                          </w:p>
                        </w:txbxContent>
                      </v:textbox>
                    </v:shape>
                  </w:pict>
                </mc:Fallback>
              </mc:AlternateContent>
            </w:r>
            <w:r>
              <w:rPr>
                <w:color w:val="auto"/>
                <w:sz w:val="24"/>
              </w:rPr>
              <mc:AlternateContent>
                <mc:Choice Requires="wps">
                  <w:drawing>
                    <wp:anchor distT="0" distB="0" distL="114300" distR="114300" simplePos="0" relativeHeight="251682816" behindDoc="0" locked="0" layoutInCell="1" allowOverlap="1">
                      <wp:simplePos x="0" y="0"/>
                      <wp:positionH relativeFrom="column">
                        <wp:posOffset>459105</wp:posOffset>
                      </wp:positionH>
                      <wp:positionV relativeFrom="paragraph">
                        <wp:posOffset>48260</wp:posOffset>
                      </wp:positionV>
                      <wp:extent cx="635" cy="213360"/>
                      <wp:effectExtent l="37465" t="0" r="38100" b="15240"/>
                      <wp:wrapNone/>
                      <wp:docPr id="40" name="直接箭头连接符 40"/>
                      <wp:cNvGraphicFramePr/>
                      <a:graphic xmlns:a="http://schemas.openxmlformats.org/drawingml/2006/main">
                        <a:graphicData uri="http://schemas.microsoft.com/office/word/2010/wordprocessingShape">
                          <wps:wsp>
                            <wps:cNvCnPr/>
                            <wps:spPr>
                              <a:xfrm flipV="1">
                                <a:off x="1845945" y="6787515"/>
                                <a:ext cx="635" cy="213360"/>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6.15pt;margin-top:3.8pt;height:16.8pt;width:0.05pt;z-index:251682816;mso-width-relative:page;mso-height-relative:page;" filled="f" stroked="t" coordsize="21600,21600" o:gfxdata="UEsDBAoAAAAAAIdO4kAAAAAAAAAAAAAAAAAEAAAAZHJzL1BLAwQUAAAACACHTuJAnPBmidMAAAAG&#10;AQAADwAAAGRycy9kb3ducmV2LnhtbE2OzU7DMBCE70i8g7WVuFEnIUqrEKdCoB64QQv3TbwkUeN1&#10;iN0feHqWE5xGoxnNfNXm4kZ1ojkMng2kywQUcevtwJ2Bt/32dg0qRGSLo2cy8EUBNvX1VYWl9Wd+&#10;pdMudkpGOJRooI9xKrUObU8Ow9JPxJJ9+NlhFDt32s54lnE36ixJCu1wYHnocaLHntrD7ujklwbM&#10;n9+/n/gljQ0+fLZhW6yNuVmkyT2oSJf4V4ZffEGHWpgaf2Qb1Ghgld1JU7QAJfEqy0E1BvI0A11X&#10;+j9+/QNQSwMEFAAAAAgAh07iQG4C99z/AQAAqwMAAA4AAABkcnMvZTJvRG9jLnhtbK1TS44TMRDd&#10;I3EHy3vS+U+mlc4sEoYNgkh89hW33W3JP9kmnVyCCyCxAlYDq9lzGhiOQdkdwm+H6IVVdrle1Xt+&#10;vbw6aEX23AdpTUVHgyEl3DBbS9NU9MXz6wcLSkIEU4Oyhlf0yAO9Wt2/t+xcyce2tarmniCICWXn&#10;KtrG6MqiCKzlGsLAOm4wKazXEHHrm6L20CG6VsV4OJwXnfW185bxEPB00yfpKuMLwVl8KkTgkaiK&#10;4mwxrz6vu7QWqyWUjQfXSnYaA/5hCg3SYNMz1AYikFde/gWlJfM2WBEHzOrCCiEZzxyQzWj4B5tn&#10;LTieuaA4wZ1lCv8Plj3Zbz2RdUWnKI8BjW909+b26+v3d58+fnl3++3z2xTffCCYR7E6F0qsWZut&#10;P+2C2/rE/CC8JkJJ9xJ9kLVAduSAm8V0djmdUXKs6PxicTEbzXrZ+SEShhfmE0wyzI5Hk8k8tyl6&#10;vITrfIiPuNUkBRUN0YNs2ri2xuDrWt/3gv3jEHEiLPxRkIqNvZZK5UdWhnQVvZyNUzNAqwkFEUPt&#10;kHwwDSWgGvQwiz5PH6ySdapOOME3u7XyZA/JR/lLHLDbb9dS6w2Etr9XY9Qz1TKiy5XUFV2ci6GM&#10;INVDU5N4dCh79BJMo/gJWBnET3L3AqdoZ+tj1j2foyPyBCf3Jsv9us/VP/+x1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8GaJ0wAAAAYBAAAPAAAAAAAAAAEAIAAAACIAAABkcnMvZG93bnJldi54&#10;bWxQSwECFAAUAAAACACHTuJAbgL33P8BAACrAwAADgAAAAAAAAABACAAAAAiAQAAZHJzL2Uyb0Rv&#10;Yy54bWxQSwUGAAAAAAYABgBZAQAAkwUAAAAA&#10;">
                      <v:fill on="f" focussize="0,0"/>
                      <v:stroke color="#000000 [3213]" miterlimit="8" joinstyle="miter"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80768" behindDoc="0" locked="0" layoutInCell="1" allowOverlap="1">
                      <wp:simplePos x="0" y="0"/>
                      <wp:positionH relativeFrom="column">
                        <wp:posOffset>118110</wp:posOffset>
                      </wp:positionH>
                      <wp:positionV relativeFrom="paragraph">
                        <wp:posOffset>48260</wp:posOffset>
                      </wp:positionV>
                      <wp:extent cx="635" cy="213360"/>
                      <wp:effectExtent l="37465" t="0" r="38100" b="15240"/>
                      <wp:wrapNone/>
                      <wp:docPr id="39" name="直接箭头连接符 39"/>
                      <wp:cNvGraphicFramePr/>
                      <a:graphic xmlns:a="http://schemas.openxmlformats.org/drawingml/2006/main">
                        <a:graphicData uri="http://schemas.microsoft.com/office/word/2010/wordprocessingShape">
                          <wps:wsp>
                            <wps:cNvCnPr/>
                            <wps:spPr>
                              <a:xfrm flipV="1">
                                <a:off x="1504950" y="6787515"/>
                                <a:ext cx="635" cy="213360"/>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9.3pt;margin-top:3.8pt;height:16.8pt;width:0.05pt;z-index:251680768;mso-width-relative:page;mso-height-relative:page;" filled="f" stroked="t" coordsize="21600,21600" o:gfxdata="UEsDBAoAAAAAAIdO4kAAAAAAAAAAAAAAAAAEAAAAZHJzL1BLAwQUAAAACACHTuJAIEPAytIAAAAG&#10;AQAADwAAAGRycy9kb3ducmV2LnhtbE2OzU7DMBCE70i8g7VI3KiTqkqjNE6FQD1wK6W9b+IliYjX&#10;IXb/eHq2JziNRjOa+cr1xQ3qRFPoPRtIZwko4sbbnlsD+4/NUw4qRGSLg2cycKUA6+r+rsTC+jO/&#10;02kXWyUjHAo00MU4FlqHpiOHYeZHYsk+/eQwip1abSc8y7gb9DxJMu2wZ3nocKSXjpqv3dHJL/W4&#10;eDv8vPI2jTU+fzdhk+XGPD6kyQpUpEv8K8MNX9ChEqbaH9kGNYjPM2kaWIrc4nwJqjawSOegq1L/&#10;x69+AVBLAwQUAAAACACHTuJAXsiHEgECAACrAwAADgAAAGRycy9lMm9Eb2MueG1srVNLjhMxEN0j&#10;cQfLe9L50Jmklc4sEoYNgpH47Ctuu9uSf7JNOrkEF0BiBayA1ew5DQzHoOwO4bdD9MKqcrle1XtV&#10;vbo8aEX23AdpTU0nozEl3DDbSNPW9Pmzq3sLSkIE04Cyhtf0yAO9XN+9s+pdxae2s6rhniCICVXv&#10;atrF6KqiCKzjGsLIOm4wKKzXENH1bdF46BFdq2I6Hs+L3vrGect4CHi7HYJ0nfGF4Cw+ESLwSFRN&#10;sbeYT5/PXTqL9Qqq1oPrJDu1Af/QhQZpsOgZagsRyEsv/4LSknkbrIgjZnVhhZCMZw7IZjL+g83T&#10;DhzPXFCc4M4yhf8Hyx7vrz2RTU1nS0oMaJzR7eubr6/e3X76+OXtzbfPb5L94T3BOIrVu1BhzsZc&#10;+5MX3LVPzA/CayKUdC9wD7IWyI4c0CnH95clin+s6fxicVFOykF2foiE4YP5rKSEYXQ6mc3meSbF&#10;gJdwnQ/xIbeaJKOmIXqQbRc31hicrvVDLdg/ChE7wsQfCSnZ2CupVB6yMqSv6bKcpmKAqyYURDS1&#10;Q/LBtJSAanGHWfS5+2CVbFJ2wgm+3W2UJ3tIe5S/xAGr/fYsld5C6IZ3DVoDUy0jbrmSuqaLczJU&#10;EaR6YBoSjw5lj16CaRU/ASuD+EnuQeBk7WxzzLrne9yI3MFpe9PK/ern7J//2Po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EPAytIAAAAGAQAADwAAAAAAAAABACAAAAAiAAAAZHJzL2Rvd25yZXYu&#10;eG1sUEsBAhQAFAAAAAgAh07iQF7IhxIBAgAAqwMAAA4AAAAAAAAAAQAgAAAAIQEAAGRycy9lMm9E&#10;b2MueG1sUEsFBgAAAAAGAAYAWQEAAJQFAAAAAA==&#10;">
                      <v:fill on="f" focussize="0,0"/>
                      <v:stroke color="#000000 [3213]" miterlimit="8" joinstyle="miter"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77696" behindDoc="0" locked="0" layoutInCell="1" allowOverlap="1">
                      <wp:simplePos x="0" y="0"/>
                      <wp:positionH relativeFrom="column">
                        <wp:posOffset>4150360</wp:posOffset>
                      </wp:positionH>
                      <wp:positionV relativeFrom="paragraph">
                        <wp:posOffset>271780</wp:posOffset>
                      </wp:positionV>
                      <wp:extent cx="657860" cy="317500"/>
                      <wp:effectExtent l="4445" t="4445" r="23495" b="20955"/>
                      <wp:wrapNone/>
                      <wp:docPr id="21" name="文本框 8"/>
                      <wp:cNvGraphicFramePr/>
                      <a:graphic xmlns:a="http://schemas.openxmlformats.org/drawingml/2006/main">
                        <a:graphicData uri="http://schemas.microsoft.com/office/word/2010/wordprocessingShape">
                          <wps:wsp>
                            <wps:cNvSpPr txBox="1"/>
                            <wps:spPr>
                              <a:xfrm>
                                <a:off x="4604385" y="7011035"/>
                                <a:ext cx="657860" cy="317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钉装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326.8pt;margin-top:21.4pt;height:25pt;width:51.8pt;z-index:251677696;mso-width-relative:page;mso-height-relative:page;" filled="f" stroked="t" coordsize="21600,21600" o:gfxdata="UEsDBAoAAAAAAIdO4kAAAAAAAAAAAAAAAAAEAAAAZHJzL1BLAwQUAAAACACHTuJAvVtmHNkAAAAJ&#10;AQAADwAAAGRycy9kb3ducmV2LnhtbE2Py07DMBBF90j8gzVI7KjdQBIIcbpAdIGEkFoQZenEQxzh&#10;R4jdtPD1DCtYzszRnXPr1dFZNuMUh+AlLBcCGPou6MH3El6e1xfXwGJSXisbPEr4wgir5vSkVpUO&#10;B7/BeZt6RiE+VkqCSWmsOI+dQafiIozo6fYeJqcSjVPP9aQOFO4sz4QouFODpw9GjXhnsPvY7p2E&#10;x9fd5/366U3ssLVDPtvSPHy3Up6fLcUtsITH9AfDrz6pQ0NObdh7HZmVUOSXBaESrjKqQECZlxmw&#10;VsINLXhT8/8Nmh9QSwMEFAAAAAgAh07iQBMBHXlBAgAATAQAAA4AAABkcnMvZTJvRG9jLnhtbK1U&#10;zY7TMBC+I/EOlu80Sf+pmq5KV0VIFbvSgji7jt1EOB5ju03KA8AbcOLCnefqczB22t0KOCEu7vx8&#10;mZ9vZjq/aWtFDsK6CnROs15KidAcikrvcvr+3frFlBLnmS6YAi1yehSO3iyeP5s3Zib6UIIqhCUY&#10;RLtZY3Jaem9mSeJ4KWrmemCERqcEWzOPqt0lhWUNRq9V0k/TcdKALYwFLpxD623npIsYX0rB/Z2U&#10;Tniicoq1+fja+G7DmyzmbLazzJQVP5fB/qGKmlUakz6GumWekb2t/ghVV9yCA+l7HOoEpKy4iD1g&#10;N1n6WzcPJTMi9oLkOPNIk/t/Yfnbw70lVZHTfkaJZjXO6PTt6+n7z9OPL2Qa+GmMmyHswSDQt6+g&#10;xTlf7A6Noe1W2jr8YkME/cNxOhxMR5QcczpJsywdjDqmResJR8B4NJmOcR4cAYNsMkrjJJKnQMY6&#10;/1pATYKQU4uDjPyyw8Z5LAqhF0jIq2FdKRWHqTRpMMFglMYPHKiqCM4AC5+slCUHhuuwVYx/DGVh&#10;rCsUakqjMbTdtRck327bMxdbKI5IhYVumZzh6wrjbpjz98zi9mBfeBH+Dh+pAIuBs0RJCfbz3+wB&#10;j0NFLyUNbmNO3ac9s4IS9UbjuF9mw2FY36gMR5M+Kvbas7326H29AuwQJ4rVRTHgvbqI0kL9AQ9n&#10;GbKii2mOuXPqL+LKdzeCh8fFchlBuLCG+Y1+MDyE7mhf7j3IKk4k0NRxc2YPVzaSez6vcBPXekQ9&#10;/Qk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9W2Yc2QAAAAkBAAAPAAAAAAAAAAEAIAAAACIA&#10;AABkcnMvZG93bnJldi54bWxQSwECFAAUAAAACACHTuJAEwEdeUECAABMBAAADgAAAAAAAAABACAA&#10;AAAoAQAAZHJzL2Uyb0RvYy54bWxQSwUGAAAAAAYABgBZAQAA2wU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钉装</w:t>
                            </w:r>
                          </w:p>
                        </w:txbxContent>
                      </v:textbox>
                    </v:shape>
                  </w:pict>
                </mc:Fallback>
              </mc:AlternateContent>
            </w:r>
            <w:r>
              <w:rPr>
                <w:color w:val="auto"/>
                <w:sz w:val="24"/>
              </w:rPr>
              <mc:AlternateContent>
                <mc:Choice Requires="wps">
                  <w:drawing>
                    <wp:anchor distT="0" distB="0" distL="114300" distR="114300" simplePos="0" relativeHeight="251675648" behindDoc="0" locked="0" layoutInCell="1" allowOverlap="1">
                      <wp:simplePos x="0" y="0"/>
                      <wp:positionH relativeFrom="column">
                        <wp:posOffset>3064510</wp:posOffset>
                      </wp:positionH>
                      <wp:positionV relativeFrom="paragraph">
                        <wp:posOffset>265430</wp:posOffset>
                      </wp:positionV>
                      <wp:extent cx="657860" cy="317500"/>
                      <wp:effectExtent l="4445" t="4445" r="23495" b="20955"/>
                      <wp:wrapNone/>
                      <wp:docPr id="19" name="文本框 6"/>
                      <wp:cNvGraphicFramePr/>
                      <a:graphic xmlns:a="http://schemas.openxmlformats.org/drawingml/2006/main">
                        <a:graphicData uri="http://schemas.microsoft.com/office/word/2010/wordprocessingShape">
                          <wps:wsp>
                            <wps:cNvSpPr txBox="1"/>
                            <wps:spPr>
                              <a:xfrm>
                                <a:off x="3518535" y="7004685"/>
                                <a:ext cx="657860" cy="317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241.3pt;margin-top:20.9pt;height:25pt;width:51.8pt;z-index:251675648;mso-width-relative:page;mso-height-relative:page;" filled="f" stroked="t" coordsize="21600,21600" o:gfxdata="UEsDBAoAAAAAAIdO4kAAAAAAAAAAAAAAAAAEAAAAZHJzL1BLAwQUAAAACACHTuJAT3E7aNkAAAAJ&#10;AQAADwAAAGRycy9kb3ducmV2LnhtbE2PzU7DMBCE70i8g7VI3KidiIY0jdMDogckhERBlKMTL3GE&#10;f0LspoWnZznBbXdnNPtNvTk5y2ac4hC8hGwhgKHvgh58L+HleXtVAotJea1s8CjhCyNsmvOzWlU6&#10;HP0TzrvUMwrxsVISTEpjxXnsDDoVF2FET9p7mJxKtE4915M6UrizPBei4E4Nnj4YNeKtwe5jd3AS&#10;Hl73n3fbxzexx9YOy9nemPvvVsrLi0ysgSU8pT8z/OITOjTE1IaD15FZCddlXpCVhowqkGFZFjmw&#10;VsKKDryp+f8GzQ9QSwMEFAAAAAgAh07iQH6Kc8tCAgAATAQAAA4AAABkcnMvZTJvRG9jLnhtbK1U&#10;zY7aMBC+V+o7WL6XJECARYQVZUVVCXVXolXPxnFIVMfj2oaEPkD3DXrqpfc+F8/RsQO7qO2p6sXM&#10;z5f5+WaG2W1bS3IQxlagMpr0YkqE4pBXapfRD+9XryaUWMdUziQokdGjsPR2/vLFrNFT0YcSZC4M&#10;wSDKThud0dI5PY0iy0tRM9sDLRQ6CzA1c6iaXZQb1mD0Wkb9OB5FDZhcG+DCWrTedU46D/GLQnB3&#10;XxRWOCIzirW58Jrwbv0bzWdsujNMlxU/l8H+oYqaVQqTPoW6Y46Rvan+CFVX3ICFwvU41BEURcVF&#10;6AG7SeLfutmUTIvQC5Jj9RNN9v+F5e8OD4ZUOc7uhhLFapzR6dvj6fvP04+vZOT5abSdImyjEeja&#10;19Ai9mK3aPRtt4Wp/S82RNA/SJNJOkgpOWZ0HMfD0STtmBatIxwBo3Q8GeE8OAIGyTiNwySi50Da&#10;WPdGQE28kFGDgwz8ssPaOiwKoReIz6tgVUkZhikVaTDBII3DBxZklXunh/lPltKQA8N12ErGP/my&#10;MNYVCjWp0Ojb7trzkmu37ZmLLeRHpMJAt0xW81WFcdfMugdmcHuwL7wId49PIQGLgbNESQnmy9/s&#10;Ho9DRS8lDW5jRu3nPTOCEvlW4bhvkuHQr29Qhum4j4q59myvPWpfLwE7TPD2NA+ixzt5EQsD9Uc8&#10;nIXPii6mOObOqLuIS9fdCB4eF4tFAOHCaubWaqO5D93Rvtg7KKowEU9Tx82ZPVzZQO75vPxNXOsB&#10;9fwnMP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3E7aNkAAAAJAQAADwAAAAAAAAABACAAAAAi&#10;AAAAZHJzL2Rvd25yZXYueG1sUEsBAhQAFAAAAAgAh07iQH6Kc8tCAgAATAQAAA4AAAAAAAAAAQAg&#10;AAAAKAEAAGRycy9lMm9Eb2MueG1sUEsFBgAAAAAGAAYAWQEAANwFA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粘贴</w:t>
                            </w:r>
                          </w:p>
                        </w:txbxContent>
                      </v:textbox>
                    </v:shape>
                  </w:pict>
                </mc:Fallback>
              </mc:AlternateContent>
            </w:r>
            <w:r>
              <w:rPr>
                <w:color w:val="auto"/>
                <w:sz w:val="24"/>
              </w:rPr>
              <mc:AlternateContent>
                <mc:Choice Requires="wps">
                  <w:drawing>
                    <wp:anchor distT="0" distB="0" distL="114300" distR="114300" simplePos="0" relativeHeight="251673600" behindDoc="0" locked="0" layoutInCell="1" allowOverlap="1">
                      <wp:simplePos x="0" y="0"/>
                      <wp:positionH relativeFrom="column">
                        <wp:posOffset>1982470</wp:posOffset>
                      </wp:positionH>
                      <wp:positionV relativeFrom="paragraph">
                        <wp:posOffset>268605</wp:posOffset>
                      </wp:positionV>
                      <wp:extent cx="657860" cy="317500"/>
                      <wp:effectExtent l="4445" t="4445" r="23495" b="20955"/>
                      <wp:wrapNone/>
                      <wp:docPr id="17" name="文本框 4"/>
                      <wp:cNvGraphicFramePr/>
                      <a:graphic xmlns:a="http://schemas.openxmlformats.org/drawingml/2006/main">
                        <a:graphicData uri="http://schemas.microsoft.com/office/word/2010/wordprocessingShape">
                          <wps:wsp>
                            <wps:cNvSpPr txBox="1"/>
                            <wps:spPr>
                              <a:xfrm>
                                <a:off x="2436495" y="7007860"/>
                                <a:ext cx="657860" cy="317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扪皮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156.1pt;margin-top:21.15pt;height:25pt;width:51.8pt;z-index:251673600;mso-width-relative:page;mso-height-relative:page;" filled="f" stroked="t" coordsize="21600,21600" o:gfxdata="UEsDBAoAAAAAAIdO4kAAAAAAAAAAAAAAAAAEAAAAZHJzL1BLAwQUAAAACACHTuJAw9ZildoAAAAJ&#10;AQAADwAAAGRycy9kb3ducmV2LnhtbE2PTU/DMAyG70j8h8hI3FjSbuOjNN0BsQMSQtpAjGPamqYi&#10;cUqTdYNfjznB0faj189bro7eiQnH2AfSkM0UCKQmtD11Gl6e1xfXIGIy1BoXCDV8YYRVdXpSmqIN&#10;B9rgtE2d4BCKhdFgUxoKKWNj0Zs4CwMS397D6E3icexkO5oDh3snc6UupTc98QdrBryz2Hxs917D&#10;4+vu83799KZ2WLt+Obkr+/Bda31+lqlbEAmP6Q+GX31Wh4qd6rCnNgqnYZ7lOaMaFvkcBAOLbMld&#10;ag03vJBVKf83qH4AUEsDBBQAAAAIAIdO4kBr+k4uPgIAAEwEAAAOAAAAZHJzL2Uyb0RvYy54bWyt&#10;VM2O0zAQviPxDpbvNOn/btV0VboqQlqxKxXE2XWcxsLxGNttUh6AfQNOXLjzXH0Oxk66WwEnxMWd&#10;ny/z881M5zdNpchBWCdBZ7TfSykRmkMu9S6jH96vX11R4jzTOVOgRUaPwtGbxcsX89rMxABKULmw&#10;BINoN6tNRkvvzSxJHC9FxVwPjNDoLMBWzKNqd0luWY3RK5UM0nSS1GBzY4EL59B62zrpIsYvCsH9&#10;fVE44YnKKNbm42vjuw1vspiz2c4yU0relcH+oYqKSY1Jn0LdMs/I3so/QlWSW3BQ+B6HKoGikFzE&#10;HrCbfvpbN5uSGRF7QXKceaLJ/b+w/N3hwRKZ4+ymlGhW4YxO3x5P33+efnwlo8BPbdwMYRuDQN+8&#10;hgaxZ7tDY2i7KWwVfrEhgv7BaDgZXY8pOWZ0mqbTq0nHtGg84QiYjKONcAQM+9NxGv3JcyBjnX8j&#10;oCJByKjFQUZ+2eHOeSwKoWdIyKthLZWKw1Sa1JhgOE7jBw6UzIMzwMInK2XJgeE6bBXjn0IjGOsC&#10;hZrSaAxtt+0FyTfbpuNiC/kRqbDQLpMzfC0x7h1z/oFZ3B7cM7wIf49PoQCLgU6ipAT75W/2gMeh&#10;opeSGrcxo+7znllBiXqrcdzX/dEorG9URuPpABV76dleevS+WgF22MfbMzyKAe/VWSwsVB/xcJYh&#10;K7qY5pg7o/4srnx7I3h4XCyXEYQLa5i/0xvDQ+iW9uXeQyHjRAJNLTcde7iykdzuvMJNXOoR9fwn&#10;sP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9ZildoAAAAJAQAADwAAAAAAAAABACAAAAAiAAAA&#10;ZHJzL2Rvd25yZXYueG1sUEsBAhQAFAAAAAgAh07iQGv6Ti4+AgAATAQAAA4AAAAAAAAAAQAgAAAA&#10;KQEAAGRycy9lMm9Eb2MueG1sUEsFBgAAAAAGAAYAWQEAANkFA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扪皮</w:t>
                            </w:r>
                          </w:p>
                        </w:txbxContent>
                      </v:textbox>
                    </v:shape>
                  </w:pict>
                </mc:Fallback>
              </mc:AlternateContent>
            </w:r>
            <w:r>
              <w:rPr>
                <w:color w:val="auto"/>
                <w:sz w:val="24"/>
              </w:rPr>
              <mc:AlternateContent>
                <mc:Choice Requires="wps">
                  <w:drawing>
                    <wp:anchor distT="0" distB="0" distL="114300" distR="114300" simplePos="0" relativeHeight="251687936" behindDoc="0" locked="0" layoutInCell="1" allowOverlap="1">
                      <wp:simplePos x="0" y="0"/>
                      <wp:positionH relativeFrom="column">
                        <wp:posOffset>3630295</wp:posOffset>
                      </wp:positionH>
                      <wp:positionV relativeFrom="paragraph">
                        <wp:posOffset>54610</wp:posOffset>
                      </wp:positionV>
                      <wp:extent cx="635" cy="213360"/>
                      <wp:effectExtent l="37465" t="0" r="38100" b="15240"/>
                      <wp:wrapNone/>
                      <wp:docPr id="46" name="直接箭头连接符 46"/>
                      <wp:cNvGraphicFramePr/>
                      <a:graphic xmlns:a="http://schemas.openxmlformats.org/drawingml/2006/main">
                        <a:graphicData uri="http://schemas.microsoft.com/office/word/2010/wordprocessingShape">
                          <wps:wsp>
                            <wps:cNvCnPr/>
                            <wps:spPr>
                              <a:xfrm flipV="1">
                                <a:off x="4084320" y="6793865"/>
                                <a:ext cx="635" cy="213360"/>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85.85pt;margin-top:4.3pt;height:16.8pt;width:0.05pt;z-index:251687936;mso-width-relative:page;mso-height-relative:page;" filled="f" stroked="t" coordsize="21600,21600" o:gfxdata="UEsDBAoAAAAAAIdO4kAAAAAAAAAAAAAAAAAEAAAAZHJzL1BLAwQUAAAACACHTuJAhJeBpdQAAAAI&#10;AQAADwAAAGRycy9kb3ducmV2LnhtbE2PzU7DMBCE70i8g7WVuFEnUUmjEKdCoB64QQv3TbwkUeN1&#10;iN0feHqWExxHM5r5ptpc3KhONIfBs4F0mYAibr0duDPwtt/eFqBCRLY4eiYDXxRgU19fVVhaf+ZX&#10;Ou1ip6SEQ4kG+hinUuvQ9uQwLP1ELN6Hnx1GkXOn7YxnKXejzpIk1w4HloUeJ3rsqT3sjk52acDV&#10;8/v3E7+kscGHzzZs88KYm0Wa3IOKdIl/YfjFF3SohanxR7ZBjQbu1ulaogaKHJT4ouVKY2CVZaDr&#10;Sv8/UP8AUEsDBBQAAAAIAIdO4kAzSaGQAQIAAKsDAAAOAAAAZHJzL2Uyb0RvYy54bWytU0uOEzEQ&#10;3SNxB8t70vlMmkwrnVkkDBsEkfjsK26725J/sk06uQQXQGIFrIDV7DkNDMeg7A7ht0P0wiq7XK/q&#10;Pb9eXh20Invug7SmppPRmBJumG2kaWv6/Nn1vQUlIYJpQFnDa3rkgV6t7t5Z9q7iU9tZ1XBPEMSE&#10;qnc17WJ0VVEE1nENYWQdN5gU1muIuPVt0XjoEV2rYjoel0VvfeO8ZTwEPN0MSbrK+EJwFp8IEXgk&#10;qqY4W8yrz+surcVqCVXrwXWSncaAf5hCgzTY9Ay1gQjkpZd/QWnJvA1WxBGzurBCSMYzB2QzGf/B&#10;5mkHjmcuKE5wZ5nC/4Nlj/dbT2RT04uSEgMa3+j29c3XV+9uP3388vbm2+c3Kf7wnmAexepdqLBm&#10;bbb+tAtu6xPzg/CaCCXdC/RB1gLZkQMCjxcXsymKf6xpef9ytijng+z8EAnDC+VsTgnD7HQym5X5&#10;TYoBL+E6H+JDbjVJQU1D9CDbLq6tMfi61g+9YP8oRJwIC38UpGJjr6VS+ZGVIX1NL+fT1AzQakJB&#10;xFA7JB9MSwmoFj3Mos/TB6tkk6oTTvDtbq082UPyUf4SB+z227XUegOhG+41GA1MtYzociV1TRfn&#10;YqgiSPXANCQeHcoevQTTKn4CVgbxk9yDwCna2eaYdc/n6Ig8wcm9yXK/7nP1z39s9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El4Gl1AAAAAgBAAAPAAAAAAAAAAEAIAAAACIAAABkcnMvZG93bnJl&#10;di54bWxQSwECFAAUAAAACACHTuJAM0mhkAECAACrAwAADgAAAAAAAAABACAAAAAjAQAAZHJzL2Uy&#10;b0RvYy54bWxQSwUGAAAAAAYABgBZAQAAlgUAAAAA&#10;">
                      <v:fill on="f" focussize="0,0"/>
                      <v:stroke color="#000000 [3213]" miterlimit="8" joinstyle="miter"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85888" behindDoc="0" locked="0" layoutInCell="1" allowOverlap="1">
                      <wp:simplePos x="0" y="0"/>
                      <wp:positionH relativeFrom="column">
                        <wp:posOffset>3161030</wp:posOffset>
                      </wp:positionH>
                      <wp:positionV relativeFrom="paragraph">
                        <wp:posOffset>47625</wp:posOffset>
                      </wp:positionV>
                      <wp:extent cx="635" cy="213360"/>
                      <wp:effectExtent l="37465" t="0" r="38100" b="15240"/>
                      <wp:wrapNone/>
                      <wp:docPr id="45" name="直接箭头连接符 45"/>
                      <wp:cNvGraphicFramePr/>
                      <a:graphic xmlns:a="http://schemas.openxmlformats.org/drawingml/2006/main">
                        <a:graphicData uri="http://schemas.microsoft.com/office/word/2010/wordprocessingShape">
                          <wps:wsp>
                            <wps:cNvCnPr/>
                            <wps:spPr>
                              <a:xfrm flipV="1">
                                <a:off x="3615055" y="6786880"/>
                                <a:ext cx="635" cy="213360"/>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48.9pt;margin-top:3.75pt;height:16.8pt;width:0.05pt;z-index:251685888;mso-width-relative:page;mso-height-relative:page;" filled="f" stroked="t" coordsize="21600,21600" o:gfxdata="UEsDBAoAAAAAAIdO4kAAAAAAAAAAAAAAAAAEAAAAZHJzL1BLAwQUAAAACACHTuJAbd2o9tQAAAAI&#10;AQAADwAAAGRycy9kb3ducmV2LnhtbE2PS0/DMBCE70j9D9ZW4kYdo9JHiFMhUA/coMB9Ey9J1Hid&#10;xu4Dfj3LCW47mtXMN8Xm4nt1ojF2gS2YWQaKuA6u48bC+9v2ZgUqJmSHfWCy8EURNuXkqsDchTO/&#10;0mmXGiUhHHO00KY05FrHuiWPcRYGYvE+w+gxiRwb7UY8S7jv9W2WLbTHjqWhxYEeW6r3u6OXXupw&#10;/vzx/cQvJlX4cKjjdrGy9npqsntQiS7p7xl+8QUdSmGqwpFdVL2F+Xop6MnC8g6U+KLXoCo5jAFd&#10;Fvr/gPIHUEsDBBQAAAAIAIdO4kBzXtmb/wEAAKsDAAAOAAAAZHJzL2Uyb0RvYy54bWytU0uOEzEQ&#10;3SNxB8t70vmQJrTSmUXCsEEQCYZ9xW13W/JPtkknl+ACSKyAFbCaPacZhmNQdofw2yF6YZVdfq+q&#10;nl8vLw5akT33QVpT08loTAk3zDbStDW9enF5b0FJiGAaUNbwmh55oBeru3eWvav41HZWNdwTJDGh&#10;6l1NuxhdVRSBdVxDGFnHDSaF9Roibn1bNB56ZNeqmI7HZdFb3zhvGQ8BTzdDkq4yvxCcxWdCBB6J&#10;qin2FvPq87pLa7FaQtV6cJ1kpzbgH7rQIA0WPVNtIAJ55eVfVFoyb4MVccSsLqwQkvE8A04zGf8x&#10;zfMOHM+zoDjBnWUK/4+WPd1vPZFNTe/PKTGg8Y1u31x/ff3+9vOnm3fX3768TfHHDwTzKFbvQoWY&#10;tdn60y64rU+TH4TXRCjpXqIPshY4HTnUdFZO5uM5sh9rWj5YlIvFSXZ+iIThhXKGSYbZ6WQ2K3Oy&#10;GPgSr/MhPuZWkxTUNEQPsu3i2hqDr2v9UAv2T0LEjhD4A5DAxl5KpfIjK0P6mj6cT1MxQKsJBRFD&#10;7XD4YFpKQLXoYRZ97j5YJZuETjzBt7u18mQPyUf5S2pgtd+updIbCN1wr8FoMJiWEV2upK7p4gyG&#10;KoJUj0xD4tGh7NFLMK3iJ2JlkD/JPQicop1tjln3fI6OyB2c3Jss9+s+o3/+Y6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d2o9tQAAAAIAQAADwAAAAAAAAABACAAAAAiAAAAZHJzL2Rvd25yZXYu&#10;eG1sUEsBAhQAFAAAAAgAh07iQHNe2Zv/AQAAqwMAAA4AAAAAAAAAAQAgAAAAIwEAAGRycy9lMm9E&#10;b2MueG1sUEsFBgAAAAAGAAYAWQEAAJQFAAAAAA==&#10;">
                      <v:fill on="f" focussize="0,0"/>
                      <v:stroke color="#000000 [3213]" miterlimit="8" joinstyle="miter"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83840" behindDoc="0" locked="0" layoutInCell="1" allowOverlap="1">
                      <wp:simplePos x="0" y="0"/>
                      <wp:positionH relativeFrom="column">
                        <wp:posOffset>4293235</wp:posOffset>
                      </wp:positionH>
                      <wp:positionV relativeFrom="paragraph">
                        <wp:posOffset>65405</wp:posOffset>
                      </wp:positionV>
                      <wp:extent cx="635" cy="213360"/>
                      <wp:effectExtent l="37465" t="0" r="38100" b="15240"/>
                      <wp:wrapNone/>
                      <wp:docPr id="42" name="直接箭头连接符 42"/>
                      <wp:cNvGraphicFramePr/>
                      <a:graphic xmlns:a="http://schemas.openxmlformats.org/drawingml/2006/main">
                        <a:graphicData uri="http://schemas.microsoft.com/office/word/2010/wordprocessingShape">
                          <wps:wsp>
                            <wps:cNvCnPr/>
                            <wps:spPr>
                              <a:xfrm flipV="1">
                                <a:off x="4747260" y="6804660"/>
                                <a:ext cx="635" cy="213360"/>
                              </a:xfrm>
                              <a:prstGeom prst="straightConnector1">
                                <a:avLst/>
                              </a:prstGeom>
                              <a:ln w="9525">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38.05pt;margin-top:5.15pt;height:16.8pt;width:0.05pt;z-index:251683840;mso-width-relative:page;mso-height-relative:page;" filled="f" stroked="t" coordsize="21600,21600" o:gfxdata="UEsDBAoAAAAAAIdO4kAAAAAAAAAAAAAAAAAEAAAAZHJzL1BLAwQUAAAACACHTuJAs5AmDtQAAAAJ&#10;AQAADwAAAGRycy9kb3ducmV2LnhtbE2Py07DMBBF90j8gzVI7KidtgolxKkQqIvuoMB+Eg9JRDwO&#10;sfvi6xlWsJy5R/dRrk9+UAeaYh/YQjYzoIib4HpuLby9bm5WoGJCdjgEJgtnirCuLi9KLFw48gsd&#10;dqlVYsKxQAtdSmOhdWw68hhnYSQW7SNMHpOcU6vdhEcx94OeG5Nrjz1LQocjPXbUfO72XnKpx+X2&#10;/fuJn7NU48NXEzf5ytrrq8zcg0p0Sn8w/NaX6lBJpzrs2UU1WMhv80xQEcwClADymIOqLSwXd6Cr&#10;Uv9fUP0AUEsDBBQAAAAIAIdO4kCmGd7O/wEAAKsDAAAOAAAAZHJzL2Uyb0RvYy54bWytU0uOEzEQ&#10;3SNxB8t70kknkwmtdGaRMGwQROKzr7jtbkv+yTbp5BJcAIkVsAJWs+c0MByDsjuE3w7RC6vscr2q&#10;9/x6eXXQiuy5D9Kamk5GY0q4YbaRpq3p82fX9xaUhAimAWUNr+mRB3q1untn2buKl7azquGeIIgJ&#10;Ve9q2sXoqqIIrOMawsg6bjAprNcQcevbovHQI7pWRTkez4ve+sZ5y3gIeLoZknSV8YXgLD4RIvBI&#10;VE1xtphXn9ddWovVEqrWg+skO40B/zCFBmmw6RlqAxHISy//gtKSeRusiCNmdWGFkIxnDshmMv6D&#10;zdMOHM9cUJzgzjKF/wfLHu+3nsimprOSEgMa3+j29c3XV+9uP3388vbm2+c3Kf7wnmAexepdqLBm&#10;bbb+tAtu6xPzg/CaCCXdC/RB1gLZkQMCX84uyzmKf6zpfDGezTHOsvNDJAwvzKcXlDDMlpPpdEgW&#10;A17CdT7Eh9xqkoKahuhBtl1cW2Pwda0fesH+UYiIioU/ClKxsddSqdxNGdLX9P5FmZoBWk0oiBhq&#10;h+SDaSkB1aKHWfR5+mCVbFJ1wgm+3a2VJ3tIPspf4oDdfruWWm8gdMO9BqOBqZYRXa6kruniXAxV&#10;BKkemIbEo0PZo5dgWsVPwMogfpJ7EDhFO9scs+75HB2RJzi5N1nu132u/vmPrb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5AmDtQAAAAJAQAADwAAAAAAAAABACAAAAAiAAAAZHJzL2Rvd25yZXYu&#10;eG1sUEsBAhQAFAAAAAgAh07iQKYZ3s7/AQAAqwMAAA4AAAAAAAAAAQAgAAAAIwEAAGRycy9lMm9E&#10;b2MueG1sUEsFBgAAAAAGAAYAWQEAAJQFAAAAAA==&#10;">
                      <v:fill on="f" focussize="0,0"/>
                      <v:stroke color="#000000 [3213]" miterlimit="8" joinstyle="miter"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79744" behindDoc="0" locked="0" layoutInCell="1" allowOverlap="1">
                      <wp:simplePos x="0" y="0"/>
                      <wp:positionH relativeFrom="column">
                        <wp:posOffset>5226050</wp:posOffset>
                      </wp:positionH>
                      <wp:positionV relativeFrom="paragraph">
                        <wp:posOffset>268605</wp:posOffset>
                      </wp:positionV>
                      <wp:extent cx="657860" cy="317500"/>
                      <wp:effectExtent l="4445" t="4445" r="23495" b="20955"/>
                      <wp:wrapNone/>
                      <wp:docPr id="23" name="文本框 10"/>
                      <wp:cNvGraphicFramePr/>
                      <a:graphic xmlns:a="http://schemas.openxmlformats.org/drawingml/2006/main">
                        <a:graphicData uri="http://schemas.microsoft.com/office/word/2010/wordprocessingShape">
                          <wps:wsp>
                            <wps:cNvSpPr txBox="1"/>
                            <wps:spPr>
                              <a:xfrm>
                                <a:off x="5680075" y="7007860"/>
                                <a:ext cx="657860" cy="3175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打包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411.5pt;margin-top:21.15pt;height:25pt;width:51.8pt;z-index:251679744;mso-width-relative:page;mso-height-relative:page;" filled="f" stroked="t" coordsize="21600,21600" o:gfxdata="UEsDBAoAAAAAAIdO4kAAAAAAAAAAAAAAAAAEAAAAZHJzL1BLAwQUAAAACACHTuJA1P7HiNoAAAAJ&#10;AQAADwAAAGRycy9kb3ducmV2LnhtbE2PwU7DMBBE70j8g7VI3KjdBNIS4vSA6AEJIVFQy9GJlzjC&#10;XofYTQtfj3uC26xmNPumWh2dZROOofckYT4TwJBar3vqJLy9rq+WwEJUpJX1hBK+McCqPj+rVKn9&#10;gV5w2sSOpRIKpZJgYhxKzkNr0Kkw8wNS8j786FRM59hxPapDKneWZ0IU3Kme0gejBrw32H5u9k7C&#10;03b39bB+fhc7bGx/M9mFefxppLy8mIs7YBGP8S8MJ/yEDnViavyedGBWwjLL05Yo4TrLgaXAbVYU&#10;wJqTyIHXFf+/oP4FUEsDBBQAAAAIAIdO4kDPOD3DPgIAAE0EAAAOAAAAZHJzL2Uyb0RvYy54bWyt&#10;VEGu2jAQ3VfqHSzvSxIgQBHhi/JFVQn1f4lWXRvHIVEdj2sbEnqA9gZdddN9z8U5Ojbhg9quqm7M&#10;eObljefNDLO7tpbkIIytQGU06cWUCMUhr9Quo+/frV5MKLGOqZxJUCKjR2Hp3fz5s1mjp6IPJchc&#10;GIIkyk4bndHSOT2NIstLUTPbAy0UBgswNXN4NbsoN6xB9lpG/TgeRQ2YXBvgwlr03p+DdB74i0Jw&#10;91AUVjgiM4pvc+E04dz6M5rP2HRnmC4r3j2D/cMralYpTPpEdc8cI3tT/UFVV9yAhcL1ONQRFEXF&#10;RagBq0ni36rZlEyLUAuKY/WTTPb/0fK3h0dDqjyj/QElitXYo9O3r6fvP08/vpAkCNRoO0XcRiPS&#10;ta+gxUZ74bzfotPX3Ram9r9YEcF4OprE8Til5JjRMVqTUSe1aB3hCBilwUc4AgbJOI1DPLoSaWPd&#10;awE18UZGDXYyCMwOa+swOUIvEJ9XwaqSMnRTKtJggkEahw8syCr3QQ/znyylIQeG87CVjH/0hSDX&#10;DQpvUqHzWp63XLttu5q3kB9RCgPnabKaryrkXTPrHpnB8cFBw5VwD3gUEvAx0FmUlGA+/83v8dhV&#10;jFLS4Dhm1H7aMyMokW8U9vtlMhz6+Q2XYTru48XcRra3EbWvl4AVJrh8mgfT4528mIWB+gNuzsJn&#10;xRBTHHNn1F3MpTsvCW4eF4tFAOHEaubWaqO5pz7Lvtg7KKrQES/TWZtOPZzZIG63X34pbu8Bdf0X&#10;m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P7HiNoAAAAJAQAADwAAAAAAAAABACAAAAAiAAAA&#10;ZHJzL2Rvd25yZXYueG1sUEsBAhQAFAAAAAgAh07iQM84PcM+AgAATQQAAA4AAAAAAAAAAQAgAAAA&#10;KQEAAGRycy9lMm9Eb2MueG1sUEsFBgAAAAAGAAYAWQEAANkFAAAAAA==&#10;">
                      <v:fill on="f" focussize="0,0"/>
                      <v:stroke weight="0.5pt" color="#000000 [3204]" joinstyle="round"/>
                      <v:imagedata o:title=""/>
                      <o:lock v:ext="edit" aspectratio="f"/>
                      <v:textbox>
                        <w:txbxContent>
                          <w:p>
                            <w:pPr>
                              <w:jc w:val="center"/>
                              <w:rPr>
                                <w:rFonts w:hint="default" w:eastAsiaTheme="minorEastAsia"/>
                                <w:lang w:val="en-US" w:eastAsia="zh-CN"/>
                              </w:rPr>
                            </w:pPr>
                            <w:r>
                              <w:rPr>
                                <w:rFonts w:hint="eastAsia"/>
                                <w:lang w:val="en-US" w:eastAsia="zh-CN"/>
                              </w:rPr>
                              <w:t>打包</w:t>
                            </w:r>
                          </w:p>
                        </w:txbxContent>
                      </v:textbox>
                    </v:shape>
                  </w:pict>
                </mc:Fallback>
              </mc:AlternateContent>
            </w:r>
          </w:p>
          <w:p>
            <w:pPr>
              <w:pStyle w:val="11"/>
              <w:ind w:firstLine="422"/>
              <w:jc w:val="center"/>
              <w:rPr>
                <w:b/>
                <w:bCs/>
                <w:color w:val="auto"/>
                <w:szCs w:val="24"/>
              </w:rPr>
            </w:pPr>
            <w:r>
              <w:rPr>
                <w:color w:val="auto"/>
                <w:sz w:val="24"/>
              </w:rPr>
              <mc:AlternateContent>
                <mc:Choice Requires="wps">
                  <w:drawing>
                    <wp:anchor distT="0" distB="0" distL="114300" distR="114300" simplePos="0" relativeHeight="251695104" behindDoc="0" locked="0" layoutInCell="1" allowOverlap="1">
                      <wp:simplePos x="0" y="0"/>
                      <wp:positionH relativeFrom="column">
                        <wp:posOffset>3373120</wp:posOffset>
                      </wp:positionH>
                      <wp:positionV relativeFrom="paragraph">
                        <wp:posOffset>295275</wp:posOffset>
                      </wp:positionV>
                      <wp:extent cx="635" cy="213360"/>
                      <wp:effectExtent l="38100" t="0" r="37465" b="15240"/>
                      <wp:wrapNone/>
                      <wp:docPr id="13" name="直接箭头连接符 13"/>
                      <wp:cNvGraphicFramePr/>
                      <a:graphic xmlns:a="http://schemas.openxmlformats.org/drawingml/2006/main">
                        <a:graphicData uri="http://schemas.microsoft.com/office/word/2010/wordprocessingShape">
                          <wps:wsp>
                            <wps:cNvCnPr/>
                            <wps:spPr>
                              <a:xfrm flipV="1">
                                <a:off x="0" y="0"/>
                                <a:ext cx="635" cy="213360"/>
                              </a:xfrm>
                              <a:prstGeom prst="straightConnector1">
                                <a:avLst/>
                              </a:prstGeom>
                              <a:ln w="9525">
                                <a:solidFill>
                                  <a:schemeClr val="tx1"/>
                                </a:solidFill>
                                <a:prstDash val="dash"/>
                                <a:headEnd type="triangl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65.6pt;margin-top:23.25pt;height:16.8pt;width:0.05pt;z-index:251695104;mso-width-relative:page;mso-height-relative:page;" filled="f" stroked="t" coordsize="21600,21600" o:gfxdata="UEsDBAoAAAAAAIdO4kAAAAAAAAAAAAAAAAAEAAAAZHJzL1BLAwQUAAAACACHTuJAIMlcaNcAAAAJ&#10;AQAADwAAAGRycy9kb3ducmV2LnhtbE2PwU7DMAyG70i8Q2QkbizpxspU6u4wNISQOFB4gKwxbUXj&#10;VE2yrm9POMHR9qff31/uL3YQZ5p87xghWykQxI0zPbcInx/Hux0IHzQbPTgmhIU87Kvrq1IXxs38&#10;Tuc6tCKFsC80QhfCWEjpm46s9is3Eqfbl5usDmmcWmkmPadwO8i1Urm0uuf0odMjHTpqvutoEWYz&#10;v+TPb4eno6tfH2KMS8t2Qby9ydQjiECX8AfDr35Shyo5nVxk48WAsN1k64Qi3OdbEAlIiw2IE8JO&#10;ZSCrUv5vUP0AUEsDBBQAAAAIAIdO4kB8fuDX/QEAALcDAAAOAAAAZHJzL2Uyb0RvYy54bWytU8mO&#10;EzEQvSPxD5bvpLNooqGVzhwShguCSCz3ipduS95km3TyE/wAEifgBHOaO1/DzHwGZXfIsNwQfbDK&#10;VV2vql49Ly72RpOdCFE529DJaEyJsMxxZduGvn51+eickpjActDOioYeRKQXy4cPFr2vxdR1TnMR&#10;CILYWPe+oV1Kvq6qyDphII6cFxaD0gUDCa+hrXiAHtGNrqbj8bzqXeA+OCZiRO96CNJlwZdSsPRC&#10;yigS0Q3F3lI5Qzm3+ayWC6jbAL5T7NgG/EMXBpTFoieoNSQgb4P6C8ooFlx0Mo2YM5WTUjFRZsBp&#10;JuM/pnnZgRdlFiQn+hNN8f/Bsue7TSCK4+5mlFgwuKPb99c37z7dXn39/vH67tuHbH/5TDCOZPU+&#10;1pizsptwvEW/CXnyvQyGSK38G8QqXOB0ZF+oPpyoFvtEGDrnszNKGPqnk9lsXvZQDRgZy4eYngpn&#10;SDYaGlMA1XZp5azFjbow4MPuWUzYBSb+TMjJ1l0qrctitSV9Qx+fTXMxQHlJDQlN43HgaFtKQLeo&#10;W5ZC6Tg6rXjOzjgxtNuVDmQHWTvlywxgtd9+y6XXELvhP47WICqjEipbK9PQ81My1J0A/sRykg4e&#10;qU5BgW21GFISKH0fs/hgjgW1xbqZ+oHsbG0dP5QdFD+qo3R2VHKW36/3kn3/3p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DJXGjXAAAACQEAAA8AAAAAAAAAAQAgAAAAIgAAAGRycy9kb3ducmV2&#10;LnhtbFBLAQIUABQAAAAIAIdO4kB8fuDX/QEAALcDAAAOAAAAAAAAAAEAIAAAACYBAABkcnMvZTJv&#10;RG9jLnhtbFBLBQYAAAAABgAGAFkBAACVBQAAAAA=&#10;">
                      <v:fill on="f" focussize="0,0"/>
                      <v:stroke color="#000000 [3213]" miterlimit="8" joinstyle="miter" dashstyle="dash" startarrow="block"/>
                      <v:imagedata o:title=""/>
                      <o:lock v:ext="edit" aspectratio="f"/>
                    </v:shape>
                  </w:pict>
                </mc:Fallback>
              </mc:AlternateContent>
            </w:r>
            <w:r>
              <w:rPr>
                <w:color w:val="auto"/>
                <w:sz w:val="24"/>
              </w:rPr>
              <mc:AlternateContent>
                <mc:Choice Requires="wps">
                  <w:drawing>
                    <wp:anchor distT="0" distB="0" distL="114300" distR="114300" simplePos="0" relativeHeight="251694080" behindDoc="0" locked="0" layoutInCell="1" allowOverlap="1">
                      <wp:simplePos x="0" y="0"/>
                      <wp:positionH relativeFrom="column">
                        <wp:posOffset>1576705</wp:posOffset>
                      </wp:positionH>
                      <wp:positionV relativeFrom="paragraph">
                        <wp:posOffset>144145</wp:posOffset>
                      </wp:positionV>
                      <wp:extent cx="416560" cy="635"/>
                      <wp:effectExtent l="0" t="38100" r="2540" b="37465"/>
                      <wp:wrapNone/>
                      <wp:docPr id="9" name="直接箭头连接符 3"/>
                      <wp:cNvGraphicFramePr/>
                      <a:graphic xmlns:a="http://schemas.openxmlformats.org/drawingml/2006/main">
                        <a:graphicData uri="http://schemas.microsoft.com/office/word/2010/wordprocessingShape">
                          <wps:wsp>
                            <wps:cNvCnPr/>
                            <wps:spPr>
                              <a:xfrm flipV="1">
                                <a:off x="0" y="0"/>
                                <a:ext cx="41656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3" o:spid="_x0000_s1026" o:spt="32" type="#_x0000_t32" style="position:absolute;left:0pt;flip:y;margin-left:124.15pt;margin-top:11.35pt;height:0.05pt;width:32.8pt;z-index:251694080;mso-width-relative:page;mso-height-relative:page;" filled="f" stroked="t" coordsize="21600,21600" o:gfxdata="UEsDBAoAAAAAAIdO4kAAAAAAAAAAAAAAAAAEAAAAZHJzL1BLAwQUAAAACACHTuJAvxeivdUAAAAJ&#10;AQAADwAAAGRycy9kb3ducmV2LnhtbE2PTU+EMBCG7yb+h2ZMvLmlYJRlKXsgetRkV70XOgvEdkpo&#10;F1h/vd2T3ubjyTvPlPvVGjbj5AdHEsQmAYbUOj1QJ+Hz4/UhB+aDIq2MI5RwQQ/76vamVIV2Cx1w&#10;PoaOxRDyhZLQhzAWnPu2R6v8xo1IcXdyk1UhtlPH9aSWGG4NT5PkiVs1ULzQqxHrHtvv49lKyGrz&#10;TnPjL1tRv63j4Ue8LF9Gyvs7keyABVzDHwxX/agOVXRq3Jm0Z0ZC+phnEY1F+gwsApnItsCa6yAH&#10;XpX8/wfVL1BLAwQUAAAACACHTuJAR6LZZfEBAACfAwAADgAAAGRycy9lMm9Eb2MueG1srVNLjhMx&#10;EN0jcQfLe9KdDBOGVjqzSBg2CCLx2Vfc7m5L/qls0skluAASK2AFrGbPaWA4BmV3CL8dohdWucrv&#10;uer59eJybzTbSQzK2ZpPJyVn0grXKNvV/PmzqzsXnIUItgHtrKz5QQZ+ubx9azH4Ss5c73QjkRGJ&#10;DdXga97H6KuiCKKXBsLEeWmp2Do0EGmLXdEgDMRudDEry3kxOGw8OiFDoOx6LPJl5m9bKeKTtg0y&#10;Ml1z6i3mFfO6TWuxXEDVIfheiWMb8A9dGFCWLj1RrSECe4nqLyqjBLrg2jgRzhSubZWQeQaaZlr+&#10;Mc3THrzMs5A4wZ9kCv+PVjzebZCppub3ObNg6IluXl9/ffXu5tPHL2+vv31+k+IP79lZkmrwoSLE&#10;ym7wuAt+g2nufYuGtVr5F+SCrATNxvZZ6MNJaLmPTFDy7nR+PqfnEFSan50n6mLkSFweQ3wonWEp&#10;qHmICKrr48pZS+/pcOSH3aMQR+APQAJbd6W0pjxU2rKBupndK9NVQO5qNUQKjad5g+04A92RbUXE&#10;3HJwWjUJntABu+1KI9tBsk7+jn3+dizdvYbQj+dyKR2DyqhIztbK1PzihIYqgtIPbMPiwZPWERXY&#10;Tssjs7YkRBJ5lDVFW9ccsto5Ty7IUh0dm2z26z6jf/5Xy+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6K91QAAAAkBAAAPAAAAAAAAAAEAIAAAACIAAABkcnMvZG93bnJldi54bWxQSwECFAAUAAAA&#10;CACHTuJAR6LZZfEBAACfAwAADgAAAAAAAAABACAAAAAkAQAAZHJzL2Uyb0RvYy54bWxQSwUGAAAA&#10;AAYABgBZAQAAhwUAAAAA&#10;">
                      <v:fill on="f" focussize="0,0"/>
                      <v:stroke weight="1pt" color="#000000 [3213]" miterlimit="8" joinstyle="miter" endarrow="block"/>
                      <v:imagedata o:title=""/>
                      <o:lock v:ext="edit" aspectratio="f"/>
                    </v:shape>
                  </w:pict>
                </mc:Fallback>
              </mc:AlternateContent>
            </w:r>
            <w:r>
              <w:rPr>
                <w:color w:val="auto"/>
                <w:sz w:val="24"/>
              </w:rPr>
              <mc:AlternateContent>
                <mc:Choice Requires="wps">
                  <w:drawing>
                    <wp:anchor distT="0" distB="0" distL="114300" distR="114300" simplePos="0" relativeHeight="251672576" behindDoc="0" locked="0" layoutInCell="1" allowOverlap="1">
                      <wp:simplePos x="0" y="0"/>
                      <wp:positionH relativeFrom="column">
                        <wp:posOffset>632460</wp:posOffset>
                      </wp:positionH>
                      <wp:positionV relativeFrom="paragraph">
                        <wp:posOffset>109855</wp:posOffset>
                      </wp:positionV>
                      <wp:extent cx="299720" cy="635"/>
                      <wp:effectExtent l="0" t="38100" r="5080" b="37465"/>
                      <wp:wrapNone/>
                      <wp:docPr id="205" name="直接箭头连接符 2"/>
                      <wp:cNvGraphicFramePr/>
                      <a:graphic xmlns:a="http://schemas.openxmlformats.org/drawingml/2006/main">
                        <a:graphicData uri="http://schemas.microsoft.com/office/word/2010/wordprocessingShape">
                          <wps:wsp>
                            <wps:cNvCnPr/>
                            <wps:spPr>
                              <a:xfrm flipV="1">
                                <a:off x="2019300" y="7157720"/>
                                <a:ext cx="29972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2" o:spid="_x0000_s1026" o:spt="32" type="#_x0000_t32" style="position:absolute;left:0pt;flip:y;margin-left:49.8pt;margin-top:8.65pt;height:0.05pt;width:23.6pt;z-index:251672576;mso-width-relative:page;mso-height-relative:page;" filled="f" stroked="t" coordsize="21600,21600" o:gfxdata="UEsDBAoAAAAAAIdO4kAAAAAAAAAAAAAAAAAEAAAAZHJzL1BLAwQUAAAACACHTuJAmSv1StMAAAAI&#10;AQAADwAAAGRycy9kb3ducmV2LnhtbE2PQU+DQBCF7yb+h82YeLMLtkGhLD0QPWrSqvcFRiDdnSXs&#10;Fqi/3uGkx3nv5c338sNijZhw9L0jBfEmAoFUu6anVsHnx+vDMwgfNDXaOEIFV/RwKG5vcp01bqYj&#10;TqfQCi4hn2kFXQhDJqWvO7Tab9yAxN63G60OfI6tbEY9c7k18jGKEml1T/yh0wOWHdbn08Uq2Jbm&#10;nabKX9O4fFuG40/8Mn8Zpe7v4mgPIuAS/sKw4jM6FMxUuQs1XhgFaZpwkvWnLYjV3yU8pVqFHcgi&#10;l/8HFL9QSwMEFAAAAAgAh07iQMiiAMb+AQAArQMAAA4AAABkcnMvZTJvRG9jLnhtbK1TzY7TMBC+&#10;I/EOlu80aVbdbqOme2hZLggqAXufOk5iyX+yTdO+BC+AxAk4sZz2ztPA7mMwdkL5uyFysOzxfN/M&#10;fP6yvDwoSfbceWF0RaeTnBKumamFbiv66uXVowtKfABdgzSaV/TIPb1cPXyw7G3JC9MZWXNHkET7&#10;srcV7UKwZZZ51nEFfmIs13jZGKcg4NG1We2gR3YlsyLPz7PeuNo6w7j3GN0Ml3SV+JuGs/C8aTwP&#10;RFYUewtpdWndxTVbLaFsHdhOsLEN+IcuFAiNRU9UGwhAXjvxF5USzBlvmjBhRmWmaQTjaQacZpr/&#10;Mc2LDixPs6A43p5k8v+Plj3bbx0RdUWLfEaJBoWPdPf29tubD3efb76+v73/8i7uP30kRRSrt75E&#10;zFpv3Xjyduvi5IfGKdJIYa/RB0kLnI4cIvF0cZaj+MeKzqez+bwYZeeHQFhMWCxijDBMOD+bxTLZ&#10;wBd5rfPhCTeKxE1FfXAg2i6sjdb4usYNtWD/1IcB+AMQwdpcCSkxDqXUpMfOinlshQF6rZEQcKss&#10;Tu91SwnIFk3MgkvteyNFHeER7V27W0tH9hCNlL6xz9/SYu0N+G7IS1cxDUolAvpcClXRixMaygBC&#10;PtY1CUeLugcnQLeSj8xSoxBR8EHiuNuZ+piUT3H0RJJq9G803a/nhP75l6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r9UrTAAAACAEAAA8AAAAAAAAAAQAgAAAAIgAAAGRycy9kb3ducmV2Lnht&#10;bFBLAQIUABQAAAAIAIdO4kDIogDG/gEAAK0DAAAOAAAAAAAAAAEAIAAAACIBAABkcnMvZTJvRG9j&#10;LnhtbFBLBQYAAAAABgAGAFkBAACSBQAAAAA=&#10;">
                      <v:fill on="f" focussize="0,0"/>
                      <v:stroke weight="1pt" color="#000000 [3213]" miterlimit="8" joinstyle="miter" endarrow="block"/>
                      <v:imagedata o:title=""/>
                      <o:lock v:ext="edit" aspectratio="f"/>
                    </v:shape>
                  </w:pict>
                </mc:Fallback>
              </mc:AlternateContent>
            </w:r>
            <w:r>
              <w:rPr>
                <w:color w:val="auto"/>
                <w:sz w:val="24"/>
              </w:rPr>
              <mc:AlternateContent>
                <mc:Choice Requires="wps">
                  <w:drawing>
                    <wp:anchor distT="0" distB="0" distL="114300" distR="114300" simplePos="0" relativeHeight="251674624" behindDoc="0" locked="0" layoutInCell="1" allowOverlap="1">
                      <wp:simplePos x="0" y="0"/>
                      <wp:positionH relativeFrom="column">
                        <wp:posOffset>2644140</wp:posOffset>
                      </wp:positionH>
                      <wp:positionV relativeFrom="paragraph">
                        <wp:posOffset>121285</wp:posOffset>
                      </wp:positionV>
                      <wp:extent cx="416560" cy="635"/>
                      <wp:effectExtent l="0" t="38100" r="2540" b="37465"/>
                      <wp:wrapNone/>
                      <wp:docPr id="18" name="直接箭头连接符 3"/>
                      <wp:cNvGraphicFramePr/>
                      <a:graphic xmlns:a="http://schemas.openxmlformats.org/drawingml/2006/main">
                        <a:graphicData uri="http://schemas.microsoft.com/office/word/2010/wordprocessingShape">
                          <wps:wsp>
                            <wps:cNvCnPr/>
                            <wps:spPr>
                              <a:xfrm flipV="1">
                                <a:off x="3098165" y="7158355"/>
                                <a:ext cx="41656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3" o:spid="_x0000_s1026" o:spt="32" type="#_x0000_t32" style="position:absolute;left:0pt;flip:y;margin-left:208.2pt;margin-top:9.55pt;height:0.05pt;width:32.8pt;z-index:251674624;mso-width-relative:page;mso-height-relative:page;" filled="f" stroked="t" coordsize="21600,21600" o:gfxdata="UEsDBAoAAAAAAIdO4kAAAAAAAAAAAAAAAAAEAAAAZHJzL1BLAwQUAAAACACHTuJAnz4nHNUAAAAJ&#10;AQAADwAAAGRycy9kb3ducmV2LnhtbE2PwU7DMBBE70j8g7VI3KjjEFVtiNNDBEeQWuDuJEsSYa+j&#10;2E1Svp7tCY478zQ7UxxWZ8WMUxg8aVCbBARS49uBOg0f7y8POxAhGmqN9YQaLhjgUN7eFCZv/UJH&#10;nE+xExxCITca+hjHXMrQ9OhM2PgRib0vPzkT+Zw62U5m4XBnZZokW+nMQPyhNyNWPTbfp7PT8FjZ&#10;N5rrcNmr6nUdjz/qefm0Wt/fqeQJRMQ1/sFwrc/VoeROtT9TG4TVkKltxigbewWCgWyX8rj6KqQg&#10;y0L+X1D+AlBLAwQUAAAACACHTuJABo/AI/8BAACsAwAADgAAAGRycy9lMm9Eb2MueG1srVNLjhMx&#10;EN0jcQfLe9KdhGRCK51ZJAwbBJH47Ctuu9uSf7JNOrkEF0BiBawGVrPnNDAcg7I7hN8O0Qur7Kp6&#10;Ve9V9fLyoBXZcx+kNTUdj0pKuGG2kaat6YvnV/cWlIQIpgFlDa/pkQd6ubp7Z9m7ik9sZ1XDPUEQ&#10;E6re1bSL0VVFEVjHNYSRddygU1ivIeLVt0XjoUd0rYpJWc6L3vrGect4CPi6GZx0lfGF4Cw+FSLw&#10;SFRNsbeYT5/PXTqL1RKq1oPrJDu1Af/QhQZpsOgZagMRyCsv/4LSknkbrIgjZnVhhZCMZw7IZlz+&#10;weZZB45nLihOcGeZwv+DZU/2W09kg7PDSRnQOKPbNzdfX7+//fTxy7ubb5/fJvv6A5kmrXoXKkxZ&#10;m60/3YLb+kT8ILwmQkn3EqGyFEiOHGo6LR8sxvMZJceaXoxni+lsNqjOD5EwDLiP3jnOhmHAfJqd&#10;xYCXcJ0P8RG3miSjpiF6kG0X19YYHK71Qy3YPw4RO8LEHwkp2dgrqVSesTKkx84mF2UqBbhqQkFE&#10;UzskH0xLCagWd5hFn9sPVskmpSeg4NvdWnmyh7RH+UsksNxvYan2BkI3xGXXwFXLiGuupK7p4pwN&#10;VQSpHpqGxKND3aOXYFrFT8jKYIEk+CBxsna2OWbl8zuuRG7htL5p53695+yfP9nq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8+JxzVAAAACQEAAA8AAAAAAAAAAQAgAAAAIgAAAGRycy9kb3ducmV2&#10;LnhtbFBLAQIUABQAAAAIAIdO4kAGj8Aj/wEAAKwDAAAOAAAAAAAAAAEAIAAAACQBAABkcnMvZTJv&#10;RG9jLnhtbFBLBQYAAAAABgAGAFkBAACVBQAAAAA=&#10;">
                      <v:fill on="f" focussize="0,0"/>
                      <v:stroke weight="1pt" color="#000000 [3213]" miterlimit="8" joinstyle="miter" endarrow="block"/>
                      <v:imagedata o:title=""/>
                      <o:lock v:ext="edit" aspectratio="f"/>
                    </v:shape>
                  </w:pict>
                </mc:Fallback>
              </mc:AlternateContent>
            </w:r>
            <w:r>
              <w:rPr>
                <w:color w:val="auto"/>
                <w:sz w:val="24"/>
              </w:rPr>
              <mc:AlternateContent>
                <mc:Choice Requires="wps">
                  <w:drawing>
                    <wp:anchor distT="0" distB="0" distL="114300" distR="114300" simplePos="0" relativeHeight="251678720" behindDoc="0" locked="0" layoutInCell="1" allowOverlap="1">
                      <wp:simplePos x="0" y="0"/>
                      <wp:positionH relativeFrom="column">
                        <wp:posOffset>4812665</wp:posOffset>
                      </wp:positionH>
                      <wp:positionV relativeFrom="paragraph">
                        <wp:posOffset>124460</wp:posOffset>
                      </wp:positionV>
                      <wp:extent cx="416560" cy="635"/>
                      <wp:effectExtent l="0" t="38100" r="2540" b="37465"/>
                      <wp:wrapNone/>
                      <wp:docPr id="22" name="直接箭头连接符 7"/>
                      <wp:cNvGraphicFramePr/>
                      <a:graphic xmlns:a="http://schemas.openxmlformats.org/drawingml/2006/main">
                        <a:graphicData uri="http://schemas.microsoft.com/office/word/2010/wordprocessingShape">
                          <wps:wsp>
                            <wps:cNvCnPr/>
                            <wps:spPr>
                              <a:xfrm flipV="1">
                                <a:off x="5266690" y="7161530"/>
                                <a:ext cx="41656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7" o:spid="_x0000_s1026" o:spt="32" type="#_x0000_t32" style="position:absolute;left:0pt;flip:y;margin-left:378.95pt;margin-top:9.8pt;height:0.05pt;width:32.8pt;z-index:251678720;mso-width-relative:page;mso-height-relative:page;" filled="f" stroked="t" coordsize="21600,21600" o:gfxdata="UEsDBAoAAAAAAIdO4kAAAAAAAAAAAAAAAAAEAAAAZHJzL1BLAwQUAAAACACHTuJAy7mx5dYAAAAJ&#10;AQAADwAAAGRycy9kb3ducmV2LnhtbE2PwU6DQBCG7ya+w2ZMvNmFNi0FWXogetSkrd4XGIG4O0vY&#10;LVCf3ulJjzP/l3++yQ+LNWLC0feOFMSrCARS7ZqeWgUf59enPQgfNDXaOEIFV/RwKO7vcp01bqYj&#10;TqfQCi4hn2kFXQhDJqWvO7Tar9yAxNmXG60OPI6tbEY9c7k1ch1FO2l1T3yh0wOWHdbfp4tVsCnN&#10;O02Vv6Zx+bYMx5/4Zf40Sj0+xNEziIBL+IPhps/qULBT5S7UeGEUJNskZZSDdAeCgf16swVR3RYJ&#10;yCKX/z8ofgFQSwMEFAAAAAgAh07iQLi+D6EAAgAArAMAAA4AAABkcnMvZTJvRG9jLnhtbK1Ty47T&#10;MBTdI/EPlvc0bYamQ9R0Fi3DBkElHvtbx0ks+SXbNO1P8ANIrIDVwGr28zXD8BlcO6G8dogsLNv3&#10;nnPvPT5ZXhyUJHvuvDC6orPJlBKumamFbiv66uXlg3NKfABdgzSaV/TIPb1Y3b+37G3Jc9MZWXNH&#10;kET7srcV7UKwZZZ51nEFfmIs1xhsjFMQ8OjarHbQI7uSWT6dFllvXG2dYdx7vN0MQbpK/E3DWXje&#10;NJ4HIiuKvYW0urTu4pqtllC2Dmwn2NgG/EMXCoTGoieqDQQgb5z4i0oJ5ow3TZgwozLTNILxNANO&#10;M5v+Mc2LDixPs6A43p5k8v+Plj3bbx0RdUXznBINCt/o7t3117cf7758vv1w/e3mfdxffSKLqFVv&#10;fYmQtd668eTt1sXBD41TpJHCvkYbJClwOHKo6DwviuIRan+s6GJWzOZno+r8EAjDhIezYl5gnGFC&#10;cTaPZbKBL/Ja58MTbhSJm4r64EC0XVgbrfFxjRtqwf6pDwPwByCCtbkUUuI9lFKTHjvLF9NYCtBq&#10;jYSAW2VxeK9bSkC26GEWXGrfGynqCI9o79rdWjqyh+ij9I19/pYWa2/Ad0NeCsU0KJUIaHMpVEXP&#10;T2goAwj5WNckHC3qHpwA3Uo+MkuNQkTBB4njbmfqY1I+3aMlklSjfaPnfj0n9M+fbP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7mx5dYAAAAJAQAADwAAAAAAAAABACAAAAAiAAAAZHJzL2Rvd25y&#10;ZXYueG1sUEsBAhQAFAAAAAgAh07iQLi+D6EAAgAArAMAAA4AAAAAAAAAAQAgAAAAJQEAAGRycy9l&#10;Mm9Eb2MueG1sUEsFBgAAAAAGAAYAWQEAAJcFAAAAAA==&#10;">
                      <v:fill on="f" focussize="0,0"/>
                      <v:stroke weight="1pt" color="#000000 [3213]" miterlimit="8" joinstyle="miter" endarrow="block"/>
                      <v:imagedata o:title=""/>
                      <o:lock v:ext="edit" aspectratio="f"/>
                    </v:shape>
                  </w:pict>
                </mc:Fallback>
              </mc:AlternateContent>
            </w:r>
            <w:r>
              <w:rPr>
                <w:color w:val="auto"/>
                <w:sz w:val="24"/>
              </w:rPr>
              <mc:AlternateContent>
                <mc:Choice Requires="wps">
                  <w:drawing>
                    <wp:anchor distT="0" distB="0" distL="114300" distR="114300" simplePos="0" relativeHeight="251676672" behindDoc="0" locked="0" layoutInCell="1" allowOverlap="1">
                      <wp:simplePos x="0" y="0"/>
                      <wp:positionH relativeFrom="column">
                        <wp:posOffset>3726815</wp:posOffset>
                      </wp:positionH>
                      <wp:positionV relativeFrom="paragraph">
                        <wp:posOffset>118110</wp:posOffset>
                      </wp:positionV>
                      <wp:extent cx="416560" cy="635"/>
                      <wp:effectExtent l="0" t="38100" r="2540" b="37465"/>
                      <wp:wrapNone/>
                      <wp:docPr id="20" name="直接箭头连接符 5"/>
                      <wp:cNvGraphicFramePr/>
                      <a:graphic xmlns:a="http://schemas.openxmlformats.org/drawingml/2006/main">
                        <a:graphicData uri="http://schemas.microsoft.com/office/word/2010/wordprocessingShape">
                          <wps:wsp>
                            <wps:cNvCnPr/>
                            <wps:spPr>
                              <a:xfrm flipV="1">
                                <a:off x="4180840" y="7155180"/>
                                <a:ext cx="416560" cy="63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5" o:spid="_x0000_s1026" o:spt="32" type="#_x0000_t32" style="position:absolute;left:0pt;flip:y;margin-left:293.45pt;margin-top:9.3pt;height:0.05pt;width:32.8pt;z-index:251676672;mso-width-relative:page;mso-height-relative:page;" filled="f" stroked="t" coordsize="21600,21600" o:gfxdata="UEsDBAoAAAAAAIdO4kAAAAAAAAAAAAAAAAAEAAAAZHJzL1BLAwQUAAAACACHTuJAASiVINUAAAAJ&#10;AQAADwAAAGRycy9kb3ducmV2LnhtbE2PwU6DQBCG7ya+w2ZMvNmFGpAiSw9Ej5q01fsCIxB3Zwm7&#10;BerTOz3pceb/8s83xX61Rsw4+cGRgngTgUBqXDtQp+Dj9PqQgfBBU6uNI1RwQQ/78vam0HnrFjrg&#10;fAyd4BLyuVbQhzDmUvqmR6v9xo1InH25yerA49TJdtILl1sjt1GUSqsH4gu9HrHqsfk+nq2Cx8q8&#10;01z7yy6u3tbx8BO/LJ9Gqfu7OHoGEXANfzBc9VkdSnaq3ZlaL4yCJEt3jHKQpSAYSJNtAqK+Lp5A&#10;loX8/0H5C1BLAwQUAAAACACHTuJApUdKqf0BAACsAwAADgAAAGRycy9lMm9Eb2MueG1srVNLjhMx&#10;EN0jcQfLe9KdMMlErXRmkTBsEETis6+43d2W/FPZ5HMJLoDEClgBq9lzGhiOQdkdwm+H6IVV5ap6&#10;Ve+5enF1MJrtJAblbM3Ho5IzaYVrlO1q/vzZ9b05ZyGCbUA7K2t+lIFfLe/eWex9JSeud7qRyAjE&#10;hmrva97H6KuiCKKXBsLIeWkp2Do0EMnFrmgQ9oRudDEpy1mxd9h4dEKGQLfrIciXGb9tpYhP2jbI&#10;yHTNabaYT8znNp3FcgFVh+B7JU5jwD9MYUBZanqGWkME9hLVX1BGCXTBtXEknClc2yohMwdiMy7/&#10;YPO0By8zFxIn+LNM4f/Bise7DTLV1HxC8lgw9Ea3r2++vnp3++njl7c33z6/SfaH92yatNr7UFHJ&#10;ym7w5AW/wUT80KJhrVb+Ba1BloLIsUPNL8bzcn5B4MeaX46nU3IH1eUhMpETZtMZxQUlzO7nNsWA&#10;l3A9hvhQOsOSUfMQEVTXx5Wzlh7X4dALdo9CpImo8EdBKrbuWmmd31hbtqfJJpdlagW0aq2GSKbx&#10;RD7YjjPQHe2wiJjHD06rJpUnoIDddqWR7SDtUf4SCWr3W1rqvYbQD3k5NHA1KtKaa2VqPj9XQxVB&#10;6Qe2YfHoSfeICmyn5QlZW2qQBB8kTtbWNcesfL6nlcgjnNY37dyvfq7++ZMtv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KJUg1QAAAAkBAAAPAAAAAAAAAAEAIAAAACIAAABkcnMvZG93bnJldi54&#10;bWxQSwECFAAUAAAACACHTuJApUdKqf0BAACsAwAADgAAAAAAAAABACAAAAAkAQAAZHJzL2Uyb0Rv&#10;Yy54bWxQSwUGAAAAAAYABgBZAQAAkwUAAAAA&#10;">
                      <v:fill on="f" focussize="0,0"/>
                      <v:stroke weight="1pt" color="#000000 [3213]" miterlimit="8" joinstyle="miter" endarrow="block"/>
                      <v:imagedata o:title=""/>
                      <o:lock v:ext="edit" aspectratio="f"/>
                    </v:shape>
                  </w:pict>
                </mc:Fallback>
              </mc:AlternateContent>
            </w:r>
          </w:p>
          <w:p>
            <w:pPr>
              <w:pStyle w:val="11"/>
              <w:ind w:firstLine="422"/>
              <w:jc w:val="center"/>
              <w:rPr>
                <w:b/>
                <w:bCs/>
                <w:color w:val="auto"/>
                <w:szCs w:val="24"/>
              </w:rPr>
            </w:pPr>
            <w:r>
              <w:rPr>
                <w:color w:val="auto"/>
                <w:sz w:val="24"/>
              </w:rPr>
              <mc:AlternateContent>
                <mc:Choice Requires="wps">
                  <w:drawing>
                    <wp:anchor distT="0" distB="0" distL="114300" distR="114300" simplePos="0" relativeHeight="251696128" behindDoc="0" locked="0" layoutInCell="1" allowOverlap="1">
                      <wp:simplePos x="0" y="0"/>
                      <wp:positionH relativeFrom="column">
                        <wp:posOffset>3109595</wp:posOffset>
                      </wp:positionH>
                      <wp:positionV relativeFrom="paragraph">
                        <wp:posOffset>153670</wp:posOffset>
                      </wp:positionV>
                      <wp:extent cx="634365" cy="2997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34365"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85pt;margin-top:12.1pt;height:23.6pt;width:49.95pt;z-index:251696128;mso-width-relative:page;mso-height-relative:page;" filled="f" stroked="f" coordsize="21600,21600" o:gfxdata="UEsDBAoAAAAAAIdO4kAAAAAAAAAAAAAAAAAEAAAAZHJzL1BLAwQUAAAACACHTuJANT/KztsAAAAJ&#10;AQAADwAAAGRycy9kb3ducmV2LnhtbE2Py07DMBBF90j8gzVI7KiTKG3TkEmFIlVICBYt3bCbxNMk&#10;IrZD7D7g6zGrshzdo3vPFOuLHsSJJ9dbgxDPIhBsGqt60yLs3zcPGQjnySgarGGEb3awLm9vCsqV&#10;PZstn3a+FaHEuJwQOu/HXErXdKzJzezIJmQHO2ny4ZxaqSY6h3I9yCSKFlJTb8JCRyNXHTefu6NG&#10;eKk2b7StE539DNXz6+Fp/Np/zBHv7+LoEYTni7/C8Kcf1KEMTrU9GuXEgJBmq2VAEZI0ARGAebZa&#10;gKgRlnEKsizk/w/KX1BLAwQUAAAACACHTuJAxnJ2+R4CAAAZBAAADgAAAGRycy9lMm9Eb2MueG1s&#10;rVPBjtMwEL0j8Q+W7zRtty00aroquypCqtiVCuLsOnYTyfYY221SPgD+gBMX7nxXv4Ox03Yr4IS4&#10;OJOZ8cy8N8+z21YrshfO12AKOuj1KRGGQ1mbbUE/vF++eEWJD8yUTIERBT0IT2/nz5/NGpuLIVSg&#10;SuEIFjE+b2xBqxBsnmWeV0Iz3wMrDAYlOM0C/rptVjrWYHWtsmG/P8kacKV1wIX36L3vgnSe6ksp&#10;eHiQ0otAVEFxtpBOl85NPLP5jOVbx2xV89MY7B+m0Kw22PRS6p4FRnau/qOUrrkDDzL0OOgMpKy5&#10;SBgQzaD/G5p1xaxIWJAcby80+f9Xlr/bPzpSl7i7ASWGadzR8dvX4/efxx9fCPqQoMb6HPPWFjND&#10;+xpaTD77PToj7lY6Hb+IiGAcqT5c6BVtIBydk5vRzWRMCcfQcDp9OUz0Z0+XrfPhjQBNolFQh9tL&#10;pLL9ygccBFPPKbGXgWWtVNqgMqSJDcb9dOESwRvK4MUIoRs1WqHdtCdcGygPCMtBpwxv+bLG5ivm&#10;wyNzKAVEgvIOD3hIBdgEThYlFbjPf/PHfNwQRilpUFoF9Z92zAlK1FuDu5sORqOoxfQzGkceiLuO&#10;bK4jZqfvANWL68Hpkhnzgzqb0oH+iK9gEbtiiBmOvQsazuZd6ASPr4iLxSIlofosCyuztjyW7uhc&#10;7ALIOjEdaeq4ObGH+ksLOL2VKPDr/5T19KLn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1P8rO&#10;2wAAAAkBAAAPAAAAAAAAAAEAIAAAACIAAABkcnMvZG93bnJldi54bWxQSwECFAAUAAAACACHTuJA&#10;xnJ2+R4CAAAZBAAADgAAAAAAAAABACAAAAAqAQAAZHJzL2Uyb0RvYy54bWxQSwUGAAAAAAYABgBZ&#10;AQAAugU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固废</w:t>
                            </w:r>
                          </w:p>
                        </w:txbxContent>
                      </v:textbox>
                    </v:shape>
                  </w:pict>
                </mc:Fallback>
              </mc:AlternateContent>
            </w:r>
            <w:r>
              <w:rPr>
                <w:color w:val="auto"/>
                <w:sz w:val="24"/>
              </w:rPr>
              <mc:AlternateContent>
                <mc:Choice Requires="wps">
                  <w:drawing>
                    <wp:anchor distT="0" distB="0" distL="114300" distR="114300" simplePos="0" relativeHeight="251692032" behindDoc="0" locked="0" layoutInCell="1" allowOverlap="1">
                      <wp:simplePos x="0" y="0"/>
                      <wp:positionH relativeFrom="column">
                        <wp:posOffset>48260</wp:posOffset>
                      </wp:positionH>
                      <wp:positionV relativeFrom="paragraph">
                        <wp:posOffset>156845</wp:posOffset>
                      </wp:positionV>
                      <wp:extent cx="634365" cy="299720"/>
                      <wp:effectExtent l="0" t="0" r="0" b="0"/>
                      <wp:wrapNone/>
                      <wp:docPr id="54" name="文本框 54"/>
                      <wp:cNvGraphicFramePr/>
                      <a:graphic xmlns:a="http://schemas.openxmlformats.org/drawingml/2006/main">
                        <a:graphicData uri="http://schemas.microsoft.com/office/word/2010/wordprocessingShape">
                          <wps:wsp>
                            <wps:cNvSpPr txBox="1"/>
                            <wps:spPr>
                              <a:xfrm>
                                <a:off x="1458595" y="7500620"/>
                                <a:ext cx="634365"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12.35pt;height:23.6pt;width:49.95pt;z-index:251692032;mso-width-relative:page;mso-height-relative:page;" filled="f" stroked="f" coordsize="21600,21600" o:gfxdata="UEsDBAoAAAAAAIdO4kAAAAAAAAAAAAAAAAAEAAAAZHJzL1BLAwQUAAAACACHTuJAJzh1/tcAAAAH&#10;AQAADwAAAGRycy9kb3ducmV2LnhtbE2Oy07DMBBF90j8gzVI7KidiDYlxKlQpAoJwaKlG3aTeJpE&#10;xOMQuw/4etwVLO9D955idbaDONLke8cakpkCQdw403OrYfe+vluC8AHZ4OCYNHyTh1V5fVVgbtyJ&#10;N3TchlbEEfY5auhCGHMpfdORRT9zI3HM9m6yGKKcWmkmPMVxO8hUqYW02HN86HCkqqPmc3uwGl6q&#10;9Rtu6tQuf4bq+XX/NH7tPuZa394k6hFEoHP4K8MFP6JDGZlqd2DjxaAhW8SihvQ+A3GJVTYHUUc/&#10;eQBZFvI/f/kLUEsDBBQAAAAIAIdO4kCtLi9TKQIAACUEAAAOAAAAZHJzL2Uyb0RvYy54bWytU82O&#10;0zAQviPxDpbvNG036W6rpquyqyKkFbtSQZxdx2ki2R5ju03KA8AbcOLCnefqczB20m4FnBAXZ+Jv&#10;PD/ffDO/bZUke2FdDTqno8GQEqE5FLXe5vTD+9WrG0qcZ7pgErTI6UE4ert4+WLemJkYQwWyEJZg&#10;EO1mjclp5b2ZJYnjlVDMDcAIjWAJVjGPv3abFJY1GF3JZDwcTpIGbGEscOEc3t53IF3E+GUpuH8s&#10;Syc8kTnF2nw8bTw34UwWczbbWmaqmvdlsH+oQrFaY9JzqHvmGdnZ+o9QquYWHJR+wEElUJY1F7EH&#10;7GY0/K2bdcWMiL0gOc6caXL/Lyx/t3+ypC5ymqWUaKZwRsdvX4/ffx5/fCF4hwQ1xs3Qb23Q07ev&#10;ocVBn+4dXoa+29Kq8MWOSMDT7CabZpQccnqd4ZzGPdWi9YSjw+QqvZogztFhPJ1ed3jyHMhY598I&#10;UCQYObU4yUgw2z84j0Wh68kl5NWwqqWM05SaNCFBNowPzgi+kBofhna6soPl203b97iB4oAtWuhU&#10;4gxf1Zj8gTn/xCzKAgWEUvePeJQSMAn0FiUV2M9/uw/+OC1EKWlQZjl1n3bMCkrkW41znI7SNOgy&#10;/qRZ4IHYS2RzieidugNU8giXyvBoBn8vT2ZpQX3EjViGrAgxzTF3Tv3JvPOd+HGjuFguoxMq0TD/&#10;oNeGh9Adncudh7KOTAeaOm569lCLcQD93gSxX/5Hr+ftXv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zh1/tcAAAAHAQAADwAAAAAAAAABACAAAAAiAAAAZHJzL2Rvd25yZXYueG1sUEsBAhQAFAAA&#10;AAgAh07iQK0uL1MpAgAAJQQAAA4AAAAAAAAAAQAgAAAAJgEAAGRycy9lMm9Eb2MueG1sUEsFBgAA&#10;AAAGAAYAWQEAAMEFAAAAAA==&#10;">
                      <v:fill on="f" focussize="0,0"/>
                      <v:stroke on="f" weight="0.5pt"/>
                      <v:imagedata o:title=""/>
                      <o:lock v:ext="edit" aspectratio="f"/>
                      <v:textbox>
                        <w:txbxContent>
                          <w:p>
                            <w:pPr>
                              <w:rPr>
                                <w:rFonts w:hint="default" w:eastAsiaTheme="minorEastAsia"/>
                                <w:lang w:val="en-US" w:eastAsia="zh-CN"/>
                              </w:rPr>
                            </w:pPr>
                            <w:r>
                              <w:rPr>
                                <w:rFonts w:hint="eastAsia"/>
                                <w:lang w:val="en-US" w:eastAsia="zh-CN"/>
                              </w:rPr>
                              <w:t>固废</w:t>
                            </w:r>
                          </w:p>
                        </w:txbxContent>
                      </v:textbox>
                    </v:shape>
                  </w:pict>
                </mc:Fallback>
              </mc:AlternateContent>
            </w:r>
            <w:r>
              <w:rPr>
                <w:color w:val="auto"/>
                <w:sz w:val="24"/>
              </w:rPr>
              <mc:AlternateContent>
                <mc:Choice Requires="wps">
                  <w:drawing>
                    <wp:anchor distT="0" distB="0" distL="114300" distR="114300" simplePos="0" relativeHeight="251691008" behindDoc="0" locked="0" layoutInCell="1" allowOverlap="1">
                      <wp:simplePos x="0" y="0"/>
                      <wp:positionH relativeFrom="column">
                        <wp:posOffset>311785</wp:posOffset>
                      </wp:positionH>
                      <wp:positionV relativeFrom="paragraph">
                        <wp:posOffset>635</wp:posOffset>
                      </wp:positionV>
                      <wp:extent cx="635" cy="213360"/>
                      <wp:effectExtent l="38100" t="0" r="37465" b="15240"/>
                      <wp:wrapNone/>
                      <wp:docPr id="53" name="直接箭头连接符 53"/>
                      <wp:cNvGraphicFramePr/>
                      <a:graphic xmlns:a="http://schemas.openxmlformats.org/drawingml/2006/main">
                        <a:graphicData uri="http://schemas.microsoft.com/office/word/2010/wordprocessingShape">
                          <wps:wsp>
                            <wps:cNvCnPr/>
                            <wps:spPr>
                              <a:xfrm flipV="1">
                                <a:off x="1698625" y="7335520"/>
                                <a:ext cx="635" cy="213360"/>
                              </a:xfrm>
                              <a:prstGeom prst="straightConnector1">
                                <a:avLst/>
                              </a:prstGeom>
                              <a:ln w="9525">
                                <a:solidFill>
                                  <a:schemeClr val="tx1"/>
                                </a:solidFill>
                                <a:prstDash val="dash"/>
                                <a:headEnd type="triangl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4.55pt;margin-top:0.05pt;height:16.8pt;width:0.05pt;z-index:251691008;mso-width-relative:page;mso-height-relative:page;" filled="f" stroked="t" coordsize="21600,21600" o:gfxdata="UEsDBAoAAAAAAIdO4kAAAAAAAAAAAAAAAAAEAAAAZHJzL1BLAwQUAAAACACHTuJAMfj/rNQAAAAF&#10;AQAADwAAAGRycy9kb3ducmV2LnhtbE2OTW7CMBCF95V6B2sqdVecAIKSxmFBRVVVYkHoAYZ4mkSN&#10;x1FsE3L7mlVZvh+99+Xbq+nEhQbXWlaQzhIQxJXVLdcKvk/7l1cQziNr7CyTgokcbIvHhxwzbUc+&#10;0qX0tYgj7DJU0HjfZ1K6qiGDbmZ74pj92MGgj3KopR5wjOOmk/MkWUmDLceHBnvaNVT9lsEoGPX4&#10;ufo47N73tvxahxCmms2k1PNTmryB8HT1/2W44Ud0KCLT2QbWTnQKlps0Nm++iOlyMwdxVrBYrEEW&#10;ubynL/4AUEsDBBQAAAAIAIdO4kDtGTHHCAIAAMMDAAAOAAAAZHJzL2Uyb0RvYy54bWytU0uOEzEQ&#10;3SNxB8t70klaCZlWOrNIGDYIIvHZV2x3tyX/ZJt0cgkugMQKWDGsZs9pYDgGZXfI8NkhemFVdfm9&#10;+j0vLw9akb3wQVpT08loTIkwzHJp2pq+fHH1YEFJiGA4KGtETY8i0MvV/XvL3lViajuruPAESUyo&#10;elfTLkZXFUVgndAQRtYJg8HGeg0RXd8W3EOP7FoV0/F4XvTWc+ctEyHg380QpKvM3zSCxWdNE0Qk&#10;qqZYW8ynz+cuncVqCVXrwXWSncqAf6hCgzSY9Ey1gQjktZd/UWnJvA22iSNmdWGbRjKRe8BuJuM/&#10;unnegRO5FxxOcOcxhf9Hy57ut55IXtNZSYkBjTu6fXvz7c2H28/XX9/ffP/yLtmfPhKM47B6FyrE&#10;rM3Wn7zgtj51fmi8Jo2S7hXqIM8CuyMHdOYXi/l0Rsmxpg/LcjabnsYuDpEwvDAvMcgwOp2U5TwH&#10;i4Ev8Tof4mNhNUlGTUP0INsurq0xuF3rh1ywfxIiVoTAn4AENvZKKpWXrAzpa3oxS5UwQKk1CiKa&#10;2mHzwbSUgGpRwyz6XH2wSvKETjzBt7u18mQPSUf5S9PAbL9dS6k3ELrhHkdrEJiWEVWupK7p4gyG&#10;qhPAHxlO4tHh2KOXYFolBkgEqe5iBh/PKaEymDetYRh8snaWH/M+8n9USq7spOokxV/9jL57e6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fj/rNQAAAAFAQAADwAAAAAAAAABACAAAAAiAAAAZHJz&#10;L2Rvd25yZXYueG1sUEsBAhQAFAAAAAgAh07iQO0ZMccIAgAAwwMAAA4AAAAAAAAAAQAgAAAAIwEA&#10;AGRycy9lMm9Eb2MueG1sUEsFBgAAAAAGAAYAWQEAAJ0FAAAAAA==&#10;">
                      <v:fill on="f" focussize="0,0"/>
                      <v:stroke color="#000000 [3213]" miterlimit="8" joinstyle="miter" dashstyle="dash" startarrow="block"/>
                      <v:imagedata o:title=""/>
                      <o:lock v:ext="edit" aspectratio="f"/>
                    </v:shape>
                  </w:pict>
                </mc:Fallback>
              </mc:AlternateContent>
            </w:r>
          </w:p>
          <w:p>
            <w:pPr>
              <w:pStyle w:val="11"/>
              <w:ind w:firstLine="422"/>
              <w:jc w:val="center"/>
              <w:rPr>
                <w:b/>
                <w:bCs/>
                <w:color w:val="auto"/>
                <w:szCs w:val="24"/>
              </w:rPr>
            </w:pPr>
          </w:p>
          <w:p>
            <w:pPr>
              <w:pStyle w:val="11"/>
              <w:ind w:firstLine="422"/>
              <w:jc w:val="center"/>
              <w:rPr>
                <w:b/>
                <w:bCs/>
                <w:color w:val="auto"/>
                <w:szCs w:val="24"/>
              </w:rPr>
            </w:pPr>
            <w:r>
              <w:rPr>
                <w:b/>
                <w:bCs/>
                <w:color w:val="auto"/>
                <w:szCs w:val="24"/>
              </w:rPr>
              <w:t>图</w:t>
            </w:r>
            <w:r>
              <w:rPr>
                <w:rFonts w:hint="eastAsia"/>
                <w:b/>
                <w:bCs/>
                <w:color w:val="auto"/>
                <w:szCs w:val="24"/>
                <w:lang w:val="en-US" w:eastAsia="zh-CN"/>
              </w:rPr>
              <w:t>2-</w:t>
            </w:r>
            <w:r>
              <w:rPr>
                <w:rFonts w:hint="eastAsia"/>
                <w:b/>
                <w:bCs/>
                <w:color w:val="auto"/>
                <w:szCs w:val="24"/>
              </w:rPr>
              <w:t>3</w:t>
            </w:r>
            <w:r>
              <w:rPr>
                <w:b/>
                <w:bCs/>
                <w:color w:val="auto"/>
                <w:szCs w:val="24"/>
              </w:rPr>
              <w:t xml:space="preserve">  软包沙发工艺流程图</w:t>
            </w:r>
          </w:p>
          <w:p>
            <w:pPr>
              <w:spacing w:line="360" w:lineRule="auto"/>
              <w:ind w:firstLine="480"/>
              <w:rPr>
                <w:color w:val="auto"/>
              </w:rPr>
            </w:pPr>
            <w:r>
              <w:rPr>
                <w:rFonts w:hint="eastAsia"/>
                <w:color w:val="auto"/>
                <w:lang w:val="en-US" w:eastAsia="zh-CN"/>
              </w:rPr>
              <w:t>裁板：</w:t>
            </w:r>
            <w:r>
              <w:rPr>
                <w:color w:val="auto"/>
              </w:rPr>
              <w:t>对</w:t>
            </w:r>
            <w:r>
              <w:rPr>
                <w:rFonts w:hint="eastAsia"/>
                <w:color w:val="auto"/>
                <w:lang w:val="en-US" w:eastAsia="zh-CN"/>
              </w:rPr>
              <w:t>板材</w:t>
            </w:r>
            <w:r>
              <w:rPr>
                <w:color w:val="auto"/>
              </w:rPr>
              <w:t>进行开料处理</w:t>
            </w:r>
            <w:r>
              <w:rPr>
                <w:rFonts w:hint="eastAsia"/>
                <w:color w:val="auto"/>
                <w:lang w:eastAsia="zh-CN"/>
              </w:rPr>
              <w:t>，</w:t>
            </w:r>
            <w:r>
              <w:rPr>
                <w:color w:val="auto"/>
              </w:rPr>
              <w:t>即按照</w:t>
            </w:r>
            <w:r>
              <w:rPr>
                <w:rFonts w:hint="eastAsia"/>
                <w:color w:val="auto"/>
                <w:lang w:val="en-US" w:eastAsia="zh-CN"/>
              </w:rPr>
              <w:t>客户</w:t>
            </w:r>
            <w:r>
              <w:rPr>
                <w:color w:val="auto"/>
              </w:rPr>
              <w:t>要求尺寸</w:t>
            </w:r>
            <w:r>
              <w:rPr>
                <w:rFonts w:hint="eastAsia"/>
                <w:color w:val="auto"/>
                <w:lang w:val="en-US" w:eastAsia="zh-CN"/>
              </w:rPr>
              <w:t>裁切成合适尺寸；</w:t>
            </w:r>
            <w:r>
              <w:rPr>
                <w:color w:val="auto"/>
              </w:rPr>
              <w:t>海绵通过</w:t>
            </w:r>
            <w:r>
              <w:rPr>
                <w:rFonts w:hint="eastAsia"/>
                <w:color w:val="auto"/>
                <w:lang w:val="en-US" w:eastAsia="zh-CN"/>
              </w:rPr>
              <w:t>下料机等</w:t>
            </w:r>
            <w:r>
              <w:rPr>
                <w:color w:val="auto"/>
              </w:rPr>
              <w:t>裁成</w:t>
            </w:r>
            <w:r>
              <w:rPr>
                <w:rFonts w:hint="eastAsia"/>
                <w:color w:val="auto"/>
                <w:lang w:val="en-US" w:eastAsia="zh-CN"/>
              </w:rPr>
              <w:t>设计</w:t>
            </w:r>
            <w:r>
              <w:rPr>
                <w:color w:val="auto"/>
              </w:rPr>
              <w:t>规格大小的尺寸，外购的</w:t>
            </w:r>
            <w:r>
              <w:rPr>
                <w:rFonts w:hint="eastAsia"/>
                <w:color w:val="auto"/>
                <w:lang w:val="en-US" w:eastAsia="zh-CN"/>
              </w:rPr>
              <w:t>布艺</w:t>
            </w:r>
            <w:r>
              <w:rPr>
                <w:color w:val="auto"/>
              </w:rPr>
              <w:t>、</w:t>
            </w:r>
            <w:r>
              <w:rPr>
                <w:rFonts w:hint="eastAsia"/>
                <w:color w:val="auto"/>
                <w:lang w:val="en-US" w:eastAsia="zh-CN"/>
              </w:rPr>
              <w:t>皮革等裁切成合适的尺寸。</w:t>
            </w:r>
            <w:r>
              <w:rPr>
                <w:color w:val="auto"/>
              </w:rPr>
              <w:t>该过程会产生少量粉尘</w:t>
            </w:r>
            <w:r>
              <w:rPr>
                <w:rFonts w:hint="eastAsia"/>
                <w:color w:val="auto"/>
                <w:lang w:eastAsia="zh-CN"/>
              </w:rPr>
              <w:t>、</w:t>
            </w:r>
            <w:r>
              <w:rPr>
                <w:rFonts w:hint="eastAsia"/>
                <w:color w:val="auto"/>
                <w:lang w:val="en-US" w:eastAsia="zh-CN"/>
              </w:rPr>
              <w:t>噪声及废边角料</w:t>
            </w:r>
            <w:r>
              <w:rPr>
                <w:color w:val="auto"/>
              </w:rPr>
              <w:t>。</w:t>
            </w:r>
          </w:p>
          <w:p>
            <w:pPr>
              <w:spacing w:line="360" w:lineRule="auto"/>
              <w:ind w:firstLine="480" w:firstLineChars="200"/>
              <w:rPr>
                <w:rFonts w:hint="default" w:eastAsia="宋体"/>
                <w:color w:val="auto"/>
                <w:lang w:val="en-US" w:eastAsia="zh-CN"/>
              </w:rPr>
            </w:pPr>
            <w:r>
              <w:rPr>
                <w:rFonts w:hint="eastAsia"/>
                <w:color w:val="auto"/>
                <w:lang w:val="en-US" w:eastAsia="zh-CN"/>
              </w:rPr>
              <w:t>缝合：下料好的布艺、皮革通过缝纫机缝合。</w:t>
            </w:r>
            <w:r>
              <w:rPr>
                <w:color w:val="auto"/>
              </w:rPr>
              <w:t>此过程产生噪声</w:t>
            </w:r>
            <w:r>
              <w:rPr>
                <w:rFonts w:hint="eastAsia"/>
                <w:color w:val="auto"/>
                <w:lang w:val="en-US" w:eastAsia="zh-CN"/>
              </w:rPr>
              <w:t>。</w:t>
            </w:r>
          </w:p>
          <w:p>
            <w:pPr>
              <w:spacing w:line="360" w:lineRule="auto"/>
              <w:ind w:firstLine="480" w:firstLineChars="200"/>
              <w:rPr>
                <w:rFonts w:hint="eastAsia"/>
                <w:color w:val="auto"/>
                <w:lang w:val="en-US" w:eastAsia="zh-CN"/>
              </w:rPr>
            </w:pPr>
            <w:r>
              <w:rPr>
                <w:rFonts w:hint="eastAsia"/>
                <w:color w:val="auto"/>
                <w:lang w:val="en-US" w:eastAsia="zh-CN"/>
              </w:rPr>
              <w:t>扪皮：</w:t>
            </w:r>
            <w:r>
              <w:rPr>
                <w:color w:val="auto"/>
              </w:rPr>
              <w:t>切割好的海绵与</w:t>
            </w:r>
            <w:r>
              <w:rPr>
                <w:rFonts w:hint="eastAsia"/>
                <w:color w:val="auto"/>
                <w:lang w:val="en-US" w:eastAsia="zh-CN"/>
              </w:rPr>
              <w:t>缝合好</w:t>
            </w:r>
            <w:r>
              <w:rPr>
                <w:color w:val="auto"/>
              </w:rPr>
              <w:t>的</w:t>
            </w:r>
            <w:r>
              <w:rPr>
                <w:rFonts w:hint="eastAsia"/>
                <w:color w:val="auto"/>
                <w:lang w:val="en-US" w:eastAsia="zh-CN"/>
              </w:rPr>
              <w:t>布艺</w:t>
            </w:r>
            <w:r>
              <w:rPr>
                <w:color w:val="auto"/>
              </w:rPr>
              <w:t>、</w:t>
            </w:r>
            <w:r>
              <w:rPr>
                <w:rFonts w:hint="eastAsia"/>
                <w:color w:val="auto"/>
                <w:lang w:val="en-US" w:eastAsia="zh-CN"/>
              </w:rPr>
              <w:t>皮革覆盖在裁切组装好的板材上即为扪皮。</w:t>
            </w:r>
          </w:p>
          <w:p>
            <w:pPr>
              <w:spacing w:line="360" w:lineRule="auto"/>
              <w:ind w:firstLine="480" w:firstLineChars="200"/>
              <w:rPr>
                <w:rFonts w:hint="eastAsia" w:eastAsia="宋体"/>
                <w:color w:val="auto"/>
                <w:lang w:eastAsia="zh-CN"/>
              </w:rPr>
            </w:pPr>
            <w:r>
              <w:rPr>
                <w:rFonts w:hint="eastAsia"/>
                <w:color w:val="auto"/>
                <w:lang w:val="en-US" w:eastAsia="zh-CN"/>
              </w:rPr>
              <w:t>粘贴：将皮革、布艺与海绵等</w:t>
            </w:r>
            <w:r>
              <w:rPr>
                <w:color w:val="auto"/>
              </w:rPr>
              <w:t>进行粘贴，</w:t>
            </w:r>
            <w:r>
              <w:rPr>
                <w:b/>
                <w:bCs/>
                <w:color w:val="auto"/>
                <w:u w:val="single"/>
              </w:rPr>
              <w:t>此过程海绵胶采用</w:t>
            </w:r>
            <w:r>
              <w:rPr>
                <w:rFonts w:hint="eastAsia"/>
                <w:b/>
                <w:bCs/>
                <w:color w:val="auto"/>
                <w:highlight w:val="none"/>
                <w:u w:val="single"/>
                <w:shd w:val="clear"/>
                <w:lang w:val="en-US" w:eastAsia="zh-CN"/>
              </w:rPr>
              <w:t>人工</w:t>
            </w:r>
            <w:r>
              <w:rPr>
                <w:b/>
                <w:bCs/>
                <w:color w:val="auto"/>
                <w:highlight w:val="none"/>
                <w:u w:val="single"/>
                <w:shd w:val="clear"/>
              </w:rPr>
              <w:t>进行</w:t>
            </w:r>
            <w:r>
              <w:rPr>
                <w:rFonts w:hint="eastAsia"/>
                <w:b/>
                <w:bCs/>
                <w:color w:val="auto"/>
                <w:highlight w:val="none"/>
                <w:u w:val="single"/>
                <w:shd w:val="clear"/>
                <w:lang w:val="en-US" w:eastAsia="zh-CN"/>
              </w:rPr>
              <w:t>刷胶</w:t>
            </w:r>
            <w:r>
              <w:rPr>
                <w:b/>
                <w:bCs/>
                <w:color w:val="auto"/>
                <w:u w:val="single"/>
              </w:rPr>
              <w:t>，</w:t>
            </w:r>
            <w:r>
              <w:rPr>
                <w:color w:val="auto"/>
              </w:rPr>
              <w:t>产生VOCs和噪声</w:t>
            </w:r>
            <w:r>
              <w:rPr>
                <w:rFonts w:hint="eastAsia"/>
                <w:color w:val="auto"/>
                <w:lang w:eastAsia="zh-CN"/>
              </w:rPr>
              <w:t>。</w:t>
            </w:r>
          </w:p>
          <w:p>
            <w:pPr>
              <w:spacing w:line="360" w:lineRule="auto"/>
              <w:ind w:firstLine="480" w:firstLineChars="200"/>
              <w:rPr>
                <w:rFonts w:hint="eastAsia" w:eastAsia="宋体"/>
                <w:color w:val="auto"/>
                <w:lang w:val="en-US" w:eastAsia="zh-CN"/>
              </w:rPr>
            </w:pPr>
            <w:r>
              <w:rPr>
                <w:rFonts w:hint="eastAsia"/>
                <w:color w:val="auto"/>
                <w:lang w:val="en-US" w:eastAsia="zh-CN"/>
              </w:rPr>
              <w:t>钉装：</w:t>
            </w:r>
            <w:r>
              <w:rPr>
                <w:color w:val="auto"/>
              </w:rPr>
              <w:t>根据要求用铁钉组装沙发，此过程产生噪声</w:t>
            </w:r>
            <w:r>
              <w:rPr>
                <w:rFonts w:hint="eastAsia"/>
                <w:color w:val="auto"/>
                <w:lang w:eastAsia="zh-CN"/>
              </w:rPr>
              <w:t>。</w:t>
            </w:r>
          </w:p>
          <w:p>
            <w:pPr>
              <w:spacing w:line="360" w:lineRule="auto"/>
              <w:ind w:firstLine="480"/>
              <w:rPr>
                <w:color w:val="auto"/>
              </w:rPr>
            </w:pPr>
            <w:r>
              <w:rPr>
                <w:rFonts w:hint="eastAsia"/>
                <w:color w:val="auto"/>
                <w:lang w:val="en-US" w:eastAsia="zh-CN"/>
              </w:rPr>
              <w:t>打包</w:t>
            </w:r>
            <w:r>
              <w:rPr>
                <w:color w:val="auto"/>
              </w:rPr>
              <w:t>：经</w:t>
            </w:r>
            <w:r>
              <w:rPr>
                <w:rFonts w:hint="eastAsia"/>
                <w:color w:val="auto"/>
                <w:lang w:val="en-US" w:eastAsia="zh-CN"/>
              </w:rPr>
              <w:t>质检</w:t>
            </w:r>
            <w:r>
              <w:rPr>
                <w:color w:val="auto"/>
              </w:rPr>
              <w:t>检验</w:t>
            </w:r>
            <w:r>
              <w:rPr>
                <w:rFonts w:hint="eastAsia"/>
                <w:color w:val="auto"/>
                <w:lang w:val="en-US" w:eastAsia="zh-CN"/>
              </w:rPr>
              <w:t>合格</w:t>
            </w:r>
            <w:r>
              <w:rPr>
                <w:color w:val="auto"/>
              </w:rPr>
              <w:t>后，成品</w:t>
            </w:r>
            <w:r>
              <w:rPr>
                <w:rFonts w:hint="eastAsia"/>
                <w:color w:val="auto"/>
                <w:lang w:val="en-US" w:eastAsia="zh-CN"/>
              </w:rPr>
              <w:t>打包待售</w:t>
            </w:r>
            <w:r>
              <w:rPr>
                <w:color w:val="auto"/>
              </w:rPr>
              <w:t>。</w:t>
            </w:r>
          </w:p>
          <w:p>
            <w:pPr>
              <w:widowControl/>
              <w:spacing w:line="520" w:lineRule="exact"/>
              <w:ind w:firstLine="482" w:firstLineChars="200"/>
              <w:jc w:val="left"/>
              <w:rPr>
                <w:b/>
                <w:bCs/>
                <w:color w:val="auto"/>
                <w:lang w:bidi="zh-CN"/>
              </w:rPr>
            </w:pPr>
            <w:r>
              <w:rPr>
                <w:rFonts w:hint="eastAsia"/>
                <w:b/>
                <w:bCs/>
                <w:color w:val="auto"/>
                <w:lang w:bidi="zh-CN"/>
              </w:rPr>
              <w:t>主要污染工序：</w:t>
            </w:r>
          </w:p>
          <w:p>
            <w:pPr>
              <w:keepNext w:val="0"/>
              <w:keepLines w:val="0"/>
              <w:pageBreakBefore w:val="0"/>
              <w:widowControl w:val="0"/>
              <w:tabs>
                <w:tab w:val="left" w:pos="7920"/>
              </w:tabs>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auto"/>
                <w:sz w:val="24"/>
                <w:szCs w:val="22"/>
                <w:highlight w:val="none"/>
                <w:lang w:val="en-US" w:eastAsia="zh-CN"/>
              </w:rPr>
            </w:pPr>
            <w:r>
              <w:rPr>
                <w:rFonts w:hint="eastAsia" w:ascii="Times New Roman" w:hAnsi="Times New Roman" w:cs="Times New Roman"/>
                <w:color w:val="auto"/>
                <w:sz w:val="24"/>
                <w:szCs w:val="22"/>
                <w:highlight w:val="none"/>
                <w:lang w:val="en-US" w:eastAsia="zh-CN"/>
              </w:rPr>
              <w:t>本项目主要污染物来源及排放方式如下表所示。</w:t>
            </w:r>
          </w:p>
          <w:p>
            <w:pPr>
              <w:pStyle w:val="46"/>
              <w:keepNext w:val="0"/>
              <w:keepLines w:val="0"/>
              <w:pageBreakBefore w:val="0"/>
              <w:widowControl/>
              <w:numPr>
                <w:ilvl w:val="0"/>
                <w:numId w:val="0"/>
              </w:numPr>
              <w:kinsoku/>
              <w:wordWrap/>
              <w:overflowPunct/>
              <w:topLinePunct w:val="0"/>
              <w:bidi w:val="0"/>
              <w:adjustRightInd w:val="0"/>
              <w:snapToGrid w:val="0"/>
              <w:spacing w:before="0" w:beforeLines="0" w:after="0" w:line="240" w:lineRule="auto"/>
              <w:ind w:left="0" w:leftChars="0" w:firstLine="482" w:firstLineChars="200"/>
              <w:textAlignment w:val="auto"/>
              <w:rPr>
                <w:rFonts w:hint="eastAsia" w:ascii="Times New Roman" w:hAnsi="Times New Roman" w:eastAsia="宋体" w:cs="Times New Roman"/>
                <w:b/>
                <w:bCs/>
                <w:color w:val="auto"/>
                <w:kern w:val="2"/>
                <w:sz w:val="24"/>
                <w:szCs w:val="32"/>
                <w:lang w:val="en-US" w:eastAsia="zh-CN" w:bidi="zh-CN"/>
              </w:rPr>
            </w:pPr>
          </w:p>
          <w:p>
            <w:pPr>
              <w:pStyle w:val="46"/>
              <w:keepNext w:val="0"/>
              <w:keepLines w:val="0"/>
              <w:pageBreakBefore w:val="0"/>
              <w:widowControl/>
              <w:numPr>
                <w:ilvl w:val="0"/>
                <w:numId w:val="0"/>
              </w:numPr>
              <w:kinsoku/>
              <w:wordWrap/>
              <w:overflowPunct/>
              <w:topLinePunct w:val="0"/>
              <w:bidi w:val="0"/>
              <w:adjustRightInd w:val="0"/>
              <w:snapToGrid w:val="0"/>
              <w:spacing w:before="0" w:beforeLines="0" w:after="0" w:line="240" w:lineRule="auto"/>
              <w:ind w:left="0" w:leftChars="0" w:firstLine="482" w:firstLineChars="200"/>
              <w:textAlignment w:val="auto"/>
              <w:rPr>
                <w:rFonts w:hint="eastAsia" w:ascii="Times New Roman" w:hAnsi="Times New Roman" w:eastAsia="宋体" w:cs="Times New Roman"/>
                <w:b/>
                <w:bCs/>
                <w:color w:val="auto"/>
                <w:kern w:val="2"/>
                <w:sz w:val="24"/>
                <w:szCs w:val="32"/>
                <w:lang w:val="en-US" w:eastAsia="zh-CN" w:bidi="zh-CN"/>
              </w:rPr>
            </w:pPr>
          </w:p>
          <w:p>
            <w:pPr>
              <w:pStyle w:val="46"/>
              <w:keepNext w:val="0"/>
              <w:keepLines w:val="0"/>
              <w:pageBreakBefore w:val="0"/>
              <w:widowControl/>
              <w:numPr>
                <w:ilvl w:val="0"/>
                <w:numId w:val="0"/>
              </w:numPr>
              <w:kinsoku/>
              <w:wordWrap/>
              <w:overflowPunct/>
              <w:topLinePunct w:val="0"/>
              <w:bidi w:val="0"/>
              <w:adjustRightInd w:val="0"/>
              <w:snapToGrid w:val="0"/>
              <w:spacing w:before="0" w:beforeLines="0" w:after="0" w:line="240" w:lineRule="auto"/>
              <w:ind w:left="0" w:leftChars="0" w:firstLine="482" w:firstLineChars="200"/>
              <w:textAlignment w:val="auto"/>
              <w:rPr>
                <w:rFonts w:hint="eastAsia" w:ascii="Times New Roman" w:hAnsi="Times New Roman" w:eastAsia="宋体" w:cs="Times New Roman"/>
                <w:b/>
                <w:bCs/>
                <w:color w:val="auto"/>
                <w:kern w:val="2"/>
                <w:sz w:val="24"/>
                <w:szCs w:val="32"/>
                <w:lang w:val="en-US" w:eastAsia="zh-CN" w:bidi="zh-CN"/>
              </w:rPr>
            </w:pPr>
          </w:p>
          <w:p>
            <w:pPr>
              <w:pStyle w:val="46"/>
              <w:keepNext w:val="0"/>
              <w:keepLines w:val="0"/>
              <w:pageBreakBefore w:val="0"/>
              <w:widowControl/>
              <w:numPr>
                <w:ilvl w:val="0"/>
                <w:numId w:val="0"/>
              </w:numPr>
              <w:kinsoku/>
              <w:wordWrap/>
              <w:overflowPunct/>
              <w:topLinePunct w:val="0"/>
              <w:bidi w:val="0"/>
              <w:adjustRightInd w:val="0"/>
              <w:snapToGrid w:val="0"/>
              <w:spacing w:before="0" w:beforeLines="0" w:after="0" w:line="240" w:lineRule="auto"/>
              <w:ind w:left="0" w:leftChars="0" w:firstLine="482" w:firstLineChars="200"/>
              <w:textAlignment w:val="auto"/>
              <w:rPr>
                <w:rFonts w:hint="eastAsia" w:ascii="Times New Roman" w:hAnsi="Times New Roman" w:eastAsia="宋体" w:cs="Times New Roman"/>
                <w:b/>
                <w:bCs/>
                <w:color w:val="auto"/>
                <w:kern w:val="2"/>
                <w:sz w:val="24"/>
                <w:szCs w:val="32"/>
                <w:lang w:val="en-US" w:eastAsia="zh-CN" w:bidi="zh-CN"/>
              </w:rPr>
            </w:pPr>
          </w:p>
          <w:p>
            <w:pPr>
              <w:pStyle w:val="46"/>
              <w:keepNext w:val="0"/>
              <w:keepLines w:val="0"/>
              <w:pageBreakBefore w:val="0"/>
              <w:widowControl/>
              <w:numPr>
                <w:ilvl w:val="0"/>
                <w:numId w:val="0"/>
              </w:numPr>
              <w:kinsoku/>
              <w:wordWrap/>
              <w:overflowPunct/>
              <w:topLinePunct w:val="0"/>
              <w:bidi w:val="0"/>
              <w:adjustRightInd w:val="0"/>
              <w:snapToGrid w:val="0"/>
              <w:spacing w:before="0" w:beforeLines="0" w:after="0" w:line="240" w:lineRule="auto"/>
              <w:ind w:left="0" w:leftChars="0" w:firstLine="482" w:firstLineChars="200"/>
              <w:textAlignment w:val="auto"/>
              <w:rPr>
                <w:rFonts w:hint="eastAsia" w:ascii="Times New Roman" w:hAnsi="Times New Roman" w:eastAsia="宋体" w:cs="Times New Roman"/>
                <w:b/>
                <w:bCs/>
                <w:color w:val="auto"/>
                <w:kern w:val="2"/>
                <w:sz w:val="24"/>
                <w:szCs w:val="32"/>
                <w:lang w:val="en-US" w:eastAsia="zh-CN" w:bidi="zh-CN"/>
              </w:rPr>
            </w:pPr>
          </w:p>
          <w:p>
            <w:pPr>
              <w:pStyle w:val="46"/>
              <w:keepNext w:val="0"/>
              <w:keepLines w:val="0"/>
              <w:pageBreakBefore w:val="0"/>
              <w:widowControl/>
              <w:numPr>
                <w:ilvl w:val="0"/>
                <w:numId w:val="0"/>
              </w:numPr>
              <w:kinsoku/>
              <w:wordWrap/>
              <w:overflowPunct/>
              <w:topLinePunct w:val="0"/>
              <w:bidi w:val="0"/>
              <w:adjustRightInd w:val="0"/>
              <w:snapToGrid w:val="0"/>
              <w:spacing w:before="0" w:beforeLines="0" w:after="0" w:line="240" w:lineRule="auto"/>
              <w:ind w:left="0" w:leftChars="0" w:firstLine="482" w:firstLineChars="200"/>
              <w:textAlignment w:val="auto"/>
              <w:rPr>
                <w:rFonts w:hint="eastAsia" w:ascii="Times New Roman" w:hAnsi="Times New Roman" w:eastAsia="宋体" w:cs="Times New Roman"/>
                <w:b/>
                <w:bCs/>
                <w:color w:val="auto"/>
                <w:kern w:val="2"/>
                <w:sz w:val="24"/>
                <w:szCs w:val="32"/>
                <w:lang w:val="en-US" w:eastAsia="zh-CN" w:bidi="zh-CN"/>
              </w:rPr>
            </w:pPr>
          </w:p>
          <w:p>
            <w:pPr>
              <w:pStyle w:val="46"/>
              <w:keepNext w:val="0"/>
              <w:keepLines w:val="0"/>
              <w:pageBreakBefore w:val="0"/>
              <w:widowControl/>
              <w:numPr>
                <w:ilvl w:val="0"/>
                <w:numId w:val="0"/>
              </w:numPr>
              <w:kinsoku/>
              <w:wordWrap/>
              <w:overflowPunct/>
              <w:topLinePunct w:val="0"/>
              <w:bidi w:val="0"/>
              <w:adjustRightInd w:val="0"/>
              <w:snapToGrid w:val="0"/>
              <w:spacing w:before="0" w:beforeLines="0" w:after="0" w:line="240" w:lineRule="auto"/>
              <w:ind w:left="0" w:leftChars="0" w:firstLine="482" w:firstLineChars="200"/>
              <w:textAlignment w:val="auto"/>
              <w:rPr>
                <w:rFonts w:hint="eastAsia" w:ascii="Times New Roman" w:hAnsi="Times New Roman" w:eastAsia="宋体" w:cs="Times New Roman"/>
                <w:b/>
                <w:bCs/>
                <w:color w:val="auto"/>
                <w:kern w:val="2"/>
                <w:sz w:val="24"/>
                <w:szCs w:val="32"/>
                <w:lang w:val="en-US" w:eastAsia="zh-CN" w:bidi="zh-CN"/>
              </w:rPr>
            </w:pPr>
          </w:p>
          <w:p>
            <w:pPr>
              <w:pStyle w:val="46"/>
              <w:keepNext w:val="0"/>
              <w:keepLines w:val="0"/>
              <w:pageBreakBefore w:val="0"/>
              <w:widowControl/>
              <w:numPr>
                <w:ilvl w:val="0"/>
                <w:numId w:val="0"/>
              </w:numPr>
              <w:kinsoku/>
              <w:wordWrap/>
              <w:overflowPunct/>
              <w:topLinePunct w:val="0"/>
              <w:bidi w:val="0"/>
              <w:adjustRightInd w:val="0"/>
              <w:snapToGrid w:val="0"/>
              <w:spacing w:before="0" w:beforeLines="0" w:after="0" w:line="240" w:lineRule="auto"/>
              <w:ind w:left="0" w:leftChars="0" w:firstLine="482" w:firstLineChars="200"/>
              <w:textAlignment w:val="auto"/>
              <w:rPr>
                <w:rFonts w:hint="eastAsia" w:ascii="Times New Roman" w:hAnsi="Times New Roman" w:eastAsia="宋体" w:cs="Times New Roman"/>
                <w:b/>
                <w:bCs/>
                <w:color w:val="auto"/>
                <w:kern w:val="2"/>
                <w:sz w:val="24"/>
                <w:szCs w:val="32"/>
                <w:lang w:val="en-US" w:eastAsia="zh-CN" w:bidi="zh-CN"/>
              </w:rPr>
            </w:pPr>
          </w:p>
          <w:p>
            <w:pPr>
              <w:pStyle w:val="46"/>
              <w:keepNext w:val="0"/>
              <w:keepLines w:val="0"/>
              <w:pageBreakBefore w:val="0"/>
              <w:widowControl/>
              <w:numPr>
                <w:ilvl w:val="0"/>
                <w:numId w:val="0"/>
              </w:numPr>
              <w:kinsoku/>
              <w:wordWrap/>
              <w:overflowPunct/>
              <w:topLinePunct w:val="0"/>
              <w:bidi w:val="0"/>
              <w:adjustRightInd w:val="0"/>
              <w:snapToGrid w:val="0"/>
              <w:spacing w:before="0" w:beforeLines="0" w:after="0" w:line="240" w:lineRule="auto"/>
              <w:ind w:left="0" w:leftChars="0" w:firstLine="482" w:firstLineChars="200"/>
              <w:textAlignment w:val="auto"/>
              <w:rPr>
                <w:rFonts w:hint="eastAsia" w:ascii="Times New Roman" w:hAnsi="Times New Roman" w:eastAsia="宋体" w:cs="Times New Roman"/>
                <w:b/>
                <w:bCs/>
                <w:color w:val="auto"/>
                <w:kern w:val="2"/>
                <w:sz w:val="24"/>
                <w:szCs w:val="32"/>
                <w:lang w:val="en-US" w:eastAsia="zh-CN" w:bidi="zh-CN"/>
              </w:rPr>
            </w:pPr>
            <w:r>
              <w:rPr>
                <w:rFonts w:hint="eastAsia" w:ascii="Times New Roman" w:hAnsi="Times New Roman" w:eastAsia="宋体" w:cs="Times New Roman"/>
                <w:b/>
                <w:bCs/>
                <w:color w:val="auto"/>
                <w:kern w:val="2"/>
                <w:sz w:val="24"/>
                <w:szCs w:val="32"/>
                <w:lang w:val="en-US" w:eastAsia="zh-CN" w:bidi="zh-CN"/>
              </w:rPr>
              <w:t>表2-7  主要污染工序一览表</w:t>
            </w:r>
          </w:p>
          <w:tbl>
            <w:tblPr>
              <w:tblStyle w:val="23"/>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705"/>
              <w:gridCol w:w="1248"/>
              <w:gridCol w:w="1781"/>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557" w:type="dxa"/>
                  <w:gridSpan w:val="2"/>
                  <w:vAlign w:val="center"/>
                </w:tcPr>
                <w:p>
                  <w:pPr>
                    <w:spacing w:before="65" w:line="228" w:lineRule="auto"/>
                    <w:ind w:left="46" w:leftChars="0"/>
                    <w:jc w:val="center"/>
                    <w:rPr>
                      <w:rFonts w:hint="eastAsia" w:ascii="宋体" w:hAnsi="宋体" w:eastAsia="宋体" w:cs="宋体"/>
                      <w:b/>
                      <w:bCs/>
                      <w:color w:val="auto"/>
                      <w:spacing w:val="6"/>
                      <w:sz w:val="21"/>
                      <w:szCs w:val="21"/>
                      <w:lang w:val="en-US" w:eastAsia="zh-CN"/>
                    </w:rPr>
                  </w:pPr>
                  <w:r>
                    <w:rPr>
                      <w:rFonts w:hint="eastAsia" w:ascii="宋体" w:hAnsi="宋体" w:eastAsia="宋体" w:cs="宋体"/>
                      <w:b/>
                      <w:bCs/>
                      <w:color w:val="auto"/>
                      <w:spacing w:val="6"/>
                      <w:sz w:val="21"/>
                      <w:szCs w:val="21"/>
                      <w:lang w:val="en-US" w:eastAsia="zh-CN"/>
                    </w:rPr>
                    <w:t>污染类别</w:t>
                  </w:r>
                </w:p>
              </w:tc>
              <w:tc>
                <w:tcPr>
                  <w:tcW w:w="1248" w:type="dxa"/>
                  <w:shd w:val="clear" w:color="auto" w:fill="auto"/>
                  <w:vAlign w:val="center"/>
                </w:tcPr>
                <w:p>
                  <w:pPr>
                    <w:spacing w:before="65" w:line="228" w:lineRule="auto"/>
                    <w:ind w:left="46" w:leftChars="0"/>
                    <w:jc w:val="center"/>
                    <w:rPr>
                      <w:rFonts w:hint="eastAsia" w:ascii="宋体" w:hAnsi="宋体" w:eastAsia="宋体" w:cs="宋体"/>
                      <w:b/>
                      <w:bCs/>
                      <w:color w:val="auto"/>
                      <w:spacing w:val="6"/>
                      <w:sz w:val="21"/>
                      <w:szCs w:val="21"/>
                      <w:lang w:val="en-US" w:eastAsia="zh-CN"/>
                    </w:rPr>
                  </w:pPr>
                  <w:r>
                    <w:rPr>
                      <w:rFonts w:hint="eastAsia" w:ascii="宋体" w:hAnsi="宋体" w:eastAsia="宋体" w:cs="宋体"/>
                      <w:b/>
                      <w:bCs/>
                      <w:color w:val="auto"/>
                      <w:spacing w:val="6"/>
                      <w:sz w:val="21"/>
                      <w:szCs w:val="21"/>
                      <w:lang w:val="en-US" w:eastAsia="zh-CN"/>
                    </w:rPr>
                    <w:t>产生工序</w:t>
                  </w:r>
                </w:p>
              </w:tc>
              <w:tc>
                <w:tcPr>
                  <w:tcW w:w="1781" w:type="dxa"/>
                  <w:shd w:val="clear" w:color="auto" w:fill="auto"/>
                  <w:vAlign w:val="center"/>
                </w:tcPr>
                <w:p>
                  <w:pPr>
                    <w:spacing w:before="65" w:line="228" w:lineRule="auto"/>
                    <w:ind w:left="46" w:leftChars="0"/>
                    <w:jc w:val="center"/>
                    <w:rPr>
                      <w:rFonts w:hint="eastAsia" w:ascii="宋体" w:hAnsi="宋体" w:eastAsia="宋体" w:cs="宋体"/>
                      <w:b/>
                      <w:bCs/>
                      <w:color w:val="auto"/>
                      <w:spacing w:val="6"/>
                      <w:sz w:val="21"/>
                      <w:szCs w:val="21"/>
                      <w:lang w:val="en-US" w:eastAsia="zh-CN"/>
                    </w:rPr>
                  </w:pPr>
                  <w:r>
                    <w:rPr>
                      <w:rFonts w:hint="eastAsia" w:ascii="宋体" w:hAnsi="宋体" w:eastAsia="宋体" w:cs="宋体"/>
                      <w:b/>
                      <w:bCs/>
                      <w:color w:val="auto"/>
                      <w:spacing w:val="6"/>
                      <w:sz w:val="21"/>
                      <w:szCs w:val="21"/>
                      <w:lang w:val="en-US" w:eastAsia="zh-CN"/>
                    </w:rPr>
                    <w:t>主要污染物</w:t>
                  </w:r>
                </w:p>
              </w:tc>
              <w:tc>
                <w:tcPr>
                  <w:tcW w:w="2554" w:type="dxa"/>
                  <w:shd w:val="clear" w:color="auto" w:fill="auto"/>
                  <w:vAlign w:val="center"/>
                </w:tcPr>
                <w:p>
                  <w:pPr>
                    <w:spacing w:before="65" w:line="228" w:lineRule="auto"/>
                    <w:ind w:left="46" w:leftChars="0"/>
                    <w:jc w:val="center"/>
                    <w:rPr>
                      <w:rFonts w:hint="eastAsia" w:ascii="宋体" w:hAnsi="宋体" w:eastAsia="宋体" w:cs="宋体"/>
                      <w:b/>
                      <w:bCs/>
                      <w:color w:val="auto"/>
                      <w:spacing w:val="6"/>
                      <w:sz w:val="21"/>
                      <w:szCs w:val="21"/>
                      <w:lang w:val="en-US" w:eastAsia="zh-CN"/>
                    </w:rPr>
                  </w:pPr>
                  <w:r>
                    <w:rPr>
                      <w:rFonts w:hint="eastAsia" w:ascii="宋体" w:hAnsi="宋体" w:eastAsia="宋体" w:cs="宋体"/>
                      <w:b/>
                      <w:bCs/>
                      <w:color w:val="auto"/>
                      <w:spacing w:val="6"/>
                      <w:sz w:val="21"/>
                      <w:szCs w:val="21"/>
                      <w:lang w:val="en-US" w:eastAsia="zh-CN"/>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852" w:type="dxa"/>
                  <w:vMerge w:val="restart"/>
                  <w:vAlign w:val="center"/>
                </w:tcPr>
                <w:p>
                  <w:pPr>
                    <w:spacing w:before="65" w:line="228" w:lineRule="auto"/>
                    <w:ind w:left="46" w:left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废气</w:t>
                  </w:r>
                </w:p>
              </w:tc>
              <w:tc>
                <w:tcPr>
                  <w:tcW w:w="2705" w:type="dxa"/>
                  <w:vAlign w:val="center"/>
                </w:tcPr>
                <w:p>
                  <w:pPr>
                    <w:spacing w:before="65" w:line="228" w:lineRule="auto"/>
                    <w:ind w:left="46" w:left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木加工的粉尘</w:t>
                  </w:r>
                </w:p>
              </w:tc>
              <w:tc>
                <w:tcPr>
                  <w:tcW w:w="1248" w:type="dxa"/>
                  <w:shd w:val="clear" w:color="auto" w:fill="auto"/>
                  <w:vAlign w:val="center"/>
                </w:tcPr>
                <w:p>
                  <w:pPr>
                    <w:spacing w:before="65" w:line="228" w:lineRule="auto"/>
                    <w:ind w:left="46" w:left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6"/>
                      <w:sz w:val="21"/>
                      <w:szCs w:val="21"/>
                      <w:lang w:val="en-US" w:eastAsia="zh-CN"/>
                    </w:rPr>
                    <w:t>木加工、下料</w:t>
                  </w:r>
                </w:p>
              </w:tc>
              <w:tc>
                <w:tcPr>
                  <w:tcW w:w="1781" w:type="dxa"/>
                  <w:shd w:val="clear" w:color="auto" w:fill="auto"/>
                  <w:vAlign w:val="center"/>
                </w:tcPr>
                <w:p>
                  <w:pPr>
                    <w:spacing w:before="65" w:line="228" w:lineRule="auto"/>
                    <w:ind w:left="46" w:left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6"/>
                      <w:sz w:val="21"/>
                      <w:szCs w:val="21"/>
                      <w:lang w:val="en-US" w:eastAsia="zh-CN"/>
                    </w:rPr>
                    <w:t>颗粒物</w:t>
                  </w:r>
                </w:p>
              </w:tc>
              <w:tc>
                <w:tcPr>
                  <w:tcW w:w="2554" w:type="dxa"/>
                  <w:shd w:val="clear" w:color="auto" w:fill="auto"/>
                  <w:vAlign w:val="center"/>
                </w:tcPr>
                <w:p>
                  <w:pPr>
                    <w:spacing w:before="65" w:line="228" w:lineRule="auto"/>
                    <w:ind w:left="46" w:left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kern w:val="2"/>
                      <w:sz w:val="21"/>
                      <w:szCs w:val="21"/>
                      <w:highlight w:val="none"/>
                      <w:vertAlign w:val="baseline"/>
                      <w:lang w:val="en-US" w:eastAsia="zh-CN" w:bidi="ar-SA"/>
                    </w:rPr>
                    <w:t>集气罩+中央除尘器+15m排气筒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852" w:type="dxa"/>
                  <w:vMerge w:val="continue"/>
                  <w:vAlign w:val="center"/>
                </w:tcPr>
                <w:p>
                  <w:pPr>
                    <w:spacing w:before="65" w:line="228" w:lineRule="auto"/>
                    <w:ind w:left="46" w:leftChars="0"/>
                    <w:jc w:val="center"/>
                    <w:rPr>
                      <w:rFonts w:hint="eastAsia" w:ascii="宋体" w:hAnsi="宋体" w:eastAsia="宋体" w:cs="宋体"/>
                      <w:color w:val="auto"/>
                      <w:spacing w:val="6"/>
                      <w:sz w:val="21"/>
                      <w:szCs w:val="21"/>
                      <w:lang w:val="en-US" w:eastAsia="zh-CN"/>
                    </w:rPr>
                  </w:pPr>
                </w:p>
              </w:tc>
              <w:tc>
                <w:tcPr>
                  <w:tcW w:w="2705" w:type="dxa"/>
                  <w:vAlign w:val="center"/>
                </w:tcPr>
                <w:p>
                  <w:pPr>
                    <w:spacing w:before="65" w:line="228" w:lineRule="auto"/>
                    <w:ind w:left="46" w:left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封边、粘贴产生的有机废气</w:t>
                  </w:r>
                </w:p>
              </w:tc>
              <w:tc>
                <w:tcPr>
                  <w:tcW w:w="1248" w:type="dxa"/>
                  <w:shd w:val="clear" w:color="auto" w:fill="auto"/>
                  <w:vAlign w:val="center"/>
                </w:tcPr>
                <w:p>
                  <w:pPr>
                    <w:spacing w:before="65" w:line="228" w:lineRule="auto"/>
                    <w:ind w:left="46" w:left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6"/>
                      <w:sz w:val="21"/>
                      <w:szCs w:val="21"/>
                      <w:lang w:val="en-US" w:eastAsia="zh-CN"/>
                    </w:rPr>
                    <w:t>封边、粘贴</w:t>
                  </w:r>
                </w:p>
              </w:tc>
              <w:tc>
                <w:tcPr>
                  <w:tcW w:w="1781" w:type="dxa"/>
                  <w:shd w:val="clear" w:color="auto" w:fill="auto"/>
                  <w:vAlign w:val="center"/>
                </w:tcPr>
                <w:p>
                  <w:pPr>
                    <w:spacing w:before="65" w:line="228" w:lineRule="auto"/>
                    <w:ind w:left="46" w:left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6"/>
                      <w:sz w:val="21"/>
                      <w:szCs w:val="21"/>
                      <w:lang w:val="en-US" w:eastAsia="zh-CN"/>
                    </w:rPr>
                    <w:t>非甲烷总烃</w:t>
                  </w:r>
                </w:p>
              </w:tc>
              <w:tc>
                <w:tcPr>
                  <w:tcW w:w="2554" w:type="dxa"/>
                  <w:shd w:val="clear" w:color="auto" w:fill="auto"/>
                  <w:vAlign w:val="center"/>
                </w:tcPr>
                <w:p>
                  <w:pPr>
                    <w:spacing w:before="65" w:line="228" w:lineRule="auto"/>
                    <w:ind w:left="46" w:left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6"/>
                      <w:sz w:val="21"/>
                      <w:szCs w:val="21"/>
                      <w:lang w:val="en-US" w:eastAsia="zh-CN"/>
                    </w:rPr>
                    <w:t>两级活性炭+15米高排气筒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852" w:type="dxa"/>
                  <w:vAlign w:val="center"/>
                </w:tcPr>
                <w:p>
                  <w:pPr>
                    <w:spacing w:before="65" w:line="228" w:lineRule="auto"/>
                    <w:ind w:left="46" w:left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废水</w:t>
                  </w:r>
                </w:p>
              </w:tc>
              <w:tc>
                <w:tcPr>
                  <w:tcW w:w="2705" w:type="dxa"/>
                  <w:vAlign w:val="center"/>
                </w:tcPr>
                <w:p>
                  <w:pPr>
                    <w:spacing w:before="65" w:line="228" w:lineRule="auto"/>
                    <w:ind w:left="46" w:left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z w:val="21"/>
                      <w:szCs w:val="21"/>
                      <w:lang w:bidi="zh-CN"/>
                    </w:rPr>
                    <w:t>职工生活污水</w:t>
                  </w:r>
                </w:p>
              </w:tc>
              <w:tc>
                <w:tcPr>
                  <w:tcW w:w="1248" w:type="dxa"/>
                  <w:shd w:val="clear" w:color="auto" w:fill="auto"/>
                  <w:vAlign w:val="center"/>
                </w:tcPr>
                <w:p>
                  <w:pPr>
                    <w:spacing w:before="65" w:line="228" w:lineRule="auto"/>
                    <w:ind w:left="46" w:left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6"/>
                      <w:sz w:val="21"/>
                      <w:szCs w:val="21"/>
                      <w:lang w:val="en-US" w:eastAsia="zh-CN"/>
                    </w:rPr>
                    <w:t>职工生活</w:t>
                  </w:r>
                </w:p>
              </w:tc>
              <w:tc>
                <w:tcPr>
                  <w:tcW w:w="178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pH值、COD、</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kern w:val="2"/>
                      <w:sz w:val="21"/>
                      <w:szCs w:val="21"/>
                      <w:highlight w:val="none"/>
                      <w:vertAlign w:val="baseline"/>
                      <w:lang w:val="en-US" w:eastAsia="zh-CN" w:bidi="ar-SA"/>
                    </w:rPr>
                    <w:t>BOD</w:t>
                  </w:r>
                  <w:r>
                    <w:rPr>
                      <w:rFonts w:hint="default" w:ascii="Times New Roman" w:hAnsi="Times New Roman" w:eastAsia="宋体" w:cs="Times New Roman"/>
                      <w:color w:val="auto"/>
                      <w:kern w:val="2"/>
                      <w:sz w:val="21"/>
                      <w:szCs w:val="21"/>
                      <w:highlight w:val="none"/>
                      <w:vertAlign w:val="subscript"/>
                      <w:lang w:val="en-US" w:eastAsia="zh-CN" w:bidi="ar-SA"/>
                    </w:rPr>
                    <w:t>5</w:t>
                  </w:r>
                  <w:r>
                    <w:rPr>
                      <w:rFonts w:hint="default" w:ascii="Times New Roman" w:hAnsi="Times New Roman" w:eastAsia="宋体" w:cs="Times New Roman"/>
                      <w:color w:val="auto"/>
                      <w:kern w:val="2"/>
                      <w:sz w:val="21"/>
                      <w:szCs w:val="21"/>
                      <w:highlight w:val="none"/>
                      <w:vertAlign w:val="baseline"/>
                      <w:lang w:val="en-US" w:eastAsia="zh-CN" w:bidi="ar-SA"/>
                    </w:rPr>
                    <w:t>、SS、NH</w:t>
                  </w:r>
                  <w:r>
                    <w:rPr>
                      <w:rFonts w:hint="default" w:ascii="Times New Roman" w:hAnsi="Times New Roman" w:eastAsia="宋体" w:cs="Times New Roman"/>
                      <w:color w:val="auto"/>
                      <w:kern w:val="2"/>
                      <w:sz w:val="21"/>
                      <w:szCs w:val="21"/>
                      <w:highlight w:val="none"/>
                      <w:vertAlign w:val="subscript"/>
                      <w:lang w:val="en-US" w:eastAsia="zh-CN" w:bidi="ar-SA"/>
                    </w:rPr>
                    <w:t>3</w:t>
                  </w:r>
                  <w:r>
                    <w:rPr>
                      <w:rFonts w:hint="default" w:ascii="Times New Roman" w:hAnsi="Times New Roman" w:eastAsia="宋体" w:cs="Times New Roman"/>
                      <w:color w:val="auto"/>
                      <w:kern w:val="2"/>
                      <w:sz w:val="21"/>
                      <w:szCs w:val="21"/>
                      <w:highlight w:val="none"/>
                      <w:vertAlign w:val="baseline"/>
                      <w:lang w:val="en-US" w:eastAsia="zh-CN" w:bidi="ar-SA"/>
                    </w:rPr>
                    <w:t>-N</w:t>
                  </w:r>
                </w:p>
              </w:tc>
              <w:tc>
                <w:tcPr>
                  <w:tcW w:w="255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kern w:val="2"/>
                      <w:sz w:val="21"/>
                      <w:szCs w:val="21"/>
                      <w:highlight w:val="none"/>
                      <w:vertAlign w:val="baseline"/>
                      <w:lang w:val="en-US" w:eastAsia="zh-CN" w:bidi="ar-SA"/>
                    </w:rPr>
                    <w:t>经化粪池处理后通过厂区污水管网进入市政污水管网后进入</w:t>
                  </w:r>
                  <w:r>
                    <w:rPr>
                      <w:rFonts w:hint="default" w:ascii="Times New Roman" w:hAnsi="Times New Roman" w:eastAsia="宋体" w:cs="Times New Roman"/>
                      <w:color w:val="auto"/>
                      <w:spacing w:val="6"/>
                      <w:sz w:val="21"/>
                      <w:szCs w:val="21"/>
                      <w:lang w:val="en-US" w:eastAsia="zh-CN"/>
                    </w:rPr>
                    <w:t>清丰中州水务有限公司第二污水处理厂进行处理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852" w:type="dxa"/>
                  <w:vAlign w:val="center"/>
                </w:tcPr>
                <w:p>
                  <w:pPr>
                    <w:spacing w:before="65" w:line="228" w:lineRule="auto"/>
                    <w:ind w:left="46" w:left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噪声</w:t>
                  </w:r>
                </w:p>
              </w:tc>
              <w:tc>
                <w:tcPr>
                  <w:tcW w:w="2705" w:type="dxa"/>
                  <w:vAlign w:val="center"/>
                </w:tcPr>
                <w:p>
                  <w:pPr>
                    <w:spacing w:before="52" w:line="259" w:lineRule="auto"/>
                    <w:ind w:left="28" w:leftChars="0" w:right="19" w:rightChars="0" w:firstLine="1" w:firstLine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8"/>
                      <w:sz w:val="21"/>
                      <w:szCs w:val="21"/>
                    </w:rPr>
                    <w:t>生产全过程</w:t>
                  </w:r>
                </w:p>
              </w:tc>
              <w:tc>
                <w:tcPr>
                  <w:tcW w:w="1248" w:type="dxa"/>
                  <w:shd w:val="clear" w:color="auto" w:fill="auto"/>
                  <w:vAlign w:val="center"/>
                </w:tcPr>
                <w:p>
                  <w:pPr>
                    <w:spacing w:before="52" w:line="259" w:lineRule="auto"/>
                    <w:ind w:left="28" w:leftChars="0" w:right="19" w:rightChars="0" w:firstLine="1" w:firstLine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8"/>
                      <w:sz w:val="21"/>
                      <w:szCs w:val="21"/>
                    </w:rPr>
                    <w:t>生产设备</w:t>
                  </w:r>
                </w:p>
              </w:tc>
              <w:tc>
                <w:tcPr>
                  <w:tcW w:w="1781" w:type="dxa"/>
                  <w:shd w:val="clear" w:color="auto" w:fill="auto"/>
                  <w:vAlign w:val="center"/>
                </w:tcPr>
                <w:p>
                  <w:pPr>
                    <w:spacing w:before="52" w:line="259" w:lineRule="auto"/>
                    <w:ind w:left="28" w:leftChars="0" w:right="19" w:rightChars="0" w:firstLine="1" w:firstLine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8"/>
                      <w:sz w:val="21"/>
                      <w:szCs w:val="21"/>
                    </w:rPr>
                    <w:t>噪声</w:t>
                  </w:r>
                </w:p>
              </w:tc>
              <w:tc>
                <w:tcPr>
                  <w:tcW w:w="2554" w:type="dxa"/>
                  <w:shd w:val="clear" w:color="auto" w:fill="auto"/>
                  <w:vAlign w:val="center"/>
                </w:tcPr>
                <w:p>
                  <w:pPr>
                    <w:spacing w:before="52" w:line="259" w:lineRule="auto"/>
                    <w:ind w:left="28" w:leftChars="0" w:right="19" w:rightChars="0" w:firstLine="1" w:firstLineChars="0"/>
                    <w:jc w:val="center"/>
                    <w:rPr>
                      <w:rFonts w:hint="default" w:ascii="Times New Roman" w:hAnsi="Times New Roman" w:eastAsia="宋体" w:cs="Times New Roman"/>
                      <w:color w:val="auto"/>
                      <w:spacing w:val="6"/>
                      <w:sz w:val="21"/>
                      <w:szCs w:val="21"/>
                      <w:lang w:val="en-US" w:eastAsia="zh-CN"/>
                    </w:rPr>
                  </w:pPr>
                  <w:r>
                    <w:rPr>
                      <w:rFonts w:hint="default" w:ascii="Times New Roman" w:hAnsi="Times New Roman" w:eastAsia="宋体" w:cs="Times New Roman"/>
                      <w:color w:val="auto"/>
                      <w:spacing w:val="8"/>
                      <w:sz w:val="21"/>
                      <w:szCs w:val="21"/>
                    </w:rPr>
                    <w:t>选用低噪声设备，采取减振、隔声等措施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852" w:type="dxa"/>
                  <w:vMerge w:val="restart"/>
                  <w:vAlign w:val="center"/>
                </w:tcPr>
                <w:p>
                  <w:pPr>
                    <w:spacing w:before="52" w:line="259" w:lineRule="auto"/>
                    <w:ind w:left="28" w:leftChars="0" w:right="19" w:rightChars="0" w:firstLine="1" w:firstLineChars="0"/>
                    <w:jc w:val="center"/>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rPr>
                    <w:t>固废</w:t>
                  </w:r>
                </w:p>
              </w:tc>
              <w:tc>
                <w:tcPr>
                  <w:tcW w:w="2705" w:type="dxa"/>
                  <w:vAlign w:val="center"/>
                </w:tcPr>
                <w:p>
                  <w:pPr>
                    <w:spacing w:before="52" w:line="259" w:lineRule="auto"/>
                    <w:ind w:left="28" w:leftChars="0" w:right="19" w:rightChars="0" w:firstLine="1" w:firstLineChars="0"/>
                    <w:jc w:val="center"/>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rPr>
                    <w:t>废边角料、废</w:t>
                  </w:r>
                  <w:r>
                    <w:rPr>
                      <w:rFonts w:hint="eastAsia" w:ascii="宋体" w:hAnsi="宋体" w:eastAsia="宋体" w:cs="宋体"/>
                      <w:color w:val="auto"/>
                      <w:spacing w:val="8"/>
                      <w:sz w:val="21"/>
                      <w:szCs w:val="21"/>
                      <w:lang w:val="en-US"/>
                    </w:rPr>
                    <w:t>包装材料</w:t>
                  </w:r>
                  <w:r>
                    <w:rPr>
                      <w:rFonts w:hint="eastAsia" w:ascii="宋体" w:hAnsi="宋体" w:eastAsia="宋体" w:cs="宋体"/>
                      <w:color w:val="auto"/>
                      <w:spacing w:val="8"/>
                      <w:sz w:val="21"/>
                      <w:szCs w:val="21"/>
                    </w:rPr>
                    <w:t>、除尘设施收集的粉尘、废胶桶</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lang w:val="en-US" w:eastAsia="zh-CN"/>
                    </w:rPr>
                    <w:t>水性</w:t>
                  </w:r>
                  <w:r>
                    <w:rPr>
                      <w:rFonts w:hint="eastAsia" w:ascii="宋体" w:hAnsi="宋体" w:eastAsia="宋体" w:cs="宋体"/>
                      <w:color w:val="auto"/>
                      <w:spacing w:val="8"/>
                      <w:sz w:val="21"/>
                      <w:szCs w:val="21"/>
                      <w:lang w:eastAsia="zh-CN"/>
                    </w:rPr>
                    <w:t>）</w:t>
                  </w:r>
                </w:p>
              </w:tc>
              <w:tc>
                <w:tcPr>
                  <w:tcW w:w="1248" w:type="dxa"/>
                  <w:shd w:val="clear" w:color="auto" w:fill="auto"/>
                  <w:vAlign w:val="center"/>
                </w:tcPr>
                <w:p>
                  <w:pPr>
                    <w:spacing w:before="65" w:line="228" w:lineRule="auto"/>
                    <w:ind w:left="46" w:leftChars="0"/>
                    <w:jc w:val="center"/>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生产</w:t>
                  </w:r>
                </w:p>
              </w:tc>
              <w:tc>
                <w:tcPr>
                  <w:tcW w:w="1781" w:type="dxa"/>
                  <w:shd w:val="clear" w:color="auto" w:fill="auto"/>
                  <w:vAlign w:val="center"/>
                </w:tcPr>
                <w:p>
                  <w:pPr>
                    <w:spacing w:before="52" w:line="259" w:lineRule="auto"/>
                    <w:ind w:left="28" w:leftChars="0" w:right="19" w:rightChars="0" w:firstLine="1" w:firstLine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8"/>
                      <w:sz w:val="21"/>
                      <w:szCs w:val="21"/>
                    </w:rPr>
                    <w:t>废边角料、废</w:t>
                  </w:r>
                  <w:r>
                    <w:rPr>
                      <w:rFonts w:hint="eastAsia" w:ascii="宋体" w:hAnsi="宋体" w:eastAsia="宋体" w:cs="宋体"/>
                      <w:color w:val="auto"/>
                      <w:spacing w:val="8"/>
                      <w:sz w:val="21"/>
                      <w:szCs w:val="21"/>
                      <w:lang w:val="en-US"/>
                    </w:rPr>
                    <w:t>包装材料</w:t>
                  </w:r>
                  <w:r>
                    <w:rPr>
                      <w:rFonts w:hint="eastAsia" w:ascii="宋体" w:hAnsi="宋体" w:eastAsia="宋体" w:cs="宋体"/>
                      <w:color w:val="auto"/>
                      <w:spacing w:val="8"/>
                      <w:sz w:val="21"/>
                      <w:szCs w:val="21"/>
                    </w:rPr>
                    <w:t>、除尘设施收集的粉尘、废胶桶</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lang w:val="en-US" w:eastAsia="zh-CN"/>
                    </w:rPr>
                    <w:t>水性</w:t>
                  </w:r>
                  <w:r>
                    <w:rPr>
                      <w:rFonts w:hint="eastAsia" w:ascii="宋体" w:hAnsi="宋体" w:eastAsia="宋体" w:cs="宋体"/>
                      <w:color w:val="auto"/>
                      <w:spacing w:val="8"/>
                      <w:sz w:val="21"/>
                      <w:szCs w:val="21"/>
                      <w:lang w:eastAsia="zh-CN"/>
                    </w:rPr>
                    <w:t>）</w:t>
                  </w:r>
                </w:p>
              </w:tc>
              <w:tc>
                <w:tcPr>
                  <w:tcW w:w="2554" w:type="dxa"/>
                  <w:shd w:val="clear" w:color="auto" w:fill="auto"/>
                  <w:vAlign w:val="center"/>
                </w:tcPr>
                <w:p>
                  <w:pPr>
                    <w:spacing w:before="65" w:line="228" w:lineRule="auto"/>
                    <w:ind w:left="46" w:leftChars="0"/>
                    <w:jc w:val="center"/>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852" w:type="dxa"/>
                  <w:vMerge w:val="continue"/>
                  <w:vAlign w:val="center"/>
                </w:tcPr>
                <w:p>
                  <w:pPr>
                    <w:spacing w:before="52" w:line="259" w:lineRule="auto"/>
                    <w:ind w:left="28" w:leftChars="0" w:right="19" w:rightChars="0" w:firstLine="1" w:firstLineChars="0"/>
                    <w:jc w:val="center"/>
                    <w:rPr>
                      <w:rFonts w:hint="eastAsia" w:ascii="宋体" w:hAnsi="宋体" w:eastAsia="宋体" w:cs="宋体"/>
                      <w:color w:val="auto"/>
                      <w:spacing w:val="8"/>
                      <w:sz w:val="21"/>
                      <w:szCs w:val="21"/>
                      <w:lang w:val="en-US" w:eastAsia="zh-CN"/>
                    </w:rPr>
                  </w:pPr>
                </w:p>
              </w:tc>
              <w:tc>
                <w:tcPr>
                  <w:tcW w:w="2705" w:type="dxa"/>
                  <w:vAlign w:val="center"/>
                </w:tcPr>
                <w:p>
                  <w:pPr>
                    <w:spacing w:before="52" w:line="259" w:lineRule="auto"/>
                    <w:ind w:left="28" w:leftChars="0" w:right="19" w:rightChars="0" w:firstLine="1" w:firstLineChars="0"/>
                    <w:jc w:val="center"/>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rPr>
                    <w:t>废机油、废液压油、废活性炭</w:t>
                  </w:r>
                </w:p>
              </w:tc>
              <w:tc>
                <w:tcPr>
                  <w:tcW w:w="1248" w:type="dxa"/>
                  <w:shd w:val="clear" w:color="auto" w:fill="auto"/>
                  <w:vAlign w:val="center"/>
                </w:tcPr>
                <w:p>
                  <w:pPr>
                    <w:spacing w:before="65" w:line="228" w:lineRule="auto"/>
                    <w:ind w:left="46" w:left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生产</w:t>
                  </w:r>
                </w:p>
              </w:tc>
              <w:tc>
                <w:tcPr>
                  <w:tcW w:w="1781" w:type="dxa"/>
                  <w:shd w:val="clear" w:color="auto" w:fill="auto"/>
                  <w:vAlign w:val="center"/>
                </w:tcPr>
                <w:p>
                  <w:pPr>
                    <w:spacing w:before="52" w:line="259" w:lineRule="auto"/>
                    <w:ind w:left="28" w:leftChars="0" w:right="19" w:rightChars="0" w:firstLine="1" w:firstLine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8"/>
                      <w:sz w:val="21"/>
                      <w:szCs w:val="21"/>
                    </w:rPr>
                    <w:t>废机油、废液压油、废活性炭</w:t>
                  </w:r>
                </w:p>
              </w:tc>
              <w:tc>
                <w:tcPr>
                  <w:tcW w:w="2554" w:type="dxa"/>
                  <w:shd w:val="clear" w:color="auto" w:fill="auto"/>
                  <w:vAlign w:val="center"/>
                </w:tcPr>
                <w:p>
                  <w:pPr>
                    <w:spacing w:before="52" w:line="259" w:lineRule="auto"/>
                    <w:ind w:left="28" w:leftChars="0" w:right="19" w:rightChars="0" w:firstLine="1" w:firstLineChars="0"/>
                    <w:jc w:val="center"/>
                    <w:rPr>
                      <w:rFonts w:hint="eastAsia" w:ascii="宋体" w:hAnsi="宋体" w:eastAsia="宋体" w:cs="宋体"/>
                      <w:color w:val="auto"/>
                      <w:spacing w:val="6"/>
                      <w:sz w:val="21"/>
                      <w:szCs w:val="21"/>
                      <w:lang w:val="en-US" w:eastAsia="zh-CN"/>
                    </w:rPr>
                  </w:pPr>
                  <w:r>
                    <w:rPr>
                      <w:rFonts w:ascii="宋体" w:hAnsi="宋体" w:eastAsia="宋体" w:cs="宋体"/>
                      <w:color w:val="auto"/>
                      <w:spacing w:val="8"/>
                      <w:sz w:val="21"/>
                      <w:szCs w:val="21"/>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557" w:type="dxa"/>
                  <w:gridSpan w:val="2"/>
                  <w:vAlign w:val="center"/>
                </w:tcPr>
                <w:p>
                  <w:pPr>
                    <w:spacing w:before="52" w:line="259" w:lineRule="auto"/>
                    <w:ind w:left="28" w:leftChars="0" w:right="19" w:rightChars="0" w:firstLine="1" w:firstLineChars="0"/>
                    <w:jc w:val="center"/>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rPr>
                    <w:t>生活垃圾</w:t>
                  </w:r>
                </w:p>
              </w:tc>
              <w:tc>
                <w:tcPr>
                  <w:tcW w:w="1248" w:type="dxa"/>
                  <w:shd w:val="clear" w:color="auto" w:fill="auto"/>
                  <w:vAlign w:val="center"/>
                </w:tcPr>
                <w:p>
                  <w:pPr>
                    <w:spacing w:before="65" w:line="228" w:lineRule="auto"/>
                    <w:ind w:left="46" w:leftChars="0"/>
                    <w:jc w:val="center"/>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办公生活</w:t>
                  </w:r>
                </w:p>
              </w:tc>
              <w:tc>
                <w:tcPr>
                  <w:tcW w:w="1781" w:type="dxa"/>
                  <w:shd w:val="clear" w:color="auto" w:fill="auto"/>
                  <w:vAlign w:val="center"/>
                </w:tcPr>
                <w:p>
                  <w:pPr>
                    <w:spacing w:before="65" w:line="228" w:lineRule="auto"/>
                    <w:ind w:left="46" w:left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8"/>
                      <w:sz w:val="21"/>
                      <w:szCs w:val="21"/>
                    </w:rPr>
                    <w:t>生活垃圾</w:t>
                  </w:r>
                </w:p>
              </w:tc>
              <w:tc>
                <w:tcPr>
                  <w:tcW w:w="2554" w:type="dxa"/>
                  <w:shd w:val="clear" w:color="auto" w:fill="auto"/>
                  <w:vAlign w:val="center"/>
                </w:tcPr>
                <w:p>
                  <w:pPr>
                    <w:spacing w:before="52" w:line="259" w:lineRule="auto"/>
                    <w:ind w:left="28" w:leftChars="0" w:right="19" w:rightChars="0" w:firstLine="1" w:firstLineChars="0"/>
                    <w:jc w:val="center"/>
                    <w:rPr>
                      <w:rFonts w:hint="eastAsia" w:ascii="宋体" w:hAnsi="宋体" w:eastAsia="宋体" w:cs="宋体"/>
                      <w:color w:val="auto"/>
                      <w:spacing w:val="6"/>
                      <w:sz w:val="21"/>
                      <w:szCs w:val="21"/>
                      <w:lang w:val="en-US" w:eastAsia="zh-CN"/>
                    </w:rPr>
                  </w:pPr>
                  <w:r>
                    <w:rPr>
                      <w:rFonts w:ascii="宋体" w:hAnsi="宋体" w:eastAsia="宋体" w:cs="宋体"/>
                      <w:color w:val="auto"/>
                      <w:spacing w:val="8"/>
                      <w:sz w:val="21"/>
                      <w:szCs w:val="21"/>
                    </w:rPr>
                    <w:t>交由环卫部门统一处理</w:t>
                  </w:r>
                </w:p>
              </w:tc>
            </w:tr>
          </w:tbl>
          <w:p>
            <w:pPr>
              <w:widowControl/>
              <w:spacing w:line="520" w:lineRule="exact"/>
              <w:ind w:firstLine="480" w:firstLineChars="200"/>
              <w:jc w:val="left"/>
              <w:rPr>
                <w:color w:val="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857" w:hRule="atLeast"/>
          <w:jc w:val="center"/>
        </w:trPr>
        <w:tc>
          <w:tcPr>
            <w:tcW w:w="718" w:type="dxa"/>
            <w:tcBorders>
              <w:tl2br w:val="nil"/>
              <w:tr2bl w:val="nil"/>
            </w:tcBorders>
            <w:vAlign w:val="center"/>
          </w:tcPr>
          <w:p>
            <w:pPr>
              <w:jc w:val="center"/>
              <w:rPr>
                <w:rFonts w:ascii="宋体" w:hAnsi="宋体" w:cs="宋体"/>
                <w:b/>
                <w:bCs/>
                <w:color w:val="auto"/>
                <w:kern w:val="21"/>
                <w:szCs w:val="21"/>
              </w:rPr>
            </w:pPr>
            <w:r>
              <w:rPr>
                <w:rFonts w:hint="eastAsia" w:ascii="宋体" w:hAnsi="宋体" w:cs="宋体"/>
                <w:b/>
                <w:bCs/>
                <w:color w:val="auto"/>
                <w:kern w:val="21"/>
                <w:szCs w:val="21"/>
              </w:rPr>
              <w:t>与项目有关的原有环境污染问题</w:t>
            </w:r>
          </w:p>
        </w:tc>
        <w:tc>
          <w:tcPr>
            <w:tcW w:w="9407" w:type="dxa"/>
            <w:tcBorders>
              <w:tl2br w:val="nil"/>
              <w:tr2bl w:val="nil"/>
            </w:tcBorders>
            <w:vAlign w:val="center"/>
          </w:tcPr>
          <w:p>
            <w:pPr>
              <w:pStyle w:val="25"/>
              <w:spacing w:line="520" w:lineRule="exact"/>
              <w:ind w:firstLine="480" w:firstLineChars="200"/>
              <w:jc w:val="left"/>
              <w:rPr>
                <w:rFonts w:hint="default" w:ascii="Times New Roman" w:hAnsi="Times New Roman" w:eastAsia="宋体" w:cs="Times New Roman"/>
                <w:b w:val="0"/>
                <w:bCs w:val="0"/>
                <w:color w:val="auto"/>
                <w:u w:val="none"/>
                <w:lang w:val="en-US" w:eastAsia="zh-CN"/>
              </w:rPr>
            </w:pPr>
            <w:r>
              <w:rPr>
                <w:rFonts w:hint="eastAsia" w:ascii="Times New Roman" w:hAnsi="Times New Roman" w:cs="Times New Roman"/>
                <w:b w:val="0"/>
                <w:bCs w:val="0"/>
                <w:color w:val="auto"/>
                <w:u w:val="none"/>
                <w:lang w:val="en-US"/>
              </w:rPr>
              <w:t>本项目为新建项目，租赁</w:t>
            </w:r>
            <w:r>
              <w:rPr>
                <w:rFonts w:hint="eastAsia" w:ascii="Times New Roman" w:hAnsi="Times New Roman" w:cs="Times New Roman"/>
                <w:b w:val="0"/>
                <w:bCs w:val="0"/>
                <w:color w:val="auto"/>
                <w:u w:val="none"/>
                <w:lang w:val="en-US" w:eastAsia="zh-CN"/>
              </w:rPr>
              <w:t>冠美（清丰县）家具</w:t>
            </w:r>
            <w:r>
              <w:rPr>
                <w:rFonts w:hint="eastAsia" w:ascii="Times New Roman" w:hAnsi="Times New Roman" w:cs="Times New Roman"/>
                <w:b w:val="0"/>
                <w:bCs w:val="0"/>
                <w:color w:val="auto"/>
                <w:u w:val="none"/>
                <w:lang w:val="en-US"/>
              </w:rPr>
              <w:t>有限公司（以下简称“</w:t>
            </w:r>
            <w:r>
              <w:rPr>
                <w:rFonts w:hint="eastAsia" w:ascii="Times New Roman" w:hAnsi="Times New Roman" w:cs="Times New Roman"/>
                <w:b w:val="0"/>
                <w:bCs w:val="0"/>
                <w:color w:val="auto"/>
                <w:u w:val="none"/>
                <w:lang w:val="en-US" w:eastAsia="zh-CN"/>
              </w:rPr>
              <w:t>冠美家具</w:t>
            </w:r>
            <w:r>
              <w:rPr>
                <w:rFonts w:hint="eastAsia" w:ascii="Times New Roman" w:hAnsi="Times New Roman" w:cs="Times New Roman"/>
                <w:b w:val="0"/>
                <w:bCs w:val="0"/>
                <w:color w:val="auto"/>
                <w:u w:val="none"/>
                <w:lang w:val="en-US"/>
              </w:rPr>
              <w:t>”）闲置的</w:t>
            </w:r>
            <w:r>
              <w:rPr>
                <w:rFonts w:hint="eastAsia" w:ascii="Times New Roman" w:hAnsi="Times New Roman" w:cs="Times New Roman"/>
                <w:b w:val="0"/>
                <w:bCs w:val="0"/>
                <w:color w:val="auto"/>
                <w:u w:val="none"/>
                <w:lang w:val="en-US" w:eastAsia="zh-CN"/>
              </w:rPr>
              <w:t>2号</w:t>
            </w:r>
            <w:r>
              <w:rPr>
                <w:rFonts w:hint="eastAsia" w:ascii="Times New Roman" w:hAnsi="Times New Roman" w:cs="Times New Roman"/>
                <w:b w:val="0"/>
                <w:bCs w:val="0"/>
                <w:color w:val="auto"/>
                <w:u w:val="none"/>
                <w:lang w:val="en-US"/>
              </w:rPr>
              <w:t>厂房进行建设</w:t>
            </w:r>
            <w:r>
              <w:rPr>
                <w:rFonts w:hint="eastAsia" w:ascii="Times New Roman" w:hAnsi="Times New Roman" w:cs="Times New Roman"/>
                <w:b w:val="0"/>
                <w:bCs w:val="0"/>
                <w:color w:val="auto"/>
                <w:u w:val="none"/>
                <w:lang w:val="en-US" w:eastAsia="zh-CN"/>
              </w:rPr>
              <w:t>，</w:t>
            </w:r>
            <w:r>
              <w:rPr>
                <w:rFonts w:hint="eastAsia" w:ascii="Times New Roman" w:hAnsi="Times New Roman" w:cs="Times New Roman"/>
                <w:color w:val="auto"/>
                <w:lang w:val="en-US" w:eastAsia="zh-CN"/>
              </w:rPr>
              <w:t>伯特利家具产业园内</w:t>
            </w:r>
            <w:r>
              <w:rPr>
                <w:rFonts w:hint="eastAsia" w:ascii="Times New Roman" w:hAnsi="Times New Roman" w:cs="Times New Roman"/>
                <w:b w:val="0"/>
                <w:bCs w:val="0"/>
                <w:color w:val="auto"/>
                <w:u w:val="none"/>
                <w:lang w:val="en-US" w:eastAsia="zh-CN"/>
              </w:rPr>
              <w:t>企业为嘉德家具、</w:t>
            </w:r>
            <w:r>
              <w:rPr>
                <w:rFonts w:hint="eastAsia" w:ascii="Times New Roman" w:hAnsi="Times New Roman" w:cs="Times New Roman"/>
                <w:color w:val="auto"/>
                <w:lang w:val="en-US" w:eastAsia="zh-CN"/>
              </w:rPr>
              <w:t>佰</w:t>
            </w:r>
            <w:r>
              <w:rPr>
                <w:rFonts w:hint="eastAsia" w:ascii="Times New Roman" w:hAnsi="Times New Roman" w:cs="Times New Roman"/>
                <w:b w:val="0"/>
                <w:bCs w:val="0"/>
                <w:color w:val="auto"/>
                <w:u w:val="none"/>
                <w:lang w:val="en-US" w:eastAsia="zh-CN"/>
              </w:rPr>
              <w:t>特利印务、冠美家具、路易斯家具、伯爵家具、</w:t>
            </w:r>
            <w:r>
              <w:rPr>
                <w:rFonts w:hint="eastAsia" w:ascii="Times New Roman" w:hAnsi="Times New Roman" w:cs="Times New Roman"/>
                <w:color w:val="auto"/>
                <w:lang w:val="en-US" w:eastAsia="zh-CN"/>
              </w:rPr>
              <w:t>佰</w:t>
            </w:r>
            <w:r>
              <w:rPr>
                <w:rFonts w:hint="eastAsia" w:ascii="Times New Roman" w:hAnsi="Times New Roman" w:cs="Times New Roman"/>
                <w:b w:val="0"/>
                <w:bCs w:val="0"/>
                <w:color w:val="auto"/>
                <w:u w:val="none"/>
                <w:lang w:val="en-US" w:eastAsia="zh-CN"/>
              </w:rPr>
              <w:t>特利家具，冠美家具厂房位于伯</w:t>
            </w:r>
            <w:r>
              <w:rPr>
                <w:rFonts w:hint="eastAsia" w:ascii="Times New Roman" w:hAnsi="Times New Roman" w:cs="Times New Roman"/>
                <w:color w:val="auto"/>
                <w:lang w:val="en-US" w:eastAsia="zh-CN"/>
              </w:rPr>
              <w:t>特利家具产业园内</w:t>
            </w:r>
            <w:r>
              <w:rPr>
                <w:rFonts w:hint="eastAsia" w:ascii="Times New Roman" w:hAnsi="Times New Roman" w:cs="Times New Roman"/>
                <w:b w:val="0"/>
                <w:bCs w:val="0"/>
                <w:color w:val="auto"/>
                <w:u w:val="none"/>
                <w:lang w:val="en-US" w:eastAsia="zh-CN"/>
              </w:rPr>
              <w:t>。</w:t>
            </w:r>
          </w:p>
          <w:p>
            <w:pPr>
              <w:pStyle w:val="25"/>
              <w:spacing w:line="520" w:lineRule="exact"/>
              <w:ind w:firstLine="480" w:firstLineChars="200"/>
              <w:jc w:val="left"/>
              <w:rPr>
                <w:rFonts w:hint="default" w:ascii="Times New Roman" w:hAnsi="Times New Roman" w:eastAsia="宋体" w:cs="Times New Roman"/>
                <w:b w:val="0"/>
                <w:bCs w:val="0"/>
                <w:color w:val="auto"/>
                <w:u w:val="none"/>
                <w:lang w:val="en-US" w:eastAsia="zh-CN"/>
              </w:rPr>
            </w:pPr>
            <w:r>
              <w:rPr>
                <w:rFonts w:hint="eastAsia" w:ascii="Times New Roman" w:hAnsi="Times New Roman" w:cs="Times New Roman"/>
                <w:b w:val="0"/>
                <w:bCs w:val="0"/>
                <w:color w:val="auto"/>
                <w:u w:val="none"/>
                <w:lang w:val="en-US"/>
              </w:rPr>
              <w:t>根据现场踏勘，</w:t>
            </w:r>
            <w:r>
              <w:rPr>
                <w:rFonts w:hint="eastAsia" w:ascii="Times New Roman" w:hAnsi="Times New Roman" w:cs="Times New Roman"/>
                <w:b w:val="0"/>
                <w:bCs w:val="0"/>
                <w:color w:val="auto"/>
                <w:u w:val="none"/>
                <w:lang w:val="en-US" w:eastAsia="zh-CN"/>
              </w:rPr>
              <w:t>冠美家具于2023年6月编制完成《冠美(清丰县)家具有限公司年产5万套木质家具项目》环境影响报告表，并于2023年8月2日</w:t>
            </w:r>
            <w:r>
              <w:rPr>
                <w:rFonts w:hint="eastAsia" w:ascii="Times New Roman" w:hAnsi="Times New Roman" w:cs="Times New Roman"/>
                <w:color w:val="auto"/>
                <w:lang w:val="en-US"/>
              </w:rPr>
              <w:t>获得清丰县环境保护局审批，批复文号为清环审[20</w:t>
            </w:r>
            <w:r>
              <w:rPr>
                <w:rFonts w:hint="eastAsia" w:ascii="Times New Roman" w:hAnsi="Times New Roman" w:cs="Times New Roman"/>
                <w:color w:val="auto"/>
                <w:lang w:val="en-US" w:eastAsia="zh-CN"/>
              </w:rPr>
              <w:t>23</w:t>
            </w:r>
            <w:r>
              <w:rPr>
                <w:rFonts w:hint="eastAsia" w:ascii="Times New Roman" w:hAnsi="Times New Roman" w:cs="Times New Roman"/>
                <w:color w:val="auto"/>
                <w:lang w:val="en-US"/>
              </w:rPr>
              <w:t>]2</w:t>
            </w:r>
            <w:r>
              <w:rPr>
                <w:rFonts w:hint="eastAsia" w:ascii="Times New Roman" w:hAnsi="Times New Roman" w:cs="Times New Roman"/>
                <w:color w:val="auto"/>
                <w:lang w:val="en-US" w:eastAsia="zh-CN"/>
              </w:rPr>
              <w:t>1</w:t>
            </w:r>
            <w:r>
              <w:rPr>
                <w:rFonts w:hint="eastAsia" w:ascii="Times New Roman" w:hAnsi="Times New Roman" w:cs="Times New Roman"/>
                <w:color w:val="auto"/>
                <w:lang w:val="en-US"/>
              </w:rPr>
              <w:t>号</w:t>
            </w:r>
            <w:r>
              <w:rPr>
                <w:rFonts w:hint="eastAsia" w:ascii="Times New Roman" w:hAnsi="Times New Roman" w:cs="Times New Roman"/>
                <w:color w:val="auto"/>
                <w:lang w:val="en-US" w:eastAsia="zh-CN"/>
              </w:rPr>
              <w:t>。</w:t>
            </w:r>
            <w:r>
              <w:rPr>
                <w:rFonts w:hint="eastAsia" w:ascii="Times New Roman" w:hAnsi="Times New Roman" w:cs="Times New Roman"/>
                <w:b/>
                <w:bCs/>
                <w:color w:val="auto"/>
                <w:u w:val="single"/>
                <w:lang w:val="en-US" w:eastAsia="zh-CN"/>
              </w:rPr>
              <w:t>冠美家具项目经审批后只进行了厂房建设，项目未安装设备未生产，期间2号</w:t>
            </w:r>
            <w:r>
              <w:rPr>
                <w:rFonts w:hint="eastAsia" w:ascii="Times New Roman" w:hAnsi="Times New Roman" w:cs="Times New Roman"/>
                <w:b/>
                <w:bCs/>
                <w:color w:val="auto"/>
                <w:u w:val="single"/>
                <w:lang w:val="en-US"/>
              </w:rPr>
              <w:t>厂房</w:t>
            </w:r>
            <w:r>
              <w:rPr>
                <w:rFonts w:hint="eastAsia" w:ascii="Times New Roman" w:hAnsi="Times New Roman" w:cs="Times New Roman"/>
                <w:b/>
                <w:bCs/>
                <w:color w:val="auto"/>
                <w:u w:val="single"/>
                <w:lang w:val="en-US" w:eastAsia="zh-CN"/>
              </w:rPr>
              <w:t>一直处于闲置状态，于2023年11月1日租赁给本项目建设单位清丰县鑫星辉酒店家具有限公司使用。</w:t>
            </w:r>
          </w:p>
          <w:p>
            <w:pPr>
              <w:pStyle w:val="25"/>
              <w:spacing w:line="520" w:lineRule="exact"/>
              <w:ind w:firstLine="480" w:firstLineChars="200"/>
              <w:jc w:val="left"/>
              <w:rPr>
                <w:rFonts w:hint="eastAsia" w:ascii="Times New Roman" w:hAnsi="Times New Roman" w:cs="Times New Roman"/>
                <w:color w:val="auto"/>
                <w:lang w:val="en-US"/>
              </w:rPr>
            </w:pPr>
            <w:r>
              <w:rPr>
                <w:rFonts w:hint="eastAsia" w:ascii="Times New Roman" w:hAnsi="Times New Roman" w:cs="Times New Roman"/>
                <w:color w:val="auto"/>
                <w:lang w:val="en-US" w:eastAsia="zh-CN"/>
              </w:rPr>
              <w:t>因此，不存在与本项目有关的原有环境污染问题</w:t>
            </w:r>
            <w:r>
              <w:rPr>
                <w:rFonts w:hint="eastAsia" w:ascii="Times New Roman" w:hAnsi="Times New Roman" w:cs="Times New Roman"/>
                <w:color w:val="auto"/>
                <w:lang w:val="en-US"/>
              </w:rPr>
              <w:t>。</w:t>
            </w:r>
          </w:p>
          <w:p>
            <w:pPr>
              <w:pStyle w:val="25"/>
              <w:spacing w:line="520" w:lineRule="exact"/>
              <w:ind w:firstLine="480" w:firstLineChars="200"/>
              <w:jc w:val="left"/>
              <w:rPr>
                <w:rFonts w:hint="eastAsia" w:ascii="Times New Roman" w:hAnsi="Times New Roman" w:cs="Times New Roman"/>
                <w:color w:val="auto"/>
                <w:lang w:val="en-US"/>
              </w:rPr>
            </w:pPr>
          </w:p>
          <w:p>
            <w:pPr>
              <w:pStyle w:val="25"/>
              <w:spacing w:line="520" w:lineRule="exact"/>
              <w:ind w:firstLine="480" w:firstLineChars="200"/>
              <w:jc w:val="left"/>
              <w:rPr>
                <w:rFonts w:hint="eastAsia" w:ascii="Times New Roman" w:hAnsi="Times New Roman" w:cs="Times New Roman"/>
                <w:color w:val="auto"/>
                <w:lang w:val="en-US"/>
              </w:rPr>
            </w:pPr>
          </w:p>
          <w:p>
            <w:pPr>
              <w:pStyle w:val="25"/>
              <w:spacing w:line="520" w:lineRule="exact"/>
              <w:ind w:firstLine="480" w:firstLineChars="200"/>
              <w:jc w:val="left"/>
              <w:rPr>
                <w:rFonts w:ascii="Times New Roman" w:hAnsi="Times New Roman" w:cs="Times New Roman"/>
                <w:color w:val="auto"/>
                <w:lang w:val="en-US"/>
              </w:rPr>
            </w:pPr>
          </w:p>
        </w:tc>
      </w:tr>
    </w:tbl>
    <w:p>
      <w:pPr>
        <w:rPr>
          <w:color w:val="auto"/>
        </w:rPr>
      </w:pPr>
      <w:r>
        <w:rPr>
          <w:color w:val="auto"/>
        </w:rPr>
        <w:br w:type="page"/>
      </w:r>
    </w:p>
    <w:p>
      <w:pPr>
        <w:pStyle w:val="3"/>
        <w:spacing w:before="0" w:after="0" w:line="360" w:lineRule="auto"/>
        <w:jc w:val="center"/>
        <w:rPr>
          <w:color w:val="auto"/>
        </w:rPr>
      </w:pPr>
      <w:bookmarkStart w:id="7" w:name="_Toc13154"/>
      <w:r>
        <w:rPr>
          <w:rFonts w:hint="eastAsia"/>
          <w:color w:val="auto"/>
        </w:rPr>
        <w:t>三、区域环境治理现状、环境保护目标及评价标准</w:t>
      </w:r>
      <w:bookmarkEnd w:id="7"/>
    </w:p>
    <w:tbl>
      <w:tblPr>
        <w:tblStyle w:val="23"/>
        <w:tblW w:w="10265"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00"/>
        <w:gridCol w:w="956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865" w:hRule="atLeast"/>
          <w:jc w:val="center"/>
        </w:trPr>
        <w:tc>
          <w:tcPr>
            <w:tcW w:w="700" w:type="dxa"/>
            <w:tcBorders>
              <w:tl2br w:val="nil"/>
              <w:tr2bl w:val="nil"/>
            </w:tcBorders>
            <w:vAlign w:val="center"/>
          </w:tcPr>
          <w:p>
            <w:pPr>
              <w:jc w:val="center"/>
              <w:rPr>
                <w:rFonts w:eastAsia="黑体"/>
                <w:color w:val="auto"/>
              </w:rPr>
            </w:pPr>
            <w:r>
              <w:rPr>
                <w:rFonts w:hint="eastAsia" w:ascii="宋体" w:hAnsi="宋体" w:cs="宋体"/>
                <w:b/>
                <w:bCs/>
                <w:color w:val="auto"/>
                <w:kern w:val="21"/>
                <w:szCs w:val="21"/>
              </w:rPr>
              <w:t>区域环境质量现状</w:t>
            </w:r>
          </w:p>
        </w:tc>
        <w:tc>
          <w:tcPr>
            <w:tcW w:w="9565" w:type="dxa"/>
            <w:tcBorders>
              <w:tl2br w:val="nil"/>
              <w:tr2bl w:val="nil"/>
            </w:tcBorders>
          </w:tcPr>
          <w:p>
            <w:pPr>
              <w:widowControl/>
              <w:spacing w:line="520" w:lineRule="exact"/>
              <w:jc w:val="left"/>
              <w:rPr>
                <w:color w:val="auto"/>
              </w:rPr>
            </w:pPr>
            <w:r>
              <w:rPr>
                <w:b/>
                <w:bCs/>
                <w:color w:val="auto"/>
                <w:kern w:val="0"/>
                <w:lang w:bidi="ar"/>
              </w:rPr>
              <w:t>1</w:t>
            </w:r>
            <w:r>
              <w:rPr>
                <w:rFonts w:hint="eastAsia" w:ascii="宋体" w:hAnsi="宋体" w:cs="宋体"/>
                <w:b/>
                <w:bCs/>
                <w:color w:val="auto"/>
                <w:kern w:val="0"/>
                <w:lang w:bidi="ar"/>
              </w:rPr>
              <w:t>、环境空气质量现状</w:t>
            </w:r>
          </w:p>
          <w:p>
            <w:pPr>
              <w:widowControl/>
              <w:spacing w:line="520" w:lineRule="exact"/>
              <w:ind w:firstLine="480" w:firstLineChars="200"/>
              <w:jc w:val="left"/>
              <w:rPr>
                <w:color w:val="auto"/>
                <w:lang w:bidi="zh-CN"/>
              </w:rPr>
            </w:pPr>
            <w:r>
              <w:rPr>
                <w:rFonts w:hint="eastAsia"/>
                <w:color w:val="auto"/>
                <w:lang w:bidi="zh-CN"/>
              </w:rPr>
              <w:t>（</w:t>
            </w:r>
            <w:r>
              <w:rPr>
                <w:color w:val="auto"/>
                <w:lang w:bidi="zh-CN"/>
              </w:rPr>
              <w:t>1</w:t>
            </w:r>
            <w:r>
              <w:rPr>
                <w:rFonts w:hint="eastAsia"/>
                <w:color w:val="auto"/>
                <w:lang w:bidi="zh-CN"/>
              </w:rPr>
              <w:t>）区域环境空气质量达标判定</w:t>
            </w:r>
          </w:p>
          <w:p>
            <w:pPr>
              <w:widowControl/>
              <w:spacing w:line="520" w:lineRule="exact"/>
              <w:ind w:firstLine="480" w:firstLineChars="200"/>
              <w:jc w:val="left"/>
              <w:rPr>
                <w:color w:val="auto"/>
                <w:lang w:bidi="zh-CN"/>
              </w:rPr>
            </w:pPr>
            <w:r>
              <w:rPr>
                <w:rFonts w:hint="eastAsia"/>
                <w:color w:val="auto"/>
                <w:lang w:bidi="zh-CN"/>
              </w:rPr>
              <w:t>本次评价选取202</w:t>
            </w:r>
            <w:r>
              <w:rPr>
                <w:rFonts w:hint="eastAsia"/>
                <w:color w:val="auto"/>
                <w:lang w:val="en-US" w:bidi="zh-CN"/>
              </w:rPr>
              <w:t>4</w:t>
            </w:r>
            <w:r>
              <w:rPr>
                <w:rFonts w:hint="eastAsia"/>
                <w:color w:val="auto"/>
                <w:lang w:bidi="zh-CN"/>
              </w:rPr>
              <w:t>年作为评价基准年，根据濮阳市生态环境监测中心发布的《</w:t>
            </w:r>
            <w:r>
              <w:rPr>
                <w:rFonts w:hint="eastAsia"/>
                <w:color w:val="auto"/>
                <w:lang w:val="en-US" w:bidi="zh-CN"/>
              </w:rPr>
              <w:t>濮阳市环境质量月报</w:t>
            </w:r>
            <w:r>
              <w:rPr>
                <w:rFonts w:hint="eastAsia"/>
                <w:color w:val="auto"/>
                <w:lang w:bidi="zh-CN"/>
              </w:rPr>
              <w:t>》202</w:t>
            </w:r>
            <w:r>
              <w:rPr>
                <w:rFonts w:hint="eastAsia"/>
                <w:color w:val="auto"/>
                <w:lang w:val="en-US" w:bidi="zh-CN"/>
              </w:rPr>
              <w:t>4</w:t>
            </w:r>
            <w:r>
              <w:rPr>
                <w:rFonts w:hint="eastAsia"/>
                <w:color w:val="auto"/>
                <w:lang w:bidi="zh-CN"/>
              </w:rPr>
              <w:t>年</w:t>
            </w:r>
            <w:r>
              <w:rPr>
                <w:rFonts w:hint="eastAsia"/>
                <w:color w:val="auto"/>
                <w:lang w:val="en-US" w:bidi="zh-CN"/>
              </w:rPr>
              <w:t>12期中1-12月环境</w:t>
            </w:r>
            <w:r>
              <w:rPr>
                <w:rFonts w:hint="eastAsia"/>
                <w:color w:val="auto"/>
                <w:lang w:bidi="zh-CN"/>
              </w:rPr>
              <w:t>空气质量数据，</w:t>
            </w:r>
            <w:r>
              <w:rPr>
                <w:rFonts w:hint="eastAsia"/>
                <w:color w:val="auto"/>
                <w:lang w:val="en-US" w:bidi="zh-CN"/>
              </w:rPr>
              <w:t>濮阳市</w:t>
            </w:r>
            <w:r>
              <w:rPr>
                <w:rFonts w:hint="eastAsia"/>
                <w:color w:val="auto"/>
                <w:lang w:bidi="zh-CN"/>
              </w:rPr>
              <w:t>基本污染物统计数据见下表。</w:t>
            </w:r>
          </w:p>
          <w:p>
            <w:pPr>
              <w:widowControl/>
              <w:spacing w:line="520" w:lineRule="exact"/>
              <w:ind w:firstLine="482" w:firstLineChars="200"/>
              <w:jc w:val="center"/>
              <w:rPr>
                <w:b/>
                <w:bCs/>
                <w:color w:val="auto"/>
                <w:lang w:bidi="zh-CN"/>
              </w:rPr>
            </w:pPr>
            <w:r>
              <w:rPr>
                <w:rFonts w:hint="eastAsia"/>
                <w:b/>
                <w:bCs/>
                <w:color w:val="auto"/>
                <w:lang w:bidi="zh-CN"/>
              </w:rPr>
              <w:t>表3-1  基本污染物环境质量现状评价表</w:t>
            </w:r>
          </w:p>
          <w:tbl>
            <w:tblPr>
              <w:tblStyle w:val="23"/>
              <w:tblW w:w="9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2445"/>
              <w:gridCol w:w="1481"/>
              <w:gridCol w:w="1272"/>
              <w:gridCol w:w="130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7" w:type="dxa"/>
                  <w:tcBorders>
                    <w:tl2br w:val="nil"/>
                    <w:tr2bl w:val="nil"/>
                  </w:tcBorders>
                  <w:vAlign w:val="center"/>
                </w:tcPr>
                <w:p>
                  <w:pPr>
                    <w:jc w:val="center"/>
                    <w:rPr>
                      <w:b/>
                      <w:bCs/>
                      <w:color w:val="auto"/>
                      <w:sz w:val="21"/>
                      <w:szCs w:val="21"/>
                    </w:rPr>
                  </w:pPr>
                  <w:r>
                    <w:rPr>
                      <w:rFonts w:hint="eastAsia"/>
                      <w:b/>
                      <w:bCs/>
                      <w:color w:val="auto"/>
                      <w:sz w:val="21"/>
                      <w:szCs w:val="21"/>
                    </w:rPr>
                    <w:t>评价因子</w:t>
                  </w:r>
                </w:p>
              </w:tc>
              <w:tc>
                <w:tcPr>
                  <w:tcW w:w="2445" w:type="dxa"/>
                  <w:tcBorders>
                    <w:tl2br w:val="nil"/>
                    <w:tr2bl w:val="nil"/>
                  </w:tcBorders>
                  <w:vAlign w:val="center"/>
                </w:tcPr>
                <w:p>
                  <w:pPr>
                    <w:jc w:val="center"/>
                    <w:rPr>
                      <w:b/>
                      <w:bCs/>
                      <w:color w:val="auto"/>
                      <w:sz w:val="21"/>
                      <w:szCs w:val="21"/>
                    </w:rPr>
                  </w:pPr>
                  <w:r>
                    <w:rPr>
                      <w:b/>
                      <w:bCs/>
                      <w:color w:val="auto"/>
                      <w:sz w:val="21"/>
                      <w:szCs w:val="21"/>
                    </w:rPr>
                    <w:t>年评价指标</w:t>
                  </w:r>
                </w:p>
              </w:tc>
              <w:tc>
                <w:tcPr>
                  <w:tcW w:w="1481" w:type="dxa"/>
                  <w:tcBorders>
                    <w:tl2br w:val="nil"/>
                    <w:tr2bl w:val="nil"/>
                  </w:tcBorders>
                  <w:vAlign w:val="center"/>
                </w:tcPr>
                <w:p>
                  <w:pPr>
                    <w:jc w:val="center"/>
                    <w:rPr>
                      <w:rFonts w:hint="eastAsia" w:eastAsia="宋体"/>
                      <w:b/>
                      <w:bCs/>
                      <w:color w:val="auto"/>
                      <w:sz w:val="21"/>
                      <w:szCs w:val="21"/>
                      <w:lang w:eastAsia="zh-CN"/>
                    </w:rPr>
                  </w:pPr>
                  <w:r>
                    <w:rPr>
                      <w:rFonts w:hint="eastAsia"/>
                      <w:b/>
                      <w:bCs/>
                      <w:color w:val="auto"/>
                      <w:sz w:val="21"/>
                      <w:szCs w:val="21"/>
                    </w:rPr>
                    <w:t>现状</w:t>
                  </w:r>
                  <w:r>
                    <w:rPr>
                      <w:b/>
                      <w:bCs/>
                      <w:color w:val="auto"/>
                      <w:sz w:val="21"/>
                      <w:szCs w:val="21"/>
                    </w:rPr>
                    <w:t>浓度</w:t>
                  </w:r>
                  <w:r>
                    <w:rPr>
                      <w:rFonts w:hint="eastAsia"/>
                      <w:b/>
                      <w:bCs/>
                      <w:color w:val="auto"/>
                      <w:sz w:val="21"/>
                      <w:szCs w:val="21"/>
                      <w:lang w:eastAsia="zh-CN"/>
                    </w:rPr>
                    <w:t>（</w:t>
                  </w:r>
                  <w:r>
                    <w:rPr>
                      <w:b/>
                      <w:bCs/>
                      <w:color w:val="auto"/>
                      <w:sz w:val="21"/>
                      <w:szCs w:val="21"/>
                    </w:rPr>
                    <w:t>μg/m</w:t>
                  </w:r>
                  <w:r>
                    <w:rPr>
                      <w:b/>
                      <w:bCs/>
                      <w:color w:val="auto"/>
                      <w:sz w:val="21"/>
                      <w:szCs w:val="21"/>
                      <w:vertAlign w:val="superscript"/>
                    </w:rPr>
                    <w:t>3</w:t>
                  </w:r>
                  <w:r>
                    <w:rPr>
                      <w:rFonts w:hint="eastAsia"/>
                      <w:b/>
                      <w:bCs/>
                      <w:color w:val="auto"/>
                      <w:sz w:val="21"/>
                      <w:szCs w:val="21"/>
                      <w:lang w:eastAsia="zh-CN"/>
                    </w:rPr>
                    <w:t>）</w:t>
                  </w:r>
                </w:p>
              </w:tc>
              <w:tc>
                <w:tcPr>
                  <w:tcW w:w="1272" w:type="dxa"/>
                  <w:tcBorders>
                    <w:tl2br w:val="nil"/>
                    <w:tr2bl w:val="nil"/>
                  </w:tcBorders>
                  <w:vAlign w:val="center"/>
                </w:tcPr>
                <w:p>
                  <w:pPr>
                    <w:jc w:val="center"/>
                    <w:rPr>
                      <w:rFonts w:hint="eastAsia" w:eastAsia="宋体"/>
                      <w:b/>
                      <w:bCs/>
                      <w:color w:val="auto"/>
                      <w:sz w:val="21"/>
                      <w:szCs w:val="21"/>
                      <w:lang w:eastAsia="zh-CN"/>
                    </w:rPr>
                  </w:pPr>
                  <w:r>
                    <w:rPr>
                      <w:b/>
                      <w:bCs/>
                      <w:color w:val="auto"/>
                      <w:sz w:val="21"/>
                      <w:szCs w:val="21"/>
                    </w:rPr>
                    <w:t>标准值</w:t>
                  </w:r>
                  <w:r>
                    <w:rPr>
                      <w:rFonts w:hint="eastAsia"/>
                      <w:b/>
                      <w:bCs/>
                      <w:color w:val="auto"/>
                      <w:sz w:val="21"/>
                      <w:szCs w:val="21"/>
                      <w:lang w:eastAsia="zh-CN"/>
                    </w:rPr>
                    <w:t>（</w:t>
                  </w:r>
                  <w:r>
                    <w:rPr>
                      <w:b/>
                      <w:bCs/>
                      <w:color w:val="auto"/>
                      <w:sz w:val="21"/>
                      <w:szCs w:val="21"/>
                    </w:rPr>
                    <w:t>μg/m</w:t>
                  </w:r>
                  <w:r>
                    <w:rPr>
                      <w:b/>
                      <w:bCs/>
                      <w:color w:val="auto"/>
                      <w:sz w:val="21"/>
                      <w:szCs w:val="21"/>
                      <w:vertAlign w:val="superscript"/>
                    </w:rPr>
                    <w:t>3</w:t>
                  </w:r>
                  <w:r>
                    <w:rPr>
                      <w:rFonts w:hint="eastAsia"/>
                      <w:b/>
                      <w:bCs/>
                      <w:color w:val="auto"/>
                      <w:sz w:val="21"/>
                      <w:szCs w:val="21"/>
                      <w:lang w:eastAsia="zh-CN"/>
                    </w:rPr>
                    <w:t>）</w:t>
                  </w:r>
                </w:p>
              </w:tc>
              <w:tc>
                <w:tcPr>
                  <w:tcW w:w="1300" w:type="dxa"/>
                  <w:tcBorders>
                    <w:tl2br w:val="nil"/>
                    <w:tr2bl w:val="nil"/>
                  </w:tcBorders>
                  <w:vAlign w:val="center"/>
                </w:tcPr>
                <w:p>
                  <w:pPr>
                    <w:jc w:val="center"/>
                    <w:rPr>
                      <w:b/>
                      <w:bCs/>
                      <w:color w:val="auto"/>
                      <w:sz w:val="21"/>
                      <w:szCs w:val="21"/>
                    </w:rPr>
                  </w:pPr>
                  <w:r>
                    <w:rPr>
                      <w:rFonts w:hint="eastAsia"/>
                      <w:b/>
                      <w:bCs/>
                      <w:color w:val="auto"/>
                      <w:sz w:val="21"/>
                      <w:szCs w:val="21"/>
                    </w:rPr>
                    <w:t>占标率（%）</w:t>
                  </w:r>
                </w:p>
              </w:tc>
              <w:tc>
                <w:tcPr>
                  <w:tcW w:w="1330" w:type="dxa"/>
                  <w:tcBorders>
                    <w:tl2br w:val="nil"/>
                    <w:tr2bl w:val="nil"/>
                  </w:tcBorders>
                  <w:vAlign w:val="center"/>
                </w:tcPr>
                <w:p>
                  <w:pPr>
                    <w:jc w:val="center"/>
                    <w:rPr>
                      <w:b/>
                      <w:bCs/>
                      <w:color w:val="auto"/>
                      <w:sz w:val="21"/>
                      <w:szCs w:val="21"/>
                    </w:rPr>
                  </w:pPr>
                  <w:r>
                    <w:rPr>
                      <w:b/>
                      <w:bCs/>
                      <w:color w:val="auto"/>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7" w:type="dxa"/>
                  <w:tcBorders>
                    <w:tl2br w:val="nil"/>
                    <w:tr2bl w:val="nil"/>
                  </w:tcBorders>
                  <w:vAlign w:val="center"/>
                </w:tcPr>
                <w:p>
                  <w:pPr>
                    <w:jc w:val="center"/>
                    <w:rPr>
                      <w:color w:val="auto"/>
                      <w:sz w:val="21"/>
                      <w:szCs w:val="21"/>
                    </w:rPr>
                  </w:pPr>
                  <w:r>
                    <w:rPr>
                      <w:rFonts w:hint="eastAsia"/>
                      <w:color w:val="auto"/>
                      <w:sz w:val="21"/>
                      <w:szCs w:val="21"/>
                    </w:rPr>
                    <w:t>PM</w:t>
                  </w:r>
                  <w:r>
                    <w:rPr>
                      <w:rFonts w:hint="eastAsia"/>
                      <w:color w:val="auto"/>
                      <w:sz w:val="21"/>
                      <w:szCs w:val="21"/>
                      <w:vertAlign w:val="subscript"/>
                    </w:rPr>
                    <w:t>2.5</w:t>
                  </w:r>
                </w:p>
              </w:tc>
              <w:tc>
                <w:tcPr>
                  <w:tcW w:w="2445" w:type="dxa"/>
                  <w:tcBorders>
                    <w:tl2br w:val="nil"/>
                    <w:tr2bl w:val="nil"/>
                  </w:tcBorders>
                  <w:vAlign w:val="center"/>
                </w:tcPr>
                <w:p>
                  <w:pPr>
                    <w:jc w:val="center"/>
                    <w:rPr>
                      <w:color w:val="auto"/>
                      <w:sz w:val="21"/>
                      <w:szCs w:val="21"/>
                    </w:rPr>
                  </w:pPr>
                  <w:r>
                    <w:rPr>
                      <w:color w:val="auto"/>
                      <w:sz w:val="21"/>
                      <w:szCs w:val="21"/>
                    </w:rPr>
                    <w:t>年</w:t>
                  </w:r>
                  <w:r>
                    <w:rPr>
                      <w:rFonts w:hint="eastAsia"/>
                      <w:color w:val="auto"/>
                      <w:sz w:val="21"/>
                      <w:szCs w:val="21"/>
                    </w:rPr>
                    <w:t>平</w:t>
                  </w:r>
                  <w:r>
                    <w:rPr>
                      <w:color w:val="auto"/>
                      <w:sz w:val="21"/>
                      <w:szCs w:val="21"/>
                    </w:rPr>
                    <w:t>均</w:t>
                  </w:r>
                  <w:r>
                    <w:rPr>
                      <w:rFonts w:hint="eastAsia"/>
                      <w:color w:val="auto"/>
                      <w:sz w:val="21"/>
                      <w:szCs w:val="21"/>
                    </w:rPr>
                    <w:t>质量浓度</w:t>
                  </w:r>
                </w:p>
              </w:tc>
              <w:tc>
                <w:tcPr>
                  <w:tcW w:w="1481" w:type="dxa"/>
                  <w:tcBorders>
                    <w:tl2br w:val="nil"/>
                    <w:tr2bl w:val="nil"/>
                  </w:tcBorders>
                  <w:vAlign w:val="center"/>
                </w:tcPr>
                <w:p>
                  <w:pPr>
                    <w:jc w:val="center"/>
                    <w:rPr>
                      <w:rFonts w:hint="default" w:eastAsia="宋体"/>
                      <w:color w:val="auto"/>
                      <w:sz w:val="21"/>
                      <w:szCs w:val="21"/>
                      <w:lang w:val="en-US" w:eastAsia="zh-CN"/>
                    </w:rPr>
                  </w:pPr>
                  <w:r>
                    <w:rPr>
                      <w:rFonts w:hint="eastAsia"/>
                      <w:color w:val="auto"/>
                      <w:sz w:val="21"/>
                      <w:szCs w:val="21"/>
                      <w:lang w:val="en-US" w:eastAsia="zh-CN"/>
                    </w:rPr>
                    <w:t>47</w:t>
                  </w:r>
                </w:p>
              </w:tc>
              <w:tc>
                <w:tcPr>
                  <w:tcW w:w="1272" w:type="dxa"/>
                  <w:tcBorders>
                    <w:tl2br w:val="nil"/>
                    <w:tr2bl w:val="nil"/>
                  </w:tcBorders>
                  <w:vAlign w:val="center"/>
                </w:tcPr>
                <w:p>
                  <w:pPr>
                    <w:jc w:val="center"/>
                    <w:rPr>
                      <w:color w:val="auto"/>
                      <w:sz w:val="21"/>
                      <w:szCs w:val="21"/>
                    </w:rPr>
                  </w:pPr>
                  <w:r>
                    <w:rPr>
                      <w:rFonts w:hint="eastAsia"/>
                      <w:color w:val="auto"/>
                      <w:sz w:val="21"/>
                      <w:szCs w:val="21"/>
                    </w:rPr>
                    <w:t>35</w:t>
                  </w:r>
                </w:p>
              </w:tc>
              <w:tc>
                <w:tcPr>
                  <w:tcW w:w="1300" w:type="dxa"/>
                  <w:tcBorders>
                    <w:tl2br w:val="nil"/>
                    <w:tr2bl w:val="nil"/>
                  </w:tcBorders>
                  <w:vAlign w:val="center"/>
                </w:tcPr>
                <w:p>
                  <w:pPr>
                    <w:jc w:val="center"/>
                    <w:rPr>
                      <w:rFonts w:hint="default" w:eastAsia="宋体"/>
                      <w:color w:val="auto"/>
                      <w:sz w:val="21"/>
                      <w:szCs w:val="21"/>
                      <w:lang w:val="en-US" w:eastAsia="zh-CN"/>
                    </w:rPr>
                  </w:pPr>
                  <w:r>
                    <w:rPr>
                      <w:rFonts w:hint="eastAsia"/>
                      <w:color w:val="auto"/>
                      <w:sz w:val="21"/>
                      <w:szCs w:val="21"/>
                    </w:rPr>
                    <w:t>1</w:t>
                  </w:r>
                  <w:r>
                    <w:rPr>
                      <w:rFonts w:hint="eastAsia"/>
                      <w:color w:val="auto"/>
                      <w:sz w:val="21"/>
                      <w:szCs w:val="21"/>
                      <w:lang w:val="en-US" w:eastAsia="zh-CN"/>
                    </w:rPr>
                    <w:t>34.3</w:t>
                  </w:r>
                </w:p>
              </w:tc>
              <w:tc>
                <w:tcPr>
                  <w:tcW w:w="1330" w:type="dxa"/>
                  <w:tcBorders>
                    <w:tl2br w:val="nil"/>
                    <w:tr2bl w:val="nil"/>
                  </w:tcBorders>
                  <w:vAlign w:val="center"/>
                </w:tcPr>
                <w:p>
                  <w:pPr>
                    <w:jc w:val="center"/>
                    <w:rPr>
                      <w:color w:val="auto"/>
                      <w:sz w:val="21"/>
                      <w:szCs w:val="21"/>
                    </w:rPr>
                  </w:pPr>
                  <w:r>
                    <w:rPr>
                      <w:rFonts w:hint="eastAsia"/>
                      <w:color w:val="auto"/>
                      <w:sz w:val="21"/>
                      <w:szCs w:val="21"/>
                    </w:rPr>
                    <w:t>不</w:t>
                  </w:r>
                  <w:r>
                    <w:rPr>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7" w:type="dxa"/>
                  <w:tcBorders>
                    <w:tl2br w:val="nil"/>
                    <w:tr2bl w:val="nil"/>
                  </w:tcBorders>
                  <w:vAlign w:val="center"/>
                </w:tcPr>
                <w:p>
                  <w:pPr>
                    <w:snapToGrid w:val="0"/>
                    <w:jc w:val="center"/>
                    <w:rPr>
                      <w:color w:val="auto"/>
                      <w:sz w:val="21"/>
                      <w:szCs w:val="21"/>
                    </w:rPr>
                  </w:pPr>
                  <w:r>
                    <w:rPr>
                      <w:color w:val="auto"/>
                      <w:sz w:val="21"/>
                      <w:szCs w:val="21"/>
                    </w:rPr>
                    <w:t>PM</w:t>
                  </w:r>
                  <w:r>
                    <w:rPr>
                      <w:color w:val="auto"/>
                      <w:sz w:val="21"/>
                      <w:szCs w:val="21"/>
                      <w:vertAlign w:val="subscript"/>
                    </w:rPr>
                    <w:t>10</w:t>
                  </w:r>
                </w:p>
              </w:tc>
              <w:tc>
                <w:tcPr>
                  <w:tcW w:w="2445" w:type="dxa"/>
                  <w:tcBorders>
                    <w:tl2br w:val="nil"/>
                    <w:tr2bl w:val="nil"/>
                  </w:tcBorders>
                  <w:vAlign w:val="center"/>
                </w:tcPr>
                <w:p>
                  <w:pPr>
                    <w:snapToGrid w:val="0"/>
                    <w:jc w:val="center"/>
                    <w:rPr>
                      <w:color w:val="auto"/>
                      <w:sz w:val="21"/>
                      <w:szCs w:val="21"/>
                    </w:rPr>
                  </w:pPr>
                  <w:r>
                    <w:rPr>
                      <w:color w:val="auto"/>
                      <w:sz w:val="21"/>
                      <w:szCs w:val="21"/>
                    </w:rPr>
                    <w:t>年</w:t>
                  </w:r>
                  <w:r>
                    <w:rPr>
                      <w:rFonts w:hint="eastAsia"/>
                      <w:color w:val="auto"/>
                      <w:sz w:val="21"/>
                      <w:szCs w:val="21"/>
                    </w:rPr>
                    <w:t>平</w:t>
                  </w:r>
                  <w:r>
                    <w:rPr>
                      <w:color w:val="auto"/>
                      <w:sz w:val="21"/>
                      <w:szCs w:val="21"/>
                    </w:rPr>
                    <w:t>均</w:t>
                  </w:r>
                  <w:r>
                    <w:rPr>
                      <w:rFonts w:hint="eastAsia"/>
                      <w:color w:val="auto"/>
                      <w:sz w:val="21"/>
                      <w:szCs w:val="21"/>
                    </w:rPr>
                    <w:t>质量浓度</w:t>
                  </w:r>
                </w:p>
              </w:tc>
              <w:tc>
                <w:tcPr>
                  <w:tcW w:w="1481" w:type="dxa"/>
                  <w:tcBorders>
                    <w:tl2br w:val="nil"/>
                    <w:tr2bl w:val="nil"/>
                  </w:tcBorders>
                  <w:vAlign w:val="center"/>
                </w:tcPr>
                <w:p>
                  <w:pPr>
                    <w:widowControl/>
                    <w:spacing w:line="360" w:lineRule="exact"/>
                    <w:jc w:val="center"/>
                    <w:rPr>
                      <w:rFonts w:hint="default" w:eastAsia="宋体"/>
                      <w:color w:val="auto"/>
                      <w:sz w:val="21"/>
                      <w:szCs w:val="21"/>
                      <w:lang w:val="en-US" w:eastAsia="zh-CN"/>
                    </w:rPr>
                  </w:pPr>
                  <w:r>
                    <w:rPr>
                      <w:rFonts w:hint="eastAsia"/>
                      <w:color w:val="auto"/>
                      <w:sz w:val="21"/>
                      <w:szCs w:val="21"/>
                      <w:lang w:val="en-US" w:eastAsia="zh-CN"/>
                    </w:rPr>
                    <w:t>73</w:t>
                  </w:r>
                </w:p>
              </w:tc>
              <w:tc>
                <w:tcPr>
                  <w:tcW w:w="1272" w:type="dxa"/>
                  <w:tcBorders>
                    <w:tl2br w:val="nil"/>
                    <w:tr2bl w:val="nil"/>
                  </w:tcBorders>
                  <w:vAlign w:val="center"/>
                </w:tcPr>
                <w:p>
                  <w:pPr>
                    <w:snapToGrid w:val="0"/>
                    <w:jc w:val="center"/>
                    <w:rPr>
                      <w:color w:val="auto"/>
                      <w:sz w:val="21"/>
                      <w:szCs w:val="21"/>
                    </w:rPr>
                  </w:pPr>
                  <w:r>
                    <w:rPr>
                      <w:rFonts w:hint="eastAsia"/>
                      <w:color w:val="auto"/>
                      <w:sz w:val="21"/>
                      <w:szCs w:val="21"/>
                    </w:rPr>
                    <w:t>70</w:t>
                  </w:r>
                </w:p>
              </w:tc>
              <w:tc>
                <w:tcPr>
                  <w:tcW w:w="1300" w:type="dxa"/>
                  <w:tcBorders>
                    <w:tl2br w:val="nil"/>
                    <w:tr2bl w:val="nil"/>
                  </w:tcBorders>
                  <w:vAlign w:val="center"/>
                </w:tcPr>
                <w:p>
                  <w:pPr>
                    <w:snapToGrid w:val="0"/>
                    <w:jc w:val="center"/>
                    <w:rPr>
                      <w:rFonts w:hint="default" w:eastAsia="宋体"/>
                      <w:color w:val="auto"/>
                      <w:sz w:val="21"/>
                      <w:szCs w:val="21"/>
                      <w:lang w:val="en-US" w:eastAsia="zh-CN"/>
                    </w:rPr>
                  </w:pPr>
                  <w:r>
                    <w:rPr>
                      <w:rFonts w:hint="eastAsia"/>
                      <w:color w:val="auto"/>
                      <w:sz w:val="21"/>
                      <w:szCs w:val="21"/>
                    </w:rPr>
                    <w:t>1</w:t>
                  </w:r>
                  <w:r>
                    <w:rPr>
                      <w:rFonts w:hint="eastAsia"/>
                      <w:color w:val="auto"/>
                      <w:sz w:val="21"/>
                      <w:szCs w:val="21"/>
                      <w:lang w:val="en-US" w:eastAsia="zh-CN"/>
                    </w:rPr>
                    <w:t>04.3</w:t>
                  </w:r>
                </w:p>
              </w:tc>
              <w:tc>
                <w:tcPr>
                  <w:tcW w:w="1330" w:type="dxa"/>
                  <w:tcBorders>
                    <w:tl2br w:val="nil"/>
                    <w:tr2bl w:val="nil"/>
                  </w:tcBorders>
                  <w:vAlign w:val="center"/>
                </w:tcPr>
                <w:p>
                  <w:pPr>
                    <w:snapToGrid w:val="0"/>
                    <w:jc w:val="center"/>
                    <w:rPr>
                      <w:color w:val="auto"/>
                      <w:sz w:val="21"/>
                      <w:szCs w:val="21"/>
                    </w:rPr>
                  </w:pPr>
                  <w:r>
                    <w:rPr>
                      <w:color w:val="auto"/>
                      <w:sz w:val="21"/>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7" w:type="dxa"/>
                  <w:tcBorders>
                    <w:tl2br w:val="nil"/>
                    <w:tr2bl w:val="nil"/>
                  </w:tcBorders>
                  <w:vAlign w:val="center"/>
                </w:tcPr>
                <w:p>
                  <w:pPr>
                    <w:snapToGrid w:val="0"/>
                    <w:jc w:val="center"/>
                    <w:rPr>
                      <w:color w:val="auto"/>
                      <w:sz w:val="21"/>
                      <w:szCs w:val="21"/>
                    </w:rPr>
                  </w:pPr>
                  <w:r>
                    <w:rPr>
                      <w:color w:val="auto"/>
                      <w:sz w:val="21"/>
                      <w:szCs w:val="21"/>
                    </w:rPr>
                    <w:t>SO</w:t>
                  </w:r>
                  <w:r>
                    <w:rPr>
                      <w:color w:val="auto"/>
                      <w:sz w:val="21"/>
                      <w:szCs w:val="21"/>
                      <w:vertAlign w:val="subscript"/>
                    </w:rPr>
                    <w:t>2</w:t>
                  </w:r>
                </w:p>
              </w:tc>
              <w:tc>
                <w:tcPr>
                  <w:tcW w:w="2445" w:type="dxa"/>
                  <w:tcBorders>
                    <w:tl2br w:val="nil"/>
                    <w:tr2bl w:val="nil"/>
                  </w:tcBorders>
                  <w:vAlign w:val="center"/>
                </w:tcPr>
                <w:p>
                  <w:pPr>
                    <w:snapToGrid w:val="0"/>
                    <w:jc w:val="center"/>
                    <w:rPr>
                      <w:color w:val="auto"/>
                      <w:sz w:val="21"/>
                      <w:szCs w:val="21"/>
                    </w:rPr>
                  </w:pPr>
                  <w:r>
                    <w:rPr>
                      <w:color w:val="auto"/>
                      <w:sz w:val="21"/>
                      <w:szCs w:val="21"/>
                    </w:rPr>
                    <w:t>年</w:t>
                  </w:r>
                  <w:r>
                    <w:rPr>
                      <w:rFonts w:hint="eastAsia"/>
                      <w:color w:val="auto"/>
                      <w:sz w:val="21"/>
                      <w:szCs w:val="21"/>
                    </w:rPr>
                    <w:t>平</w:t>
                  </w:r>
                  <w:r>
                    <w:rPr>
                      <w:color w:val="auto"/>
                      <w:sz w:val="21"/>
                      <w:szCs w:val="21"/>
                    </w:rPr>
                    <w:t>均</w:t>
                  </w:r>
                  <w:r>
                    <w:rPr>
                      <w:rFonts w:hint="eastAsia"/>
                      <w:color w:val="auto"/>
                      <w:sz w:val="21"/>
                      <w:szCs w:val="21"/>
                    </w:rPr>
                    <w:t>质量浓度</w:t>
                  </w:r>
                </w:p>
              </w:tc>
              <w:tc>
                <w:tcPr>
                  <w:tcW w:w="1481" w:type="dxa"/>
                  <w:tcBorders>
                    <w:tl2br w:val="nil"/>
                    <w:tr2bl w:val="nil"/>
                  </w:tcBorders>
                  <w:vAlign w:val="center"/>
                </w:tcPr>
                <w:p>
                  <w:pPr>
                    <w:widowControl/>
                    <w:spacing w:line="360" w:lineRule="exact"/>
                    <w:jc w:val="center"/>
                    <w:rPr>
                      <w:rFonts w:hint="eastAsia" w:eastAsia="宋体"/>
                      <w:color w:val="auto"/>
                      <w:sz w:val="21"/>
                      <w:szCs w:val="21"/>
                      <w:lang w:eastAsia="zh-CN"/>
                    </w:rPr>
                  </w:pPr>
                  <w:r>
                    <w:rPr>
                      <w:rFonts w:hint="eastAsia"/>
                      <w:color w:val="auto"/>
                      <w:sz w:val="21"/>
                      <w:szCs w:val="21"/>
                      <w:lang w:val="en-US" w:eastAsia="zh-CN"/>
                    </w:rPr>
                    <w:t>7</w:t>
                  </w:r>
                </w:p>
              </w:tc>
              <w:tc>
                <w:tcPr>
                  <w:tcW w:w="1272" w:type="dxa"/>
                  <w:tcBorders>
                    <w:tl2br w:val="nil"/>
                    <w:tr2bl w:val="nil"/>
                  </w:tcBorders>
                  <w:vAlign w:val="center"/>
                </w:tcPr>
                <w:p>
                  <w:pPr>
                    <w:snapToGrid w:val="0"/>
                    <w:jc w:val="center"/>
                    <w:rPr>
                      <w:color w:val="auto"/>
                      <w:sz w:val="21"/>
                      <w:szCs w:val="21"/>
                    </w:rPr>
                  </w:pPr>
                  <w:r>
                    <w:rPr>
                      <w:rFonts w:hint="eastAsia"/>
                      <w:color w:val="auto"/>
                      <w:sz w:val="21"/>
                      <w:szCs w:val="21"/>
                    </w:rPr>
                    <w:t>60</w:t>
                  </w:r>
                </w:p>
              </w:tc>
              <w:tc>
                <w:tcPr>
                  <w:tcW w:w="1300" w:type="dxa"/>
                  <w:tcBorders>
                    <w:tl2br w:val="nil"/>
                    <w:tr2bl w:val="nil"/>
                  </w:tcBorders>
                  <w:vAlign w:val="center"/>
                </w:tcPr>
                <w:p>
                  <w:pPr>
                    <w:snapToGrid w:val="0"/>
                    <w:jc w:val="center"/>
                    <w:rPr>
                      <w:rFonts w:hint="default" w:eastAsia="宋体"/>
                      <w:color w:val="auto"/>
                      <w:sz w:val="21"/>
                      <w:szCs w:val="21"/>
                      <w:lang w:val="en-US" w:eastAsia="zh-CN"/>
                    </w:rPr>
                  </w:pPr>
                  <w:r>
                    <w:rPr>
                      <w:rFonts w:hint="eastAsia"/>
                      <w:color w:val="auto"/>
                      <w:sz w:val="21"/>
                      <w:szCs w:val="21"/>
                    </w:rPr>
                    <w:t>1</w:t>
                  </w:r>
                  <w:r>
                    <w:rPr>
                      <w:rFonts w:hint="eastAsia"/>
                      <w:color w:val="auto"/>
                      <w:sz w:val="21"/>
                      <w:szCs w:val="21"/>
                      <w:lang w:val="en-US" w:eastAsia="zh-CN"/>
                    </w:rPr>
                    <w:t>1.7</w:t>
                  </w:r>
                </w:p>
              </w:tc>
              <w:tc>
                <w:tcPr>
                  <w:tcW w:w="1330" w:type="dxa"/>
                  <w:tcBorders>
                    <w:tl2br w:val="nil"/>
                    <w:tr2bl w:val="nil"/>
                  </w:tcBorders>
                  <w:vAlign w:val="center"/>
                </w:tcPr>
                <w:p>
                  <w:pPr>
                    <w:snapToGrid w:val="0"/>
                    <w:jc w:val="center"/>
                    <w:rPr>
                      <w:color w:val="auto"/>
                      <w:sz w:val="21"/>
                      <w:szCs w:val="21"/>
                    </w:rPr>
                  </w:pPr>
                  <w:r>
                    <w:rPr>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7" w:type="dxa"/>
                  <w:tcBorders>
                    <w:tl2br w:val="nil"/>
                    <w:tr2bl w:val="nil"/>
                  </w:tcBorders>
                  <w:vAlign w:val="center"/>
                </w:tcPr>
                <w:p>
                  <w:pPr>
                    <w:snapToGrid w:val="0"/>
                    <w:jc w:val="center"/>
                    <w:rPr>
                      <w:color w:val="auto"/>
                      <w:sz w:val="21"/>
                      <w:szCs w:val="21"/>
                    </w:rPr>
                  </w:pPr>
                  <w:r>
                    <w:rPr>
                      <w:color w:val="auto"/>
                      <w:sz w:val="21"/>
                      <w:szCs w:val="21"/>
                    </w:rPr>
                    <w:t>NO</w:t>
                  </w:r>
                  <w:r>
                    <w:rPr>
                      <w:color w:val="auto"/>
                      <w:sz w:val="21"/>
                      <w:szCs w:val="21"/>
                      <w:vertAlign w:val="subscript"/>
                    </w:rPr>
                    <w:t>2</w:t>
                  </w:r>
                </w:p>
              </w:tc>
              <w:tc>
                <w:tcPr>
                  <w:tcW w:w="2445" w:type="dxa"/>
                  <w:tcBorders>
                    <w:tl2br w:val="nil"/>
                    <w:tr2bl w:val="nil"/>
                  </w:tcBorders>
                  <w:vAlign w:val="center"/>
                </w:tcPr>
                <w:p>
                  <w:pPr>
                    <w:snapToGrid w:val="0"/>
                    <w:jc w:val="center"/>
                    <w:rPr>
                      <w:color w:val="auto"/>
                      <w:sz w:val="21"/>
                      <w:szCs w:val="21"/>
                    </w:rPr>
                  </w:pPr>
                  <w:r>
                    <w:rPr>
                      <w:color w:val="auto"/>
                      <w:sz w:val="21"/>
                      <w:szCs w:val="21"/>
                    </w:rPr>
                    <w:t>年</w:t>
                  </w:r>
                  <w:r>
                    <w:rPr>
                      <w:rFonts w:hint="eastAsia"/>
                      <w:color w:val="auto"/>
                      <w:sz w:val="21"/>
                      <w:szCs w:val="21"/>
                    </w:rPr>
                    <w:t>平</w:t>
                  </w:r>
                  <w:r>
                    <w:rPr>
                      <w:color w:val="auto"/>
                      <w:sz w:val="21"/>
                      <w:szCs w:val="21"/>
                    </w:rPr>
                    <w:t>均</w:t>
                  </w:r>
                  <w:r>
                    <w:rPr>
                      <w:rFonts w:hint="eastAsia"/>
                      <w:color w:val="auto"/>
                      <w:sz w:val="21"/>
                      <w:szCs w:val="21"/>
                    </w:rPr>
                    <w:t>质量浓度</w:t>
                  </w:r>
                </w:p>
              </w:tc>
              <w:tc>
                <w:tcPr>
                  <w:tcW w:w="1481" w:type="dxa"/>
                  <w:tcBorders>
                    <w:tl2br w:val="nil"/>
                    <w:tr2bl w:val="nil"/>
                  </w:tcBorders>
                  <w:vAlign w:val="center"/>
                </w:tcPr>
                <w:p>
                  <w:pPr>
                    <w:widowControl/>
                    <w:spacing w:line="360" w:lineRule="exact"/>
                    <w:jc w:val="center"/>
                    <w:rPr>
                      <w:rFonts w:hint="default" w:eastAsia="宋体"/>
                      <w:color w:val="auto"/>
                      <w:sz w:val="21"/>
                      <w:szCs w:val="21"/>
                      <w:lang w:val="en-US" w:eastAsia="zh-CN"/>
                    </w:rPr>
                  </w:pPr>
                  <w:r>
                    <w:rPr>
                      <w:rFonts w:hint="eastAsia"/>
                      <w:color w:val="auto"/>
                      <w:sz w:val="21"/>
                      <w:szCs w:val="21"/>
                      <w:lang w:val="en-US" w:eastAsia="zh-CN"/>
                    </w:rPr>
                    <w:t>22</w:t>
                  </w:r>
                </w:p>
              </w:tc>
              <w:tc>
                <w:tcPr>
                  <w:tcW w:w="1272" w:type="dxa"/>
                  <w:tcBorders>
                    <w:tl2br w:val="nil"/>
                    <w:tr2bl w:val="nil"/>
                  </w:tcBorders>
                  <w:vAlign w:val="center"/>
                </w:tcPr>
                <w:p>
                  <w:pPr>
                    <w:snapToGrid w:val="0"/>
                    <w:jc w:val="center"/>
                    <w:rPr>
                      <w:color w:val="auto"/>
                      <w:sz w:val="21"/>
                      <w:szCs w:val="21"/>
                    </w:rPr>
                  </w:pPr>
                  <w:r>
                    <w:rPr>
                      <w:rFonts w:hint="eastAsia"/>
                      <w:color w:val="auto"/>
                      <w:sz w:val="21"/>
                      <w:szCs w:val="21"/>
                    </w:rPr>
                    <w:t>40</w:t>
                  </w:r>
                </w:p>
              </w:tc>
              <w:tc>
                <w:tcPr>
                  <w:tcW w:w="1300" w:type="dxa"/>
                  <w:tcBorders>
                    <w:tl2br w:val="nil"/>
                    <w:tr2bl w:val="nil"/>
                  </w:tcBorders>
                  <w:vAlign w:val="center"/>
                </w:tcPr>
                <w:p>
                  <w:pPr>
                    <w:snapToGrid w:val="0"/>
                    <w:jc w:val="center"/>
                    <w:rPr>
                      <w:rFonts w:hint="default" w:eastAsia="宋体"/>
                      <w:color w:val="auto"/>
                      <w:sz w:val="21"/>
                      <w:szCs w:val="21"/>
                      <w:lang w:val="en-US" w:eastAsia="zh-CN"/>
                    </w:rPr>
                  </w:pPr>
                  <w:r>
                    <w:rPr>
                      <w:rFonts w:hint="eastAsia"/>
                      <w:color w:val="auto"/>
                      <w:sz w:val="21"/>
                      <w:szCs w:val="21"/>
                      <w:lang w:val="en-US" w:eastAsia="zh-CN"/>
                    </w:rPr>
                    <w:t>55</w:t>
                  </w:r>
                </w:p>
              </w:tc>
              <w:tc>
                <w:tcPr>
                  <w:tcW w:w="1330" w:type="dxa"/>
                  <w:tcBorders>
                    <w:tl2br w:val="nil"/>
                    <w:tr2bl w:val="nil"/>
                  </w:tcBorders>
                  <w:vAlign w:val="center"/>
                </w:tcPr>
                <w:p>
                  <w:pPr>
                    <w:snapToGrid w:val="0"/>
                    <w:jc w:val="center"/>
                    <w:rPr>
                      <w:color w:val="auto"/>
                      <w:sz w:val="21"/>
                      <w:szCs w:val="21"/>
                    </w:rPr>
                  </w:pPr>
                  <w:r>
                    <w:rPr>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7" w:type="dxa"/>
                  <w:tcBorders>
                    <w:tl2br w:val="nil"/>
                    <w:tr2bl w:val="nil"/>
                  </w:tcBorders>
                  <w:vAlign w:val="center"/>
                </w:tcPr>
                <w:p>
                  <w:pPr>
                    <w:snapToGrid w:val="0"/>
                    <w:jc w:val="center"/>
                    <w:rPr>
                      <w:color w:val="auto"/>
                      <w:sz w:val="21"/>
                      <w:szCs w:val="21"/>
                    </w:rPr>
                  </w:pPr>
                  <w:r>
                    <w:rPr>
                      <w:color w:val="auto"/>
                      <w:sz w:val="21"/>
                      <w:szCs w:val="21"/>
                    </w:rPr>
                    <w:t>O</w:t>
                  </w:r>
                  <w:r>
                    <w:rPr>
                      <w:color w:val="auto"/>
                      <w:sz w:val="21"/>
                      <w:szCs w:val="21"/>
                      <w:vertAlign w:val="subscript"/>
                    </w:rPr>
                    <w:t>3</w:t>
                  </w:r>
                </w:p>
              </w:tc>
              <w:tc>
                <w:tcPr>
                  <w:tcW w:w="2445" w:type="dxa"/>
                  <w:tcBorders>
                    <w:tl2br w:val="nil"/>
                    <w:tr2bl w:val="nil"/>
                  </w:tcBorders>
                  <w:vAlign w:val="center"/>
                </w:tcPr>
                <w:p>
                  <w:pPr>
                    <w:snapToGrid w:val="0"/>
                    <w:jc w:val="center"/>
                    <w:rPr>
                      <w:color w:val="auto"/>
                      <w:sz w:val="21"/>
                      <w:szCs w:val="21"/>
                    </w:rPr>
                  </w:pPr>
                  <w:r>
                    <w:rPr>
                      <w:rFonts w:hint="eastAsia"/>
                      <w:color w:val="auto"/>
                      <w:sz w:val="21"/>
                      <w:szCs w:val="21"/>
                    </w:rPr>
                    <w:t>日最大</w:t>
                  </w:r>
                  <w:r>
                    <w:rPr>
                      <w:color w:val="auto"/>
                      <w:sz w:val="21"/>
                      <w:szCs w:val="21"/>
                    </w:rPr>
                    <w:t>8</w:t>
                  </w:r>
                  <w:r>
                    <w:rPr>
                      <w:rFonts w:hint="eastAsia"/>
                      <w:color w:val="auto"/>
                      <w:sz w:val="21"/>
                      <w:szCs w:val="21"/>
                    </w:rPr>
                    <w:t>h平均第90百分位浓度</w:t>
                  </w:r>
                </w:p>
              </w:tc>
              <w:tc>
                <w:tcPr>
                  <w:tcW w:w="1481" w:type="dxa"/>
                  <w:tcBorders>
                    <w:tl2br w:val="nil"/>
                    <w:tr2bl w:val="nil"/>
                  </w:tcBorders>
                  <w:vAlign w:val="center"/>
                </w:tcPr>
                <w:p>
                  <w:pPr>
                    <w:widowControl/>
                    <w:spacing w:line="360" w:lineRule="exact"/>
                    <w:jc w:val="center"/>
                    <w:rPr>
                      <w:rFonts w:hint="default" w:eastAsia="宋体"/>
                      <w:color w:val="auto"/>
                      <w:sz w:val="21"/>
                      <w:szCs w:val="21"/>
                      <w:lang w:val="en-US" w:eastAsia="zh-CN"/>
                    </w:rPr>
                  </w:pPr>
                  <w:r>
                    <w:rPr>
                      <w:rFonts w:hint="eastAsia"/>
                      <w:color w:val="auto"/>
                      <w:sz w:val="21"/>
                      <w:szCs w:val="21"/>
                    </w:rPr>
                    <w:t>1</w:t>
                  </w:r>
                  <w:r>
                    <w:rPr>
                      <w:rFonts w:hint="eastAsia"/>
                      <w:color w:val="auto"/>
                      <w:sz w:val="21"/>
                      <w:szCs w:val="21"/>
                      <w:lang w:val="en-US" w:eastAsia="zh-CN"/>
                    </w:rPr>
                    <w:t>69</w:t>
                  </w:r>
                </w:p>
              </w:tc>
              <w:tc>
                <w:tcPr>
                  <w:tcW w:w="1272" w:type="dxa"/>
                  <w:tcBorders>
                    <w:tl2br w:val="nil"/>
                    <w:tr2bl w:val="nil"/>
                  </w:tcBorders>
                  <w:vAlign w:val="center"/>
                </w:tcPr>
                <w:p>
                  <w:pPr>
                    <w:snapToGrid w:val="0"/>
                    <w:jc w:val="center"/>
                    <w:rPr>
                      <w:color w:val="auto"/>
                      <w:sz w:val="21"/>
                      <w:szCs w:val="21"/>
                    </w:rPr>
                  </w:pPr>
                  <w:r>
                    <w:rPr>
                      <w:rFonts w:hint="eastAsia"/>
                      <w:color w:val="auto"/>
                      <w:sz w:val="21"/>
                      <w:szCs w:val="21"/>
                    </w:rPr>
                    <w:t>160</w:t>
                  </w:r>
                </w:p>
              </w:tc>
              <w:tc>
                <w:tcPr>
                  <w:tcW w:w="1300" w:type="dxa"/>
                  <w:tcBorders>
                    <w:tl2br w:val="nil"/>
                    <w:tr2bl w:val="nil"/>
                  </w:tcBorders>
                  <w:vAlign w:val="center"/>
                </w:tcPr>
                <w:p>
                  <w:pPr>
                    <w:snapToGrid w:val="0"/>
                    <w:jc w:val="center"/>
                    <w:rPr>
                      <w:rFonts w:hint="default" w:eastAsia="宋体"/>
                      <w:color w:val="auto"/>
                      <w:sz w:val="21"/>
                      <w:szCs w:val="21"/>
                      <w:lang w:val="en-US" w:eastAsia="zh-CN"/>
                    </w:rPr>
                  </w:pPr>
                  <w:r>
                    <w:rPr>
                      <w:rFonts w:hint="eastAsia"/>
                      <w:color w:val="auto"/>
                      <w:sz w:val="21"/>
                      <w:szCs w:val="21"/>
                      <w:lang w:val="en-US" w:eastAsia="zh-CN"/>
                    </w:rPr>
                    <w:t>105.6</w:t>
                  </w:r>
                </w:p>
              </w:tc>
              <w:tc>
                <w:tcPr>
                  <w:tcW w:w="1330" w:type="dxa"/>
                  <w:tcBorders>
                    <w:tl2br w:val="nil"/>
                    <w:tr2bl w:val="nil"/>
                  </w:tcBorders>
                  <w:vAlign w:val="center"/>
                </w:tcPr>
                <w:p>
                  <w:pPr>
                    <w:snapToGrid w:val="0"/>
                    <w:jc w:val="center"/>
                    <w:rPr>
                      <w:color w:val="auto"/>
                      <w:sz w:val="21"/>
                      <w:szCs w:val="21"/>
                    </w:rPr>
                  </w:pPr>
                  <w:r>
                    <w:rPr>
                      <w:color w:val="auto"/>
                      <w:sz w:val="21"/>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7" w:type="dxa"/>
                  <w:tcBorders>
                    <w:tl2br w:val="nil"/>
                    <w:tr2bl w:val="nil"/>
                  </w:tcBorders>
                  <w:vAlign w:val="center"/>
                </w:tcPr>
                <w:p>
                  <w:pPr>
                    <w:snapToGrid w:val="0"/>
                    <w:jc w:val="center"/>
                    <w:rPr>
                      <w:color w:val="auto"/>
                      <w:sz w:val="21"/>
                      <w:szCs w:val="21"/>
                    </w:rPr>
                  </w:pPr>
                  <w:r>
                    <w:rPr>
                      <w:color w:val="auto"/>
                      <w:sz w:val="21"/>
                      <w:szCs w:val="21"/>
                    </w:rPr>
                    <w:t>CO</w:t>
                  </w:r>
                </w:p>
              </w:tc>
              <w:tc>
                <w:tcPr>
                  <w:tcW w:w="2445" w:type="dxa"/>
                  <w:tcBorders>
                    <w:tl2br w:val="nil"/>
                    <w:tr2bl w:val="nil"/>
                  </w:tcBorders>
                  <w:vAlign w:val="center"/>
                </w:tcPr>
                <w:p>
                  <w:pPr>
                    <w:snapToGrid w:val="0"/>
                    <w:jc w:val="center"/>
                    <w:rPr>
                      <w:color w:val="auto"/>
                      <w:sz w:val="21"/>
                      <w:szCs w:val="21"/>
                    </w:rPr>
                  </w:pPr>
                  <w:r>
                    <w:rPr>
                      <w:color w:val="auto"/>
                      <w:sz w:val="21"/>
                      <w:szCs w:val="21"/>
                    </w:rPr>
                    <w:t>24小时平均</w:t>
                  </w:r>
                  <w:r>
                    <w:rPr>
                      <w:rFonts w:hint="eastAsia"/>
                      <w:color w:val="auto"/>
                      <w:sz w:val="21"/>
                      <w:szCs w:val="21"/>
                    </w:rPr>
                    <w:t>第95百分位浓度</w:t>
                  </w:r>
                </w:p>
              </w:tc>
              <w:tc>
                <w:tcPr>
                  <w:tcW w:w="1481" w:type="dxa"/>
                  <w:tcBorders>
                    <w:tl2br w:val="nil"/>
                    <w:tr2bl w:val="nil"/>
                  </w:tcBorders>
                  <w:vAlign w:val="center"/>
                </w:tcPr>
                <w:p>
                  <w:pPr>
                    <w:snapToGrid w:val="0"/>
                    <w:jc w:val="center"/>
                    <w:rPr>
                      <w:color w:val="auto"/>
                      <w:sz w:val="21"/>
                      <w:szCs w:val="21"/>
                    </w:rPr>
                  </w:pPr>
                  <w:r>
                    <w:rPr>
                      <w:rFonts w:hint="eastAsia"/>
                      <w:color w:val="auto"/>
                      <w:sz w:val="21"/>
                      <w:szCs w:val="21"/>
                    </w:rPr>
                    <w:t>1.</w:t>
                  </w:r>
                  <w:r>
                    <w:rPr>
                      <w:rFonts w:hint="eastAsia"/>
                      <w:color w:val="auto"/>
                      <w:sz w:val="21"/>
                      <w:szCs w:val="21"/>
                      <w:lang w:val="en-US" w:eastAsia="zh-CN"/>
                    </w:rPr>
                    <w:t>0</w:t>
                  </w:r>
                  <w:r>
                    <w:rPr>
                      <w:color w:val="auto"/>
                      <w:sz w:val="21"/>
                      <w:szCs w:val="21"/>
                    </w:rPr>
                    <w:t>mg/m</w:t>
                  </w:r>
                  <w:r>
                    <w:rPr>
                      <w:color w:val="auto"/>
                      <w:sz w:val="21"/>
                      <w:szCs w:val="21"/>
                      <w:vertAlign w:val="superscript"/>
                    </w:rPr>
                    <w:t>3</w:t>
                  </w:r>
                </w:p>
              </w:tc>
              <w:tc>
                <w:tcPr>
                  <w:tcW w:w="1272" w:type="dxa"/>
                  <w:tcBorders>
                    <w:tl2br w:val="nil"/>
                    <w:tr2bl w:val="nil"/>
                  </w:tcBorders>
                  <w:vAlign w:val="center"/>
                </w:tcPr>
                <w:p>
                  <w:pPr>
                    <w:snapToGrid w:val="0"/>
                    <w:jc w:val="center"/>
                    <w:rPr>
                      <w:color w:val="auto"/>
                      <w:sz w:val="21"/>
                      <w:szCs w:val="21"/>
                    </w:rPr>
                  </w:pPr>
                  <w:r>
                    <w:rPr>
                      <w:color w:val="auto"/>
                      <w:sz w:val="21"/>
                      <w:szCs w:val="21"/>
                    </w:rPr>
                    <w:t>4mg/m</w:t>
                  </w:r>
                  <w:r>
                    <w:rPr>
                      <w:color w:val="auto"/>
                      <w:sz w:val="21"/>
                      <w:szCs w:val="21"/>
                      <w:vertAlign w:val="superscript"/>
                    </w:rPr>
                    <w:t>3</w:t>
                  </w:r>
                </w:p>
              </w:tc>
              <w:tc>
                <w:tcPr>
                  <w:tcW w:w="1300" w:type="dxa"/>
                  <w:tcBorders>
                    <w:tl2br w:val="nil"/>
                    <w:tr2bl w:val="nil"/>
                  </w:tcBorders>
                  <w:vAlign w:val="center"/>
                </w:tcPr>
                <w:p>
                  <w:pPr>
                    <w:snapToGrid w:val="0"/>
                    <w:jc w:val="center"/>
                    <w:rPr>
                      <w:rFonts w:hint="default" w:eastAsia="宋体"/>
                      <w:color w:val="auto"/>
                      <w:sz w:val="21"/>
                      <w:szCs w:val="21"/>
                      <w:lang w:val="en-US" w:eastAsia="zh-CN"/>
                    </w:rPr>
                  </w:pPr>
                  <w:r>
                    <w:rPr>
                      <w:rFonts w:hint="eastAsia"/>
                      <w:color w:val="auto"/>
                      <w:sz w:val="21"/>
                      <w:szCs w:val="21"/>
                      <w:lang w:val="en-US" w:eastAsia="zh-CN"/>
                    </w:rPr>
                    <w:t>25</w:t>
                  </w:r>
                </w:p>
              </w:tc>
              <w:tc>
                <w:tcPr>
                  <w:tcW w:w="1330" w:type="dxa"/>
                  <w:tcBorders>
                    <w:tl2br w:val="nil"/>
                    <w:tr2bl w:val="nil"/>
                  </w:tcBorders>
                  <w:vAlign w:val="center"/>
                </w:tcPr>
                <w:p>
                  <w:pPr>
                    <w:snapToGrid w:val="0"/>
                    <w:jc w:val="center"/>
                    <w:rPr>
                      <w:color w:val="auto"/>
                      <w:sz w:val="21"/>
                      <w:szCs w:val="21"/>
                    </w:rPr>
                  </w:pPr>
                  <w:r>
                    <w:rPr>
                      <w:color w:val="auto"/>
                      <w:sz w:val="21"/>
                      <w:szCs w:val="21"/>
                    </w:rPr>
                    <w:t>达标</w:t>
                  </w:r>
                </w:p>
              </w:tc>
            </w:tr>
          </w:tbl>
          <w:p>
            <w:pPr>
              <w:widowControl/>
              <w:spacing w:line="520" w:lineRule="exact"/>
              <w:ind w:firstLine="480" w:firstLineChars="200"/>
              <w:jc w:val="left"/>
              <w:rPr>
                <w:color w:val="auto"/>
                <w:lang w:bidi="zh-CN"/>
              </w:rPr>
            </w:pPr>
            <w:r>
              <w:rPr>
                <w:rFonts w:hint="eastAsia"/>
                <w:color w:val="auto"/>
                <w:lang w:bidi="zh-CN"/>
              </w:rPr>
              <w:t>由上表可知，项目所在区域SO</w:t>
            </w:r>
            <w:r>
              <w:rPr>
                <w:rFonts w:hint="eastAsia"/>
                <w:color w:val="auto"/>
                <w:vertAlign w:val="subscript"/>
                <w:lang w:bidi="zh-CN"/>
              </w:rPr>
              <w:t>2</w:t>
            </w:r>
            <w:r>
              <w:rPr>
                <w:rFonts w:hint="eastAsia"/>
                <w:color w:val="auto"/>
                <w:lang w:bidi="zh-CN"/>
              </w:rPr>
              <w:t>、NO</w:t>
            </w:r>
            <w:r>
              <w:rPr>
                <w:rFonts w:hint="eastAsia"/>
                <w:color w:val="auto"/>
                <w:vertAlign w:val="subscript"/>
                <w:lang w:bidi="zh-CN"/>
              </w:rPr>
              <w:t>2</w:t>
            </w:r>
            <w:r>
              <w:rPr>
                <w:rFonts w:hint="eastAsia"/>
                <w:color w:val="auto"/>
                <w:lang w:bidi="zh-CN"/>
              </w:rPr>
              <w:t>、CO均达到环境空气质量二级标准，PM</w:t>
            </w:r>
            <w:r>
              <w:rPr>
                <w:rFonts w:hint="eastAsia"/>
                <w:color w:val="auto"/>
                <w:vertAlign w:val="subscript"/>
                <w:lang w:bidi="zh-CN"/>
              </w:rPr>
              <w:t>2.5</w:t>
            </w:r>
            <w:r>
              <w:rPr>
                <w:rFonts w:hint="eastAsia"/>
                <w:color w:val="auto"/>
                <w:lang w:bidi="zh-CN"/>
              </w:rPr>
              <w:t>、PM</w:t>
            </w:r>
            <w:r>
              <w:rPr>
                <w:rFonts w:hint="eastAsia"/>
                <w:color w:val="auto"/>
                <w:vertAlign w:val="subscript"/>
                <w:lang w:bidi="zh-CN"/>
              </w:rPr>
              <w:t>10</w:t>
            </w:r>
            <w:r>
              <w:rPr>
                <w:rFonts w:hint="eastAsia"/>
                <w:color w:val="auto"/>
                <w:lang w:bidi="zh-CN"/>
              </w:rPr>
              <w:t>、O</w:t>
            </w:r>
            <w:r>
              <w:rPr>
                <w:rFonts w:hint="eastAsia"/>
                <w:color w:val="auto"/>
                <w:vertAlign w:val="subscript"/>
                <w:lang w:bidi="zh-CN"/>
              </w:rPr>
              <w:t>3</w:t>
            </w:r>
            <w:r>
              <w:rPr>
                <w:rFonts w:hint="eastAsia"/>
                <w:color w:val="auto"/>
                <w:lang w:bidi="zh-CN"/>
              </w:rPr>
              <w:t>均超过环境空气质量二级标准，因此，项目区域环境空气质量为非达标区。</w:t>
            </w:r>
          </w:p>
          <w:p>
            <w:pPr>
              <w:widowControl/>
              <w:spacing w:line="520" w:lineRule="exact"/>
              <w:ind w:firstLine="480" w:firstLineChars="200"/>
              <w:jc w:val="left"/>
              <w:rPr>
                <w:rFonts w:hint="eastAsia"/>
                <w:color w:val="auto"/>
                <w:lang w:bidi="zh-CN"/>
              </w:rPr>
            </w:pPr>
            <w:r>
              <w:rPr>
                <w:rFonts w:hint="eastAsia"/>
                <w:color w:val="auto"/>
                <w:lang w:bidi="zh-CN"/>
              </w:rPr>
              <w:t>为持续改善环境空气质量，打赢大气污染防治攻坚战，根据《濮阳市2025年蓝天保卫战实施方案》，具体措施有：（1）结构优化升级专项攻坚；（2）工业企业提标治理专项攻坚；（3）移动源污染排放控制专项攻坚；（4）面源污染防控专项攻坚；（5）重污染天气应对专项攻坚；（6）监管能力提升专项攻坚。待以上大气污染防治计划逐步实施后，濮阳市环境空气质量将得到较大的改善，区域污染物浓度将逐步降低。</w:t>
            </w:r>
          </w:p>
          <w:p>
            <w:pPr>
              <w:widowControl/>
              <w:spacing w:line="520" w:lineRule="exact"/>
              <w:ind w:firstLine="480" w:firstLineChars="200"/>
              <w:jc w:val="left"/>
              <w:rPr>
                <w:color w:val="auto"/>
                <w:lang w:bidi="zh-CN"/>
              </w:rPr>
            </w:pPr>
            <w:r>
              <w:rPr>
                <w:rFonts w:hint="eastAsia"/>
                <w:color w:val="auto"/>
                <w:lang w:bidi="zh-CN"/>
              </w:rPr>
              <w:t>（2）特征污染物环境质量现状</w:t>
            </w:r>
          </w:p>
          <w:p>
            <w:pPr>
              <w:widowControl/>
              <w:spacing w:line="520" w:lineRule="exact"/>
              <w:ind w:firstLine="480" w:firstLineChars="200"/>
              <w:jc w:val="left"/>
              <w:rPr>
                <w:rFonts w:hint="default"/>
                <w:b w:val="0"/>
                <w:bCs w:val="0"/>
                <w:color w:val="auto"/>
                <w:u w:val="none"/>
                <w:lang w:val="en-US" w:bidi="zh-CN"/>
              </w:rPr>
            </w:pPr>
            <w:r>
              <w:rPr>
                <w:rFonts w:hint="eastAsia"/>
                <w:color w:val="auto"/>
                <w:lang w:bidi="zh-CN"/>
              </w:rPr>
              <w:t>根据环境空气质量功能区划分，项目选址位于清丰县先进制造业开发区，项目所在地应执行《环境空气质量标准》（</w:t>
            </w:r>
            <w:r>
              <w:rPr>
                <w:color w:val="auto"/>
                <w:lang w:bidi="zh-CN"/>
              </w:rPr>
              <w:t>GB3095-2012</w:t>
            </w:r>
            <w:r>
              <w:rPr>
                <w:rFonts w:hint="eastAsia"/>
                <w:color w:val="auto"/>
                <w:lang w:bidi="zh-CN"/>
              </w:rPr>
              <w:t>）二级标准。</w:t>
            </w:r>
            <w:r>
              <w:rPr>
                <w:rFonts w:hint="eastAsia"/>
                <w:b/>
                <w:bCs/>
                <w:color w:val="auto"/>
                <w:u w:val="single"/>
                <w:lang w:bidi="zh-CN"/>
              </w:rPr>
              <w:t>根据《建设项目环境影响报告表编制技术指南（污染影响类）（试行）》，项目排放国家、地方环境空气质量标准中有标准限值要求的特征污染物时，应引用建设项目周边</w:t>
            </w:r>
            <w:r>
              <w:rPr>
                <w:b/>
                <w:bCs/>
                <w:color w:val="auto"/>
                <w:u w:val="single"/>
                <w:lang w:bidi="zh-CN"/>
              </w:rPr>
              <w:t>5</w:t>
            </w:r>
            <w:r>
              <w:rPr>
                <w:rFonts w:hint="eastAsia"/>
                <w:b/>
                <w:bCs/>
                <w:color w:val="auto"/>
                <w:u w:val="single"/>
                <w:lang w:bidi="zh-CN"/>
              </w:rPr>
              <w:t>千米范围内近</w:t>
            </w:r>
            <w:r>
              <w:rPr>
                <w:b/>
                <w:bCs/>
                <w:color w:val="auto"/>
                <w:u w:val="single"/>
                <w:lang w:bidi="zh-CN"/>
              </w:rPr>
              <w:t>3</w:t>
            </w:r>
            <w:r>
              <w:rPr>
                <w:rFonts w:hint="eastAsia"/>
                <w:b/>
                <w:bCs/>
                <w:color w:val="auto"/>
                <w:u w:val="single"/>
                <w:lang w:bidi="zh-CN"/>
              </w:rPr>
              <w:t>年的现有大气环境监测数据。本</w:t>
            </w:r>
            <w:r>
              <w:rPr>
                <w:rFonts w:hint="eastAsia"/>
                <w:b/>
                <w:bCs/>
                <w:color w:val="auto"/>
                <w:u w:val="single"/>
                <w:lang w:val="en-US" w:bidi="zh-CN"/>
              </w:rPr>
              <w:t>项目</w:t>
            </w:r>
            <w:r>
              <w:rPr>
                <w:rFonts w:hint="eastAsia"/>
                <w:b/>
                <w:bCs/>
                <w:color w:val="auto"/>
                <w:u w:val="single"/>
                <w:lang w:bidi="zh-CN"/>
              </w:rPr>
              <w:t>特征因子为非甲烷总烃，</w:t>
            </w:r>
            <w:r>
              <w:rPr>
                <w:rFonts w:hint="eastAsia"/>
                <w:b/>
                <w:bCs/>
                <w:color w:val="auto"/>
                <w:u w:val="single"/>
                <w:lang w:val="en-US" w:bidi="zh-CN"/>
              </w:rPr>
              <w:t>本次评价特征因子质量现状数据</w:t>
            </w:r>
            <w:r>
              <w:rPr>
                <w:rFonts w:hint="eastAsia"/>
                <w:b/>
                <w:bCs/>
                <w:color w:val="auto"/>
                <w:u w:val="single"/>
                <w:lang w:bidi="zh-CN"/>
              </w:rPr>
              <w:t>引用《濮阳市挥发性有机物综合治理废活性炭集中再生中心（绿岛）项目》环境影响评价报告书中河南中航泰洁科技有限公司</w:t>
            </w:r>
            <w:r>
              <w:rPr>
                <w:rFonts w:hint="eastAsia"/>
                <w:b/>
                <w:bCs/>
                <w:color w:val="auto"/>
                <w:u w:val="single"/>
                <w:lang w:val="en-US" w:bidi="zh-CN"/>
              </w:rPr>
              <w:t>于</w:t>
            </w:r>
            <w:r>
              <w:rPr>
                <w:rFonts w:hint="eastAsia"/>
                <w:b/>
                <w:bCs/>
                <w:color w:val="auto"/>
                <w:u w:val="single"/>
                <w:lang w:bidi="zh-CN"/>
              </w:rPr>
              <w:t>2023年4月26日-2023年5月2日对后荣花树村（</w:t>
            </w:r>
            <w:r>
              <w:rPr>
                <w:rFonts w:hint="eastAsia"/>
                <w:b/>
                <w:bCs/>
                <w:color w:val="auto"/>
                <w:u w:val="single"/>
                <w:lang w:val="en-US" w:bidi="zh-CN"/>
              </w:rPr>
              <w:t>S</w:t>
            </w:r>
            <w:r>
              <w:rPr>
                <w:rFonts w:hint="eastAsia"/>
                <w:b/>
                <w:bCs/>
                <w:color w:val="auto"/>
                <w:u w:val="single"/>
                <w:lang w:bidi="zh-CN"/>
              </w:rPr>
              <w:t>E，1</w:t>
            </w:r>
            <w:r>
              <w:rPr>
                <w:rFonts w:hint="eastAsia"/>
                <w:b/>
                <w:bCs/>
                <w:color w:val="auto"/>
                <w:u w:val="single"/>
                <w:lang w:val="en-US" w:bidi="zh-CN"/>
              </w:rPr>
              <w:t>.8k</w:t>
            </w:r>
            <w:r>
              <w:rPr>
                <w:rFonts w:hint="eastAsia"/>
                <w:b/>
                <w:bCs/>
                <w:color w:val="auto"/>
                <w:u w:val="single"/>
                <w:lang w:bidi="zh-CN"/>
              </w:rPr>
              <w:t>m）的监测数据。</w:t>
            </w:r>
            <w:r>
              <w:rPr>
                <w:rFonts w:hint="eastAsia"/>
                <w:b/>
                <w:bCs/>
                <w:color w:val="auto"/>
                <w:u w:val="single"/>
                <w:lang w:val="en-US" w:bidi="zh-CN"/>
              </w:rPr>
              <w:t>引用的现状监测点位</w:t>
            </w:r>
            <w:r>
              <w:rPr>
                <w:rFonts w:hint="eastAsia"/>
                <w:b/>
                <w:bCs/>
                <w:color w:val="auto"/>
                <w:u w:val="single"/>
                <w:lang w:bidi="zh-CN"/>
              </w:rPr>
              <w:t>后荣花树村位于</w:t>
            </w:r>
            <w:r>
              <w:rPr>
                <w:rFonts w:hint="eastAsia"/>
                <w:b/>
                <w:bCs/>
                <w:color w:val="auto"/>
                <w:u w:val="single"/>
                <w:lang w:val="en-US" w:bidi="zh-CN"/>
              </w:rPr>
              <w:t>本</w:t>
            </w:r>
            <w:r>
              <w:rPr>
                <w:rFonts w:hint="eastAsia"/>
                <w:b/>
                <w:bCs/>
                <w:color w:val="auto"/>
                <w:u w:val="single"/>
                <w:lang w:bidi="zh-CN"/>
              </w:rPr>
              <w:t>项目</w:t>
            </w:r>
            <w:r>
              <w:rPr>
                <w:rFonts w:hint="eastAsia"/>
                <w:b/>
                <w:bCs/>
                <w:color w:val="auto"/>
                <w:u w:val="single"/>
                <w:lang w:val="en-US" w:bidi="zh-CN"/>
              </w:rPr>
              <w:t>东南侧1.8km，在项目周边</w:t>
            </w:r>
            <w:r>
              <w:rPr>
                <w:rFonts w:hint="eastAsia"/>
                <w:b/>
                <w:bCs/>
                <w:color w:val="auto"/>
                <w:u w:val="single"/>
                <w:lang w:bidi="zh-CN"/>
              </w:rPr>
              <w:t>5千米范围内，检测时间</w:t>
            </w:r>
            <w:r>
              <w:rPr>
                <w:rFonts w:hint="eastAsia"/>
                <w:b/>
                <w:bCs/>
                <w:color w:val="auto"/>
                <w:u w:val="single"/>
                <w:lang w:val="en-US" w:bidi="zh-CN"/>
              </w:rPr>
              <w:t>为</w:t>
            </w:r>
            <w:r>
              <w:rPr>
                <w:rFonts w:hint="eastAsia"/>
                <w:b/>
                <w:bCs/>
                <w:color w:val="auto"/>
                <w:u w:val="single"/>
                <w:lang w:bidi="zh-CN"/>
              </w:rPr>
              <w:t>2023年4月26日-2023年5月2日，在3年有效期内，</w:t>
            </w:r>
            <w:r>
              <w:rPr>
                <w:rFonts w:hint="eastAsia"/>
                <w:b/>
                <w:bCs/>
                <w:color w:val="auto"/>
                <w:u w:val="single"/>
                <w:lang w:val="en-US" w:bidi="zh-CN"/>
              </w:rPr>
              <w:t>符合《建设项目环境影响报告表编制技术指南（污染影响类）（试行）》中关于特征因子的引用要求，</w:t>
            </w:r>
            <w:r>
              <w:rPr>
                <w:rFonts w:hint="eastAsia"/>
                <w:b/>
                <w:bCs/>
                <w:color w:val="auto"/>
                <w:u w:val="single"/>
                <w:lang w:bidi="zh-CN"/>
              </w:rPr>
              <w:t>故</w:t>
            </w:r>
            <w:r>
              <w:rPr>
                <w:rFonts w:hint="eastAsia"/>
                <w:b/>
                <w:bCs/>
                <w:color w:val="auto"/>
                <w:u w:val="single"/>
                <w:lang w:val="en-US" w:bidi="zh-CN"/>
              </w:rPr>
              <w:t>本次特征因子环境质量现状</w:t>
            </w:r>
            <w:r>
              <w:rPr>
                <w:rFonts w:hint="eastAsia"/>
                <w:b/>
                <w:bCs/>
                <w:color w:val="auto"/>
                <w:u w:val="single"/>
                <w:lang w:bidi="zh-CN"/>
              </w:rPr>
              <w:t>数据引用《濮阳市挥发性有机物综合治理废活性炭集中再生中心（绿岛）项目》</w:t>
            </w:r>
            <w:r>
              <w:rPr>
                <w:rFonts w:hint="eastAsia"/>
                <w:b/>
                <w:bCs/>
                <w:color w:val="auto"/>
                <w:u w:val="single"/>
                <w:lang w:val="en-US" w:bidi="zh-CN"/>
              </w:rPr>
              <w:t>中的现状监测数据是</w:t>
            </w:r>
            <w:r>
              <w:rPr>
                <w:rFonts w:hint="eastAsia"/>
                <w:b/>
                <w:bCs/>
                <w:color w:val="auto"/>
                <w:u w:val="single"/>
                <w:lang w:bidi="zh-CN"/>
              </w:rPr>
              <w:t>可行</w:t>
            </w:r>
            <w:r>
              <w:rPr>
                <w:rFonts w:hint="eastAsia"/>
                <w:b/>
                <w:bCs/>
                <w:color w:val="auto"/>
                <w:u w:val="single"/>
                <w:lang w:val="en-US" w:bidi="zh-CN"/>
              </w:rPr>
              <w:t>的</w:t>
            </w:r>
            <w:r>
              <w:rPr>
                <w:rFonts w:hint="eastAsia"/>
                <w:b/>
                <w:bCs/>
                <w:color w:val="auto"/>
                <w:u w:val="single"/>
                <w:lang w:bidi="zh-CN"/>
              </w:rPr>
              <w:t>。</w:t>
            </w:r>
            <w:r>
              <w:rPr>
                <w:rFonts w:hint="eastAsia"/>
                <w:b w:val="0"/>
                <w:bCs w:val="0"/>
                <w:color w:val="auto"/>
                <w:u w:val="none"/>
                <w:lang w:bidi="zh-CN"/>
              </w:rPr>
              <w:t>具体监测点位见下表，项目所在地环境空气质量现状见下表。</w:t>
            </w:r>
          </w:p>
          <w:p>
            <w:pPr>
              <w:pStyle w:val="10"/>
              <w:rPr>
                <w:b/>
                <w:bCs/>
                <w:color w:val="auto"/>
                <w:u w:val="none"/>
              </w:rPr>
            </w:pPr>
            <w:r>
              <w:rPr>
                <w:rFonts w:hint="eastAsia" w:ascii="Times New Roman" w:hAnsi="Times New Roman" w:eastAsia="宋体" w:cs="Times New Roman"/>
                <w:b/>
                <w:bCs/>
                <w:color w:val="auto"/>
                <w:kern w:val="2"/>
                <w:sz w:val="24"/>
                <w:szCs w:val="24"/>
                <w:u w:val="none"/>
                <w:lang w:val="en-US" w:eastAsia="zh-CN" w:bidi="zh-CN"/>
              </w:rPr>
              <w:t>表3-2  环境空气监测位点</w:t>
            </w:r>
          </w:p>
          <w:tbl>
            <w:tblPr>
              <w:tblStyle w:val="23"/>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617"/>
              <w:gridCol w:w="2183"/>
              <w:gridCol w:w="1767"/>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82" w:type="dxa"/>
                  <w:vAlign w:val="center"/>
                </w:tcPr>
                <w:p>
                  <w:pPr>
                    <w:widowControl/>
                    <w:spacing w:line="520" w:lineRule="exact"/>
                    <w:jc w:val="center"/>
                    <w:rPr>
                      <w:b/>
                      <w:bCs/>
                      <w:color w:val="auto"/>
                      <w:sz w:val="21"/>
                      <w:szCs w:val="21"/>
                      <w:u w:val="none"/>
                      <w:lang w:bidi="zh-CN"/>
                    </w:rPr>
                  </w:pPr>
                  <w:r>
                    <w:rPr>
                      <w:rFonts w:hint="eastAsia"/>
                      <w:b/>
                      <w:bCs/>
                      <w:color w:val="auto"/>
                      <w:sz w:val="21"/>
                      <w:szCs w:val="21"/>
                      <w:u w:val="none"/>
                      <w:lang w:bidi="zh-CN"/>
                    </w:rPr>
                    <w:t>序号</w:t>
                  </w:r>
                </w:p>
              </w:tc>
              <w:tc>
                <w:tcPr>
                  <w:tcW w:w="1617" w:type="dxa"/>
                  <w:vAlign w:val="center"/>
                </w:tcPr>
                <w:p>
                  <w:pPr>
                    <w:widowControl/>
                    <w:spacing w:line="520" w:lineRule="exact"/>
                    <w:jc w:val="center"/>
                    <w:rPr>
                      <w:b/>
                      <w:bCs/>
                      <w:color w:val="auto"/>
                      <w:sz w:val="21"/>
                      <w:szCs w:val="21"/>
                      <w:u w:val="none"/>
                      <w:lang w:bidi="zh-CN"/>
                    </w:rPr>
                  </w:pPr>
                  <w:r>
                    <w:rPr>
                      <w:rFonts w:hint="eastAsia"/>
                      <w:b/>
                      <w:bCs/>
                      <w:color w:val="auto"/>
                      <w:sz w:val="21"/>
                      <w:szCs w:val="21"/>
                      <w:u w:val="none"/>
                      <w:lang w:bidi="zh-CN"/>
                    </w:rPr>
                    <w:t>监测点位</w:t>
                  </w:r>
                </w:p>
              </w:tc>
              <w:tc>
                <w:tcPr>
                  <w:tcW w:w="2183" w:type="dxa"/>
                  <w:vAlign w:val="center"/>
                </w:tcPr>
                <w:p>
                  <w:pPr>
                    <w:widowControl/>
                    <w:spacing w:line="520" w:lineRule="exact"/>
                    <w:jc w:val="center"/>
                    <w:rPr>
                      <w:b/>
                      <w:bCs/>
                      <w:color w:val="auto"/>
                      <w:sz w:val="21"/>
                      <w:szCs w:val="21"/>
                      <w:u w:val="none"/>
                      <w:lang w:bidi="zh-CN"/>
                    </w:rPr>
                  </w:pPr>
                  <w:r>
                    <w:rPr>
                      <w:rFonts w:hint="eastAsia"/>
                      <w:b/>
                      <w:bCs/>
                      <w:color w:val="auto"/>
                      <w:sz w:val="21"/>
                      <w:szCs w:val="21"/>
                      <w:u w:val="none"/>
                      <w:lang w:bidi="zh-CN"/>
                    </w:rPr>
                    <w:t>与本项目距离、方位</w:t>
                  </w:r>
                </w:p>
              </w:tc>
              <w:tc>
                <w:tcPr>
                  <w:tcW w:w="1767" w:type="dxa"/>
                  <w:vAlign w:val="center"/>
                </w:tcPr>
                <w:p>
                  <w:pPr>
                    <w:widowControl/>
                    <w:spacing w:line="520" w:lineRule="exact"/>
                    <w:jc w:val="center"/>
                    <w:rPr>
                      <w:b/>
                      <w:bCs/>
                      <w:color w:val="auto"/>
                      <w:sz w:val="21"/>
                      <w:szCs w:val="21"/>
                      <w:u w:val="none"/>
                      <w:lang w:bidi="zh-CN"/>
                    </w:rPr>
                  </w:pPr>
                  <w:r>
                    <w:rPr>
                      <w:rFonts w:hint="eastAsia"/>
                      <w:b/>
                      <w:bCs/>
                      <w:color w:val="auto"/>
                      <w:sz w:val="21"/>
                      <w:szCs w:val="21"/>
                      <w:u w:val="none"/>
                      <w:lang w:bidi="zh-CN"/>
                    </w:rPr>
                    <w:t>环境特征</w:t>
                  </w:r>
                </w:p>
              </w:tc>
              <w:tc>
                <w:tcPr>
                  <w:tcW w:w="2890" w:type="dxa"/>
                  <w:vAlign w:val="center"/>
                </w:tcPr>
                <w:p>
                  <w:pPr>
                    <w:widowControl/>
                    <w:spacing w:line="520" w:lineRule="exact"/>
                    <w:jc w:val="center"/>
                    <w:rPr>
                      <w:b/>
                      <w:bCs/>
                      <w:color w:val="auto"/>
                      <w:sz w:val="21"/>
                      <w:szCs w:val="21"/>
                      <w:u w:val="none"/>
                      <w:lang w:bidi="zh-CN"/>
                    </w:rPr>
                  </w:pPr>
                  <w:r>
                    <w:rPr>
                      <w:rFonts w:hint="eastAsia"/>
                      <w:b/>
                      <w:bCs/>
                      <w:color w:val="auto"/>
                      <w:sz w:val="21"/>
                      <w:szCs w:val="21"/>
                      <w:u w:val="none"/>
                      <w:lang w:bidi="zh-CN"/>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 w:type="dxa"/>
                  <w:vAlign w:val="center"/>
                </w:tcPr>
                <w:p>
                  <w:pPr>
                    <w:widowControl/>
                    <w:spacing w:line="520" w:lineRule="exact"/>
                    <w:jc w:val="center"/>
                    <w:rPr>
                      <w:b w:val="0"/>
                      <w:bCs w:val="0"/>
                      <w:color w:val="auto"/>
                      <w:sz w:val="21"/>
                      <w:szCs w:val="21"/>
                      <w:u w:val="none"/>
                      <w:lang w:bidi="zh-CN"/>
                    </w:rPr>
                  </w:pPr>
                  <w:r>
                    <w:rPr>
                      <w:rFonts w:hint="eastAsia"/>
                      <w:b w:val="0"/>
                      <w:bCs w:val="0"/>
                      <w:color w:val="auto"/>
                      <w:sz w:val="21"/>
                      <w:szCs w:val="21"/>
                      <w:u w:val="none"/>
                      <w:lang w:bidi="zh-CN"/>
                    </w:rPr>
                    <w:t>1</w:t>
                  </w:r>
                </w:p>
              </w:tc>
              <w:tc>
                <w:tcPr>
                  <w:tcW w:w="1617" w:type="dxa"/>
                  <w:vAlign w:val="center"/>
                </w:tcPr>
                <w:p>
                  <w:pPr>
                    <w:widowControl/>
                    <w:spacing w:line="520" w:lineRule="exact"/>
                    <w:jc w:val="center"/>
                    <w:rPr>
                      <w:b w:val="0"/>
                      <w:bCs w:val="0"/>
                      <w:color w:val="auto"/>
                      <w:sz w:val="21"/>
                      <w:szCs w:val="21"/>
                      <w:u w:val="none"/>
                      <w:lang w:bidi="zh-CN"/>
                    </w:rPr>
                  </w:pPr>
                  <w:r>
                    <w:rPr>
                      <w:rFonts w:hint="eastAsia"/>
                      <w:b w:val="0"/>
                      <w:bCs w:val="0"/>
                      <w:color w:val="auto"/>
                      <w:sz w:val="21"/>
                      <w:szCs w:val="21"/>
                      <w:u w:val="none"/>
                      <w:lang w:bidi="zh-CN"/>
                    </w:rPr>
                    <w:t>后荣花树村</w:t>
                  </w:r>
                </w:p>
              </w:tc>
              <w:tc>
                <w:tcPr>
                  <w:tcW w:w="2183" w:type="dxa"/>
                  <w:vAlign w:val="center"/>
                </w:tcPr>
                <w:p>
                  <w:pPr>
                    <w:widowControl/>
                    <w:spacing w:line="520" w:lineRule="exact"/>
                    <w:jc w:val="center"/>
                    <w:rPr>
                      <w:b w:val="0"/>
                      <w:bCs w:val="0"/>
                      <w:color w:val="auto"/>
                      <w:sz w:val="21"/>
                      <w:szCs w:val="21"/>
                      <w:u w:val="none"/>
                      <w:lang w:bidi="zh-CN"/>
                    </w:rPr>
                  </w:pPr>
                  <w:r>
                    <w:rPr>
                      <w:rFonts w:hint="eastAsia"/>
                      <w:b w:val="0"/>
                      <w:bCs w:val="0"/>
                      <w:color w:val="auto"/>
                      <w:sz w:val="21"/>
                      <w:szCs w:val="21"/>
                      <w:u w:val="none"/>
                      <w:lang w:val="en-US" w:bidi="zh-CN"/>
                    </w:rPr>
                    <w:t>S</w:t>
                  </w:r>
                  <w:r>
                    <w:rPr>
                      <w:rFonts w:hint="eastAsia"/>
                      <w:b w:val="0"/>
                      <w:bCs w:val="0"/>
                      <w:color w:val="auto"/>
                      <w:sz w:val="21"/>
                      <w:szCs w:val="21"/>
                      <w:u w:val="none"/>
                      <w:lang w:bidi="zh-CN"/>
                    </w:rPr>
                    <w:t>E，</w:t>
                  </w:r>
                  <w:r>
                    <w:rPr>
                      <w:rFonts w:hint="eastAsia"/>
                      <w:b w:val="0"/>
                      <w:bCs w:val="0"/>
                      <w:color w:val="auto"/>
                      <w:sz w:val="21"/>
                      <w:szCs w:val="21"/>
                      <w:u w:val="none"/>
                      <w:lang w:val="en-US" w:bidi="zh-CN"/>
                    </w:rPr>
                    <w:t>1.8k</w:t>
                  </w:r>
                  <w:r>
                    <w:rPr>
                      <w:rFonts w:hint="eastAsia"/>
                      <w:b w:val="0"/>
                      <w:bCs w:val="0"/>
                      <w:color w:val="auto"/>
                      <w:sz w:val="21"/>
                      <w:szCs w:val="21"/>
                      <w:u w:val="none"/>
                      <w:lang w:bidi="zh-CN"/>
                    </w:rPr>
                    <w:t>m</w:t>
                  </w:r>
                </w:p>
              </w:tc>
              <w:tc>
                <w:tcPr>
                  <w:tcW w:w="1767" w:type="dxa"/>
                  <w:vAlign w:val="center"/>
                </w:tcPr>
                <w:p>
                  <w:pPr>
                    <w:widowControl/>
                    <w:spacing w:line="520" w:lineRule="exact"/>
                    <w:jc w:val="center"/>
                    <w:rPr>
                      <w:b w:val="0"/>
                      <w:bCs w:val="0"/>
                      <w:color w:val="auto"/>
                      <w:sz w:val="21"/>
                      <w:szCs w:val="21"/>
                      <w:u w:val="none"/>
                      <w:lang w:bidi="zh-CN"/>
                    </w:rPr>
                  </w:pPr>
                  <w:r>
                    <w:rPr>
                      <w:rFonts w:hint="eastAsia"/>
                      <w:b w:val="0"/>
                      <w:bCs w:val="0"/>
                      <w:color w:val="auto"/>
                      <w:sz w:val="21"/>
                      <w:szCs w:val="21"/>
                      <w:u w:val="none"/>
                      <w:lang w:bidi="zh-CN"/>
                    </w:rPr>
                    <w:t>居民点</w:t>
                  </w:r>
                </w:p>
              </w:tc>
              <w:tc>
                <w:tcPr>
                  <w:tcW w:w="2890" w:type="dxa"/>
                  <w:vAlign w:val="center"/>
                </w:tcPr>
                <w:p>
                  <w:pPr>
                    <w:widowControl/>
                    <w:spacing w:line="520" w:lineRule="exact"/>
                    <w:jc w:val="center"/>
                    <w:rPr>
                      <w:b w:val="0"/>
                      <w:bCs w:val="0"/>
                      <w:color w:val="auto"/>
                      <w:sz w:val="21"/>
                      <w:szCs w:val="21"/>
                      <w:u w:val="none"/>
                      <w:lang w:bidi="zh-CN"/>
                    </w:rPr>
                  </w:pPr>
                  <w:r>
                    <w:rPr>
                      <w:rFonts w:hint="eastAsia"/>
                      <w:b w:val="0"/>
                      <w:bCs w:val="0"/>
                      <w:color w:val="auto"/>
                      <w:sz w:val="21"/>
                      <w:szCs w:val="21"/>
                      <w:u w:val="none"/>
                      <w:lang w:bidi="zh-CN"/>
                    </w:rPr>
                    <w:t>非甲烷总烃</w:t>
                  </w:r>
                </w:p>
              </w:tc>
            </w:tr>
          </w:tbl>
          <w:p>
            <w:pPr>
              <w:widowControl/>
              <w:spacing w:line="520" w:lineRule="exact"/>
              <w:ind w:firstLine="482" w:firstLineChars="200"/>
              <w:jc w:val="center"/>
              <w:rPr>
                <w:b/>
                <w:bCs/>
                <w:color w:val="auto"/>
                <w:u w:val="none"/>
                <w:lang w:bidi="zh-CN"/>
              </w:rPr>
            </w:pPr>
            <w:r>
              <w:rPr>
                <w:rFonts w:hint="eastAsia"/>
                <w:b/>
                <w:bCs/>
                <w:color w:val="auto"/>
                <w:u w:val="none"/>
                <w:lang w:bidi="zh-CN"/>
              </w:rPr>
              <w:t>表3-3  环境空气质量现状监测结果表</w:t>
            </w:r>
          </w:p>
          <w:tbl>
            <w:tblPr>
              <w:tblStyle w:val="23"/>
              <w:tblW w:w="9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33"/>
              <w:gridCol w:w="1750"/>
              <w:gridCol w:w="1316"/>
              <w:gridCol w:w="1367"/>
              <w:gridCol w:w="1217"/>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3" w:type="dxa"/>
                  <w:vAlign w:val="center"/>
                </w:tcPr>
                <w:p>
                  <w:pPr>
                    <w:widowControl/>
                    <w:jc w:val="center"/>
                    <w:rPr>
                      <w:b/>
                      <w:bCs/>
                      <w:color w:val="auto"/>
                      <w:sz w:val="21"/>
                      <w:szCs w:val="21"/>
                      <w:u w:val="none"/>
                      <w:lang w:bidi="zh-CN"/>
                    </w:rPr>
                  </w:pPr>
                  <w:r>
                    <w:rPr>
                      <w:b/>
                      <w:bCs/>
                      <w:color w:val="auto"/>
                      <w:sz w:val="21"/>
                      <w:szCs w:val="21"/>
                      <w:u w:val="none"/>
                      <w:lang w:bidi="zh-CN"/>
                    </w:rPr>
                    <w:t>监测项目</w:t>
                  </w:r>
                </w:p>
              </w:tc>
              <w:tc>
                <w:tcPr>
                  <w:tcW w:w="1233" w:type="dxa"/>
                  <w:vAlign w:val="center"/>
                </w:tcPr>
                <w:p>
                  <w:pPr>
                    <w:widowControl/>
                    <w:jc w:val="center"/>
                    <w:rPr>
                      <w:b/>
                      <w:bCs/>
                      <w:color w:val="auto"/>
                      <w:sz w:val="21"/>
                      <w:szCs w:val="21"/>
                      <w:u w:val="none"/>
                      <w:lang w:bidi="zh-CN"/>
                    </w:rPr>
                  </w:pPr>
                  <w:r>
                    <w:rPr>
                      <w:b/>
                      <w:bCs/>
                      <w:color w:val="auto"/>
                      <w:sz w:val="21"/>
                      <w:szCs w:val="21"/>
                      <w:u w:val="none"/>
                      <w:lang w:bidi="zh-CN"/>
                    </w:rPr>
                    <w:t>点位</w:t>
                  </w:r>
                </w:p>
              </w:tc>
              <w:tc>
                <w:tcPr>
                  <w:tcW w:w="1750" w:type="dxa"/>
                  <w:vAlign w:val="center"/>
                </w:tcPr>
                <w:p>
                  <w:pPr>
                    <w:widowControl/>
                    <w:jc w:val="center"/>
                    <w:rPr>
                      <w:b/>
                      <w:bCs/>
                      <w:color w:val="auto"/>
                      <w:sz w:val="21"/>
                      <w:szCs w:val="21"/>
                      <w:u w:val="none"/>
                      <w:lang w:bidi="zh-CN"/>
                    </w:rPr>
                  </w:pPr>
                  <w:r>
                    <w:rPr>
                      <w:b/>
                      <w:bCs/>
                      <w:color w:val="auto"/>
                      <w:sz w:val="21"/>
                      <w:szCs w:val="21"/>
                      <w:u w:val="none"/>
                      <w:lang w:bidi="zh-CN"/>
                    </w:rPr>
                    <w:t>监测浓度范围（mg/m</w:t>
                  </w:r>
                  <w:r>
                    <w:rPr>
                      <w:b/>
                      <w:bCs/>
                      <w:color w:val="auto"/>
                      <w:sz w:val="21"/>
                      <w:szCs w:val="21"/>
                      <w:u w:val="none"/>
                      <w:vertAlign w:val="superscript"/>
                      <w:lang w:bidi="zh-CN"/>
                    </w:rPr>
                    <w:t>3</w:t>
                  </w:r>
                  <w:r>
                    <w:rPr>
                      <w:b/>
                      <w:bCs/>
                      <w:color w:val="auto"/>
                      <w:sz w:val="21"/>
                      <w:szCs w:val="21"/>
                      <w:u w:val="none"/>
                      <w:lang w:bidi="zh-CN"/>
                    </w:rPr>
                    <w:t>）</w:t>
                  </w:r>
                </w:p>
              </w:tc>
              <w:tc>
                <w:tcPr>
                  <w:tcW w:w="1316" w:type="dxa"/>
                  <w:vAlign w:val="center"/>
                </w:tcPr>
                <w:p>
                  <w:pPr>
                    <w:widowControl/>
                    <w:jc w:val="center"/>
                    <w:rPr>
                      <w:b/>
                      <w:bCs/>
                      <w:color w:val="auto"/>
                      <w:sz w:val="21"/>
                      <w:szCs w:val="21"/>
                      <w:u w:val="none"/>
                      <w:lang w:bidi="zh-CN"/>
                    </w:rPr>
                  </w:pPr>
                  <w:r>
                    <w:rPr>
                      <w:b/>
                      <w:bCs/>
                      <w:color w:val="auto"/>
                      <w:sz w:val="21"/>
                      <w:szCs w:val="21"/>
                      <w:u w:val="none"/>
                      <w:lang w:bidi="zh-CN"/>
                    </w:rPr>
                    <w:t>标准值（mg/m</w:t>
                  </w:r>
                  <w:r>
                    <w:rPr>
                      <w:b/>
                      <w:bCs/>
                      <w:color w:val="auto"/>
                      <w:sz w:val="21"/>
                      <w:szCs w:val="21"/>
                      <w:u w:val="none"/>
                      <w:vertAlign w:val="superscript"/>
                      <w:lang w:bidi="zh-CN"/>
                    </w:rPr>
                    <w:t>3</w:t>
                  </w:r>
                  <w:r>
                    <w:rPr>
                      <w:b/>
                      <w:bCs/>
                      <w:color w:val="auto"/>
                      <w:sz w:val="21"/>
                      <w:szCs w:val="21"/>
                      <w:u w:val="none"/>
                      <w:lang w:bidi="zh-CN"/>
                    </w:rPr>
                    <w:t>）</w:t>
                  </w:r>
                </w:p>
              </w:tc>
              <w:tc>
                <w:tcPr>
                  <w:tcW w:w="1367" w:type="dxa"/>
                  <w:vAlign w:val="center"/>
                </w:tcPr>
                <w:p>
                  <w:pPr>
                    <w:widowControl/>
                    <w:jc w:val="center"/>
                    <w:rPr>
                      <w:b/>
                      <w:bCs/>
                      <w:color w:val="auto"/>
                      <w:sz w:val="21"/>
                      <w:szCs w:val="21"/>
                      <w:u w:val="none"/>
                      <w:lang w:bidi="zh-CN"/>
                    </w:rPr>
                  </w:pPr>
                  <w:r>
                    <w:rPr>
                      <w:b/>
                      <w:bCs/>
                      <w:color w:val="auto"/>
                      <w:sz w:val="21"/>
                      <w:szCs w:val="21"/>
                      <w:u w:val="none"/>
                      <w:lang w:bidi="zh-CN"/>
                    </w:rPr>
                    <w:t>评价指数范围</w:t>
                  </w:r>
                </w:p>
              </w:tc>
              <w:tc>
                <w:tcPr>
                  <w:tcW w:w="1217" w:type="dxa"/>
                  <w:vAlign w:val="center"/>
                </w:tcPr>
                <w:p>
                  <w:pPr>
                    <w:widowControl/>
                    <w:jc w:val="center"/>
                    <w:rPr>
                      <w:b/>
                      <w:bCs/>
                      <w:color w:val="auto"/>
                      <w:sz w:val="21"/>
                      <w:szCs w:val="21"/>
                      <w:u w:val="none"/>
                      <w:lang w:bidi="zh-CN"/>
                    </w:rPr>
                  </w:pPr>
                  <w:r>
                    <w:rPr>
                      <w:b/>
                      <w:bCs/>
                      <w:color w:val="auto"/>
                      <w:sz w:val="21"/>
                      <w:szCs w:val="21"/>
                      <w:u w:val="none"/>
                      <w:lang w:bidi="zh-CN"/>
                    </w:rPr>
                    <w:t>超标率（%）</w:t>
                  </w:r>
                </w:p>
              </w:tc>
              <w:tc>
                <w:tcPr>
                  <w:tcW w:w="1173" w:type="dxa"/>
                  <w:vAlign w:val="center"/>
                </w:tcPr>
                <w:p>
                  <w:pPr>
                    <w:widowControl/>
                    <w:jc w:val="center"/>
                    <w:rPr>
                      <w:b/>
                      <w:bCs/>
                      <w:color w:val="auto"/>
                      <w:sz w:val="21"/>
                      <w:szCs w:val="21"/>
                      <w:u w:val="none"/>
                      <w:lang w:bidi="zh-CN"/>
                    </w:rPr>
                  </w:pPr>
                  <w:r>
                    <w:rPr>
                      <w:rFonts w:hint="eastAsia"/>
                      <w:b/>
                      <w:bCs/>
                      <w:color w:val="auto"/>
                      <w:sz w:val="21"/>
                      <w:szCs w:val="21"/>
                      <w:u w:val="none"/>
                      <w:lang w:bidi="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3" w:type="dxa"/>
                  <w:vAlign w:val="center"/>
                </w:tcPr>
                <w:p>
                  <w:pPr>
                    <w:widowControl/>
                    <w:jc w:val="center"/>
                    <w:rPr>
                      <w:b w:val="0"/>
                      <w:bCs w:val="0"/>
                      <w:color w:val="auto"/>
                      <w:sz w:val="21"/>
                      <w:szCs w:val="21"/>
                      <w:u w:val="none"/>
                      <w:lang w:bidi="zh-CN"/>
                    </w:rPr>
                  </w:pPr>
                  <w:r>
                    <w:rPr>
                      <w:rFonts w:hint="eastAsia"/>
                      <w:b w:val="0"/>
                      <w:bCs w:val="0"/>
                      <w:color w:val="auto"/>
                      <w:sz w:val="21"/>
                      <w:szCs w:val="21"/>
                      <w:u w:val="none"/>
                      <w:lang w:bidi="zh-CN"/>
                    </w:rPr>
                    <w:t>非甲烷总烃</w:t>
                  </w:r>
                </w:p>
              </w:tc>
              <w:tc>
                <w:tcPr>
                  <w:tcW w:w="1233" w:type="dxa"/>
                  <w:vAlign w:val="center"/>
                </w:tcPr>
                <w:p>
                  <w:pPr>
                    <w:widowControl/>
                    <w:jc w:val="center"/>
                    <w:rPr>
                      <w:b w:val="0"/>
                      <w:bCs w:val="0"/>
                      <w:color w:val="auto"/>
                      <w:sz w:val="21"/>
                      <w:szCs w:val="21"/>
                      <w:u w:val="none"/>
                      <w:lang w:bidi="zh-CN"/>
                    </w:rPr>
                  </w:pPr>
                  <w:r>
                    <w:rPr>
                      <w:rFonts w:hint="eastAsia"/>
                      <w:b w:val="0"/>
                      <w:bCs w:val="0"/>
                      <w:color w:val="auto"/>
                      <w:sz w:val="21"/>
                      <w:szCs w:val="21"/>
                      <w:u w:val="none"/>
                      <w:lang w:bidi="zh-CN"/>
                    </w:rPr>
                    <w:t>后荣花树村</w:t>
                  </w:r>
                </w:p>
              </w:tc>
              <w:tc>
                <w:tcPr>
                  <w:tcW w:w="1750" w:type="dxa"/>
                  <w:vAlign w:val="center"/>
                </w:tcPr>
                <w:p>
                  <w:pPr>
                    <w:widowControl/>
                    <w:jc w:val="center"/>
                    <w:rPr>
                      <w:b w:val="0"/>
                      <w:bCs w:val="0"/>
                      <w:color w:val="auto"/>
                      <w:sz w:val="21"/>
                      <w:szCs w:val="21"/>
                      <w:u w:val="none"/>
                      <w:lang w:bidi="zh-CN"/>
                    </w:rPr>
                  </w:pPr>
                  <w:r>
                    <w:rPr>
                      <w:rFonts w:hint="eastAsia"/>
                      <w:b w:val="0"/>
                      <w:bCs w:val="0"/>
                      <w:color w:val="auto"/>
                      <w:sz w:val="21"/>
                      <w:szCs w:val="21"/>
                      <w:u w:val="none"/>
                      <w:lang w:bidi="zh-CN"/>
                    </w:rPr>
                    <w:t>0.76~0.95</w:t>
                  </w:r>
                </w:p>
              </w:tc>
              <w:tc>
                <w:tcPr>
                  <w:tcW w:w="1316" w:type="dxa"/>
                  <w:vAlign w:val="center"/>
                </w:tcPr>
                <w:p>
                  <w:pPr>
                    <w:widowControl/>
                    <w:jc w:val="center"/>
                    <w:rPr>
                      <w:b w:val="0"/>
                      <w:bCs w:val="0"/>
                      <w:color w:val="auto"/>
                      <w:sz w:val="21"/>
                      <w:szCs w:val="21"/>
                      <w:u w:val="none"/>
                      <w:lang w:bidi="zh-CN"/>
                    </w:rPr>
                  </w:pPr>
                  <w:r>
                    <w:rPr>
                      <w:rFonts w:hint="eastAsia"/>
                      <w:b w:val="0"/>
                      <w:bCs w:val="0"/>
                      <w:color w:val="auto"/>
                      <w:sz w:val="21"/>
                      <w:szCs w:val="21"/>
                      <w:u w:val="none"/>
                      <w:lang w:bidi="zh-CN"/>
                    </w:rPr>
                    <w:t>2.0</w:t>
                  </w:r>
                </w:p>
              </w:tc>
              <w:tc>
                <w:tcPr>
                  <w:tcW w:w="1367" w:type="dxa"/>
                  <w:vAlign w:val="center"/>
                </w:tcPr>
                <w:p>
                  <w:pPr>
                    <w:widowControl/>
                    <w:jc w:val="center"/>
                    <w:rPr>
                      <w:b w:val="0"/>
                      <w:bCs w:val="0"/>
                      <w:color w:val="auto"/>
                      <w:sz w:val="21"/>
                      <w:szCs w:val="21"/>
                      <w:u w:val="none"/>
                      <w:lang w:bidi="zh-CN"/>
                    </w:rPr>
                  </w:pPr>
                  <w:r>
                    <w:rPr>
                      <w:rFonts w:hint="eastAsia"/>
                      <w:b w:val="0"/>
                      <w:bCs w:val="0"/>
                      <w:color w:val="auto"/>
                      <w:sz w:val="21"/>
                      <w:szCs w:val="21"/>
                      <w:u w:val="none"/>
                      <w:lang w:bidi="zh-CN"/>
                    </w:rPr>
                    <w:t>0.38~0.475</w:t>
                  </w:r>
                </w:p>
              </w:tc>
              <w:tc>
                <w:tcPr>
                  <w:tcW w:w="1217" w:type="dxa"/>
                  <w:vAlign w:val="center"/>
                </w:tcPr>
                <w:p>
                  <w:pPr>
                    <w:widowControl/>
                    <w:jc w:val="center"/>
                    <w:rPr>
                      <w:b w:val="0"/>
                      <w:bCs w:val="0"/>
                      <w:color w:val="auto"/>
                      <w:sz w:val="21"/>
                      <w:szCs w:val="21"/>
                      <w:u w:val="none"/>
                      <w:lang w:bidi="zh-CN"/>
                    </w:rPr>
                  </w:pPr>
                  <w:r>
                    <w:rPr>
                      <w:rFonts w:hint="eastAsia"/>
                      <w:b w:val="0"/>
                      <w:bCs w:val="0"/>
                      <w:color w:val="auto"/>
                      <w:sz w:val="21"/>
                      <w:szCs w:val="21"/>
                      <w:u w:val="none"/>
                      <w:lang w:bidi="zh-CN"/>
                    </w:rPr>
                    <w:t>0</w:t>
                  </w:r>
                </w:p>
              </w:tc>
              <w:tc>
                <w:tcPr>
                  <w:tcW w:w="1173" w:type="dxa"/>
                  <w:vAlign w:val="center"/>
                </w:tcPr>
                <w:p>
                  <w:pPr>
                    <w:widowControl/>
                    <w:jc w:val="center"/>
                    <w:rPr>
                      <w:b w:val="0"/>
                      <w:bCs w:val="0"/>
                      <w:color w:val="auto"/>
                      <w:sz w:val="21"/>
                      <w:szCs w:val="21"/>
                      <w:u w:val="none"/>
                      <w:lang w:bidi="zh-CN"/>
                    </w:rPr>
                  </w:pPr>
                  <w:r>
                    <w:rPr>
                      <w:rFonts w:hint="eastAsia"/>
                      <w:b w:val="0"/>
                      <w:bCs w:val="0"/>
                      <w:color w:val="auto"/>
                      <w:sz w:val="21"/>
                      <w:szCs w:val="21"/>
                      <w:u w:val="none"/>
                      <w:lang w:bidi="zh-CN"/>
                    </w:rPr>
                    <w:t>达标</w:t>
                  </w:r>
                </w:p>
              </w:tc>
            </w:tr>
          </w:tbl>
          <w:p>
            <w:pPr>
              <w:widowControl/>
              <w:spacing w:line="520" w:lineRule="exact"/>
              <w:ind w:firstLine="480" w:firstLineChars="200"/>
              <w:jc w:val="left"/>
              <w:rPr>
                <w:b w:val="0"/>
                <w:bCs w:val="0"/>
                <w:color w:val="auto"/>
                <w:u w:val="none"/>
                <w:lang w:bidi="zh-CN"/>
              </w:rPr>
            </w:pPr>
            <w:r>
              <w:rPr>
                <w:rFonts w:hint="eastAsia"/>
                <w:b w:val="0"/>
                <w:bCs w:val="0"/>
                <w:color w:val="auto"/>
                <w:u w:val="none"/>
                <w:lang w:bidi="zh-CN"/>
              </w:rPr>
              <w:t>由上表监测数据统计结果分析可知，项目环境影响评价期间，非甲烷总烃小时均值均能满足《大气污染物综合排放标准详解》（</w:t>
            </w:r>
            <w:r>
              <w:rPr>
                <w:b w:val="0"/>
                <w:bCs w:val="0"/>
                <w:color w:val="auto"/>
                <w:u w:val="none"/>
                <w:lang w:bidi="zh-CN"/>
              </w:rPr>
              <w:t>GB16297-1996</w:t>
            </w:r>
            <w:r>
              <w:rPr>
                <w:rFonts w:hint="eastAsia"/>
                <w:b w:val="0"/>
                <w:bCs w:val="0"/>
                <w:color w:val="auto"/>
                <w:u w:val="none"/>
                <w:lang w:bidi="zh-CN"/>
              </w:rPr>
              <w:t>）推荐值。</w:t>
            </w:r>
          </w:p>
          <w:p>
            <w:pPr>
              <w:widowControl/>
              <w:spacing w:line="520" w:lineRule="exact"/>
              <w:jc w:val="left"/>
              <w:rPr>
                <w:b/>
                <w:bCs/>
                <w:color w:val="auto"/>
                <w:lang w:bidi="zh-CN"/>
              </w:rPr>
            </w:pPr>
            <w:r>
              <w:rPr>
                <w:b/>
                <w:bCs/>
                <w:color w:val="auto"/>
                <w:lang w:bidi="zh-CN"/>
              </w:rPr>
              <w:t>2</w:t>
            </w:r>
            <w:r>
              <w:rPr>
                <w:rFonts w:hint="eastAsia"/>
                <w:b/>
                <w:bCs/>
                <w:color w:val="auto"/>
                <w:lang w:bidi="zh-CN"/>
              </w:rPr>
              <w:t>、地表水环境质量现状</w:t>
            </w:r>
          </w:p>
          <w:p>
            <w:pPr>
              <w:widowControl/>
              <w:spacing w:line="520" w:lineRule="exact"/>
              <w:ind w:firstLine="480" w:firstLineChars="200"/>
              <w:jc w:val="left"/>
              <w:rPr>
                <w:color w:val="auto"/>
                <w:lang w:bidi="zh-CN"/>
              </w:rPr>
            </w:pPr>
            <w:r>
              <w:rPr>
                <w:rFonts w:hint="eastAsia"/>
                <w:color w:val="auto"/>
                <w:lang w:bidi="zh-CN"/>
              </w:rPr>
              <w:t>项目生活污水经园区内污水管道进入清丰中州水务有限公司第二污水处理厂，处理后排入潴泷河，最终汇入马颊河。</w:t>
            </w:r>
            <w:r>
              <w:rPr>
                <w:rFonts w:hint="eastAsia" w:ascii="Times New Roman" w:hAnsi="Times New Roman" w:cs="Times New Roman"/>
                <w:b/>
                <w:bCs/>
                <w:u w:val="single" w:color="auto"/>
                <w:lang w:val="en-US" w:eastAsia="zh-CN"/>
              </w:rPr>
              <w:t>濮阳市生态环境局公布的濮阳市环境质量月报从2022年开始</w:t>
            </w:r>
            <w:r>
              <w:rPr>
                <w:rFonts w:hint="eastAsia" w:cs="Times New Roman"/>
                <w:b/>
                <w:bCs/>
                <w:u w:val="single" w:color="auto"/>
                <w:lang w:val="en-US" w:eastAsia="zh-CN"/>
              </w:rPr>
              <w:t>截至</w:t>
            </w:r>
            <w:r>
              <w:rPr>
                <w:rFonts w:hint="eastAsia" w:ascii="Times New Roman" w:hAnsi="Times New Roman" w:cs="Times New Roman"/>
                <w:b/>
                <w:bCs/>
                <w:u w:val="single" w:color="auto"/>
                <w:lang w:val="en-US" w:eastAsia="zh-CN"/>
              </w:rPr>
              <w:t>目前未公布马颊河西吉七数据</w:t>
            </w:r>
            <w:r>
              <w:rPr>
                <w:rFonts w:hint="eastAsia" w:cs="Times New Roman"/>
                <w:b/>
                <w:bCs/>
                <w:u w:val="single" w:color="auto"/>
                <w:lang w:val="en-US" w:eastAsia="zh-CN"/>
              </w:rPr>
              <w:t>，</w:t>
            </w:r>
            <w:r>
              <w:rPr>
                <w:rFonts w:hint="eastAsia" w:ascii="Times New Roman" w:hAnsi="Times New Roman" w:cs="Times New Roman"/>
                <w:b/>
                <w:bCs/>
                <w:u w:val="single" w:color="auto"/>
                <w:lang w:val="en-US" w:eastAsia="zh-CN"/>
              </w:rPr>
              <w:t>故本项目</w:t>
            </w:r>
            <w:r>
              <w:rPr>
                <w:rFonts w:hint="default" w:ascii="Times New Roman" w:hAnsi="Times New Roman" w:eastAsia="宋体" w:cs="Times New Roman"/>
                <w:b/>
                <w:bCs/>
                <w:color w:val="auto"/>
                <w:kern w:val="2"/>
                <w:sz w:val="24"/>
                <w:szCs w:val="24"/>
                <w:highlight w:val="none"/>
                <w:u w:val="single" w:color="auto"/>
                <w:lang w:val="en-US" w:eastAsia="zh-CN" w:bidi="ar-SA"/>
              </w:rPr>
              <w:t>地表水环境质量现状数据引用濮阳市生态环境局公布的濮阳市环境质量月报202</w:t>
            </w:r>
            <w:r>
              <w:rPr>
                <w:rFonts w:hint="eastAsia" w:ascii="Times New Roman" w:hAnsi="Times New Roman" w:eastAsia="宋体" w:cs="Times New Roman"/>
                <w:b/>
                <w:bCs/>
                <w:color w:val="auto"/>
                <w:kern w:val="2"/>
                <w:sz w:val="24"/>
                <w:szCs w:val="24"/>
                <w:highlight w:val="none"/>
                <w:u w:val="single" w:color="auto"/>
                <w:lang w:val="en-US" w:eastAsia="zh-CN" w:bidi="ar-SA"/>
              </w:rPr>
              <w:t>4</w:t>
            </w:r>
            <w:r>
              <w:rPr>
                <w:rFonts w:hint="default" w:ascii="Times New Roman" w:hAnsi="Times New Roman" w:eastAsia="宋体" w:cs="Times New Roman"/>
                <w:b/>
                <w:bCs/>
                <w:color w:val="auto"/>
                <w:kern w:val="2"/>
                <w:sz w:val="24"/>
                <w:szCs w:val="24"/>
                <w:highlight w:val="none"/>
                <w:u w:val="single" w:color="auto"/>
                <w:lang w:val="en-US" w:eastAsia="zh-CN" w:bidi="ar-SA"/>
              </w:rPr>
              <w:t>年1-12月全年</w:t>
            </w:r>
            <w:r>
              <w:rPr>
                <w:rFonts w:hint="eastAsia" w:ascii="Times New Roman" w:hAnsi="Times New Roman" w:eastAsia="宋体" w:cs="Times New Roman"/>
                <w:b/>
                <w:bCs/>
                <w:color w:val="auto"/>
                <w:kern w:val="2"/>
                <w:sz w:val="24"/>
                <w:szCs w:val="24"/>
                <w:highlight w:val="none"/>
                <w:u w:val="single" w:color="auto"/>
                <w:lang w:val="en-US" w:eastAsia="zh-CN" w:bidi="ar-SA"/>
              </w:rPr>
              <w:t>马颊河</w:t>
            </w:r>
            <w:r>
              <w:rPr>
                <w:rFonts w:hint="eastAsia" w:ascii="Times New Roman" w:hAnsi="Times New Roman" w:eastAsia="宋体" w:cs="Times New Roman"/>
                <w:b/>
                <w:bCs/>
                <w:color w:val="auto"/>
                <w:sz w:val="24"/>
                <w:szCs w:val="24"/>
                <w:u w:val="single" w:color="auto"/>
                <w:lang w:val="en-US" w:eastAsia="zh-CN"/>
              </w:rPr>
              <w:t>南乐水文站</w:t>
            </w:r>
            <w:r>
              <w:rPr>
                <w:rFonts w:hint="eastAsia" w:ascii="Times New Roman" w:hAnsi="Times New Roman" w:eastAsia="宋体" w:cs="Times New Roman"/>
                <w:b/>
                <w:bCs/>
                <w:color w:val="auto"/>
                <w:kern w:val="2"/>
                <w:sz w:val="24"/>
                <w:szCs w:val="24"/>
                <w:highlight w:val="none"/>
                <w:u w:val="single" w:color="auto"/>
                <w:lang w:val="en-US" w:eastAsia="zh-CN" w:bidi="ar-SA"/>
              </w:rPr>
              <w:t>断面</w:t>
            </w:r>
            <w:r>
              <w:rPr>
                <w:rFonts w:hint="default" w:ascii="Times New Roman" w:hAnsi="Times New Roman" w:eastAsia="宋体" w:cs="Times New Roman"/>
                <w:b/>
                <w:bCs/>
                <w:color w:val="auto"/>
                <w:kern w:val="2"/>
                <w:sz w:val="24"/>
                <w:szCs w:val="24"/>
                <w:highlight w:val="none"/>
                <w:u w:val="single" w:color="auto"/>
                <w:lang w:val="en-US" w:eastAsia="zh-CN" w:bidi="ar-SA"/>
              </w:rPr>
              <w:t>监测结果</w:t>
            </w:r>
            <w:r>
              <w:rPr>
                <w:rFonts w:hint="eastAsia" w:ascii="Times New Roman" w:hAnsi="Times New Roman" w:eastAsia="宋体" w:cs="Times New Roman"/>
                <w:b/>
                <w:bCs/>
                <w:color w:val="auto"/>
                <w:kern w:val="2"/>
                <w:sz w:val="24"/>
                <w:szCs w:val="24"/>
                <w:highlight w:val="none"/>
                <w:u w:val="single" w:color="auto"/>
                <w:lang w:val="en-US" w:eastAsia="zh-CN" w:bidi="ar-SA"/>
              </w:rPr>
              <w:t>及引用《清丰县先进制造业开发区发展规划（2022-2035）环境影响报告书》（报批版）中对区域潴泷河地表水进行监测，对区域潴泷河地表水进行监测公司为河南地矿生态环境科技有限公司，监测时间为为2023年9月13日至9月15日，监测时间为3天，符合引用数据相关要求</w:t>
            </w:r>
            <w:r>
              <w:rPr>
                <w:rFonts w:hint="eastAsia"/>
                <w:b/>
                <w:bCs/>
                <w:color w:val="auto"/>
                <w:u w:val="single" w:color="auto"/>
                <w:lang w:bidi="zh-CN"/>
              </w:rPr>
              <w:t>。</w:t>
            </w:r>
            <w:r>
              <w:rPr>
                <w:rFonts w:hint="eastAsia"/>
                <w:color w:val="auto"/>
                <w:lang w:bidi="zh-CN"/>
              </w:rPr>
              <w:t>监测数据统计见下表。</w:t>
            </w:r>
          </w:p>
          <w:p>
            <w:pPr>
              <w:widowControl/>
              <w:spacing w:line="520" w:lineRule="exact"/>
              <w:ind w:firstLine="482" w:firstLineChars="200"/>
              <w:jc w:val="center"/>
              <w:rPr>
                <w:rFonts w:hint="eastAsia"/>
                <w:b/>
                <w:bCs/>
                <w:color w:val="auto"/>
                <w:u w:val="none"/>
                <w:lang w:bidi="zh-CN"/>
              </w:rPr>
            </w:pPr>
            <w:r>
              <w:rPr>
                <w:rFonts w:hint="eastAsia"/>
                <w:b/>
                <w:bCs/>
                <w:color w:val="auto"/>
                <w:u w:val="none"/>
                <w:lang w:bidi="zh-CN"/>
              </w:rPr>
              <w:t>表3-</w:t>
            </w:r>
            <w:r>
              <w:rPr>
                <w:rFonts w:hint="eastAsia"/>
                <w:b/>
                <w:bCs/>
                <w:color w:val="auto"/>
                <w:u w:val="none"/>
                <w:lang w:val="en-US" w:eastAsia="zh-CN" w:bidi="zh-CN"/>
              </w:rPr>
              <w:t xml:space="preserve">4 </w:t>
            </w:r>
            <w:r>
              <w:rPr>
                <w:rFonts w:hint="eastAsia"/>
                <w:b/>
                <w:bCs/>
                <w:color w:val="auto"/>
                <w:u w:val="none"/>
                <w:lang w:bidi="zh-CN"/>
              </w:rPr>
              <w:t xml:space="preserve"> 地表水环境质量现状统计结果一览表</w:t>
            </w:r>
          </w:p>
          <w:tbl>
            <w:tblPr>
              <w:tblStyle w:val="23"/>
              <w:tblW w:w="92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48"/>
              <w:gridCol w:w="1266"/>
              <w:gridCol w:w="1232"/>
              <w:gridCol w:w="1029"/>
              <w:gridCol w:w="1152"/>
              <w:gridCol w:w="1154"/>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bidi="zh-CN"/>
                    </w:rPr>
                  </w:pPr>
                  <w:r>
                    <w:rPr>
                      <w:rFonts w:hint="default" w:ascii="Times New Roman" w:hAnsi="Times New Roman" w:cs="Times New Roman"/>
                      <w:b/>
                      <w:bCs/>
                      <w:color w:val="auto"/>
                      <w:sz w:val="21"/>
                      <w:szCs w:val="21"/>
                      <w:lang w:bidi="zh-CN"/>
                    </w:rPr>
                    <w:t>断面</w:t>
                  </w: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bidi="zh-CN"/>
                    </w:rPr>
                  </w:pPr>
                  <w:r>
                    <w:rPr>
                      <w:rFonts w:hint="default" w:ascii="Times New Roman" w:hAnsi="Times New Roman" w:cs="Times New Roman"/>
                      <w:b/>
                      <w:bCs/>
                      <w:color w:val="auto"/>
                      <w:sz w:val="21"/>
                      <w:szCs w:val="21"/>
                      <w:lang w:bidi="zh-CN"/>
                    </w:rPr>
                    <w:t>监测因子</w:t>
                  </w:r>
                </w:p>
              </w:tc>
              <w:tc>
                <w:tcPr>
                  <w:tcW w:w="126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bidi="zh-CN"/>
                    </w:rPr>
                  </w:pPr>
                  <w:r>
                    <w:rPr>
                      <w:rFonts w:hint="default" w:ascii="Times New Roman" w:hAnsi="Times New Roman" w:cs="Times New Roman"/>
                      <w:b/>
                      <w:bCs/>
                      <w:color w:val="auto"/>
                      <w:sz w:val="21"/>
                      <w:szCs w:val="21"/>
                      <w:lang w:bidi="zh-CN"/>
                    </w:rPr>
                    <w:t>监测时间</w:t>
                  </w:r>
                </w:p>
              </w:tc>
              <w:tc>
                <w:tcPr>
                  <w:tcW w:w="12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bidi="zh-CN"/>
                    </w:rPr>
                  </w:pPr>
                  <w:r>
                    <w:rPr>
                      <w:rFonts w:hint="default" w:ascii="Times New Roman" w:hAnsi="Times New Roman" w:cs="Times New Roman"/>
                      <w:b/>
                      <w:bCs/>
                      <w:color w:val="auto"/>
                      <w:sz w:val="21"/>
                      <w:szCs w:val="21"/>
                      <w:lang w:bidi="zh-CN"/>
                    </w:rPr>
                    <w:t>监测结果</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bidi="zh-CN"/>
                    </w:rPr>
                  </w:pPr>
                  <w:r>
                    <w:rPr>
                      <w:rFonts w:hint="default" w:ascii="Times New Roman" w:hAnsi="Times New Roman" w:cs="Times New Roman"/>
                      <w:b/>
                      <w:bCs/>
                      <w:color w:val="auto"/>
                      <w:sz w:val="21"/>
                      <w:szCs w:val="21"/>
                      <w:lang w:bidi="zh-CN"/>
                    </w:rPr>
                    <w:t>标准</w:t>
                  </w:r>
                </w:p>
              </w:tc>
              <w:tc>
                <w:tcPr>
                  <w:tcW w:w="1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bidi="zh-CN"/>
                    </w:rPr>
                  </w:pPr>
                  <w:r>
                    <w:rPr>
                      <w:rFonts w:hint="default" w:ascii="Times New Roman" w:hAnsi="Times New Roman" w:cs="Times New Roman"/>
                      <w:b/>
                      <w:bCs/>
                      <w:color w:val="auto"/>
                      <w:sz w:val="21"/>
                      <w:szCs w:val="21"/>
                      <w:lang w:bidi="zh-CN"/>
                    </w:rPr>
                    <w:t>标准指数</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bidi="zh-CN"/>
                    </w:rPr>
                  </w:pPr>
                  <w:r>
                    <w:rPr>
                      <w:rFonts w:hint="default" w:ascii="Times New Roman" w:hAnsi="Times New Roman" w:cs="Times New Roman"/>
                      <w:b/>
                      <w:bCs/>
                      <w:color w:val="auto"/>
                      <w:sz w:val="21"/>
                      <w:szCs w:val="21"/>
                      <w:lang w:bidi="zh-CN"/>
                    </w:rPr>
                    <w:t>超标倍数</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lang w:bidi="zh-CN"/>
                    </w:rPr>
                  </w:pPr>
                  <w:r>
                    <w:rPr>
                      <w:rFonts w:hint="default" w:ascii="Times New Roman" w:hAnsi="Times New Roman" w:cs="Times New Roman"/>
                      <w:b/>
                      <w:bCs/>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马颊河南乐水文站</w:t>
                  </w: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年1月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z w:val="21"/>
                      <w:szCs w:val="21"/>
                      <w:u w:val="none" w:color="auto"/>
                    </w:rPr>
                    <w:t>6</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1"/>
                      <w:sz w:val="21"/>
                      <w:szCs w:val="21"/>
                      <w:u w:val="none" w:color="auto"/>
                    </w:rPr>
                    <w:t>1.00</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2"/>
                      <w:sz w:val="21"/>
                      <w:szCs w:val="21"/>
                      <w:u w:val="none" w:color="auto"/>
                    </w:rPr>
                    <w:t>0.43</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2"/>
                      <w:sz w:val="21"/>
                      <w:szCs w:val="21"/>
                      <w:u w:val="none" w:color="auto"/>
                    </w:rPr>
                    <w:t>0.43</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3"/>
                      <w:sz w:val="21"/>
                      <w:szCs w:val="21"/>
                      <w:u w:val="none" w:color="auto"/>
                    </w:rPr>
                    <w:t>0.093</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2"/>
                      <w:sz w:val="21"/>
                      <w:szCs w:val="21"/>
                      <w:u w:val="none" w:color="auto"/>
                    </w:rPr>
                    <w:t>0.47</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年2月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1"/>
                      <w:sz w:val="21"/>
                      <w:szCs w:val="21"/>
                      <w:u w:val="none" w:color="auto"/>
                    </w:rPr>
                    <w:t>6.6</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1"/>
                      <w:sz w:val="21"/>
                      <w:szCs w:val="21"/>
                      <w:u w:val="none" w:color="auto"/>
                    </w:rPr>
                    <w:t>1.10</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2"/>
                      <w:sz w:val="21"/>
                      <w:szCs w:val="21"/>
                      <w:u w:val="none" w:color="auto"/>
                    </w:rPr>
                    <w:t>0.43</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2"/>
                      <w:sz w:val="21"/>
                      <w:szCs w:val="21"/>
                      <w:u w:val="none" w:color="auto"/>
                    </w:rPr>
                    <w:t>0.43</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3"/>
                      <w:sz w:val="21"/>
                      <w:szCs w:val="21"/>
                      <w:u w:val="none" w:color="auto"/>
                    </w:rPr>
                    <w:t>0.133</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Times New Roman" w:cs="Times New Roman"/>
                      <w:b w:val="0"/>
                      <w:bCs w:val="0"/>
                      <w:color w:val="auto"/>
                      <w:spacing w:val="2"/>
                      <w:sz w:val="21"/>
                      <w:szCs w:val="21"/>
                      <w:u w:val="none" w:color="auto"/>
                    </w:rPr>
                    <w:t>0.67</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年3月（</w:t>
                  </w:r>
                  <w:r>
                    <w:rPr>
                      <w:rFonts w:hint="default" w:ascii="Times New Roman" w:hAnsi="Times New Roman" w:cs="Times New Roman"/>
                      <w:color w:val="auto"/>
                      <w:sz w:val="21"/>
                      <w:szCs w:val="21"/>
                      <w:lang w:val="en-US" w:bidi="zh-CN"/>
                    </w:rPr>
                    <w:t>断流</w:t>
                  </w:r>
                  <w:r>
                    <w:rPr>
                      <w:rFonts w:hint="default" w:ascii="Times New Roman" w:hAnsi="Times New Roman" w:cs="Times New Roman"/>
                      <w:color w:val="auto"/>
                      <w:sz w:val="21"/>
                      <w:szCs w:val="21"/>
                      <w:lang w:bidi="zh-CN"/>
                    </w:rPr>
                    <w:t>）</w:t>
                  </w:r>
                </w:p>
              </w:tc>
              <w:tc>
                <w:tcPr>
                  <w:tcW w:w="12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年4月（</w:t>
                  </w:r>
                  <w:r>
                    <w:rPr>
                      <w:rFonts w:hint="default" w:ascii="Times New Roman" w:hAnsi="Times New Roman" w:cs="Times New Roman"/>
                      <w:color w:val="auto"/>
                      <w:sz w:val="21"/>
                      <w:szCs w:val="21"/>
                      <w:lang w:val="en-US" w:bidi="zh-CN"/>
                    </w:rPr>
                    <w:t>断流</w:t>
                  </w:r>
                  <w:r>
                    <w:rPr>
                      <w:rFonts w:hint="default" w:ascii="Times New Roman" w:hAnsi="Times New Roman" w:cs="Times New Roman"/>
                      <w:color w:val="auto"/>
                      <w:sz w:val="21"/>
                      <w:szCs w:val="21"/>
                      <w:lang w:bidi="zh-CN"/>
                    </w:rPr>
                    <w:t>）</w:t>
                  </w:r>
                </w:p>
              </w:tc>
              <w:tc>
                <w:tcPr>
                  <w:tcW w:w="12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bidi="zh-CN"/>
                    </w:rPr>
                  </w:pPr>
                  <w:r>
                    <w:rPr>
                      <w:rFonts w:hint="default" w:ascii="Times New Roman" w:hAnsi="Times New Roman" w:cs="Times New Roman"/>
                      <w:color w:val="auto"/>
                      <w:sz w:val="21"/>
                      <w:szCs w:val="21"/>
                      <w:lang w:val="en-US" w:bidi="zh-CN"/>
                    </w:rPr>
                    <w:t>/</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年5月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3.9</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0.65</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0.26</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0.26</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0.091</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0.46</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年6月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3.6</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0.60</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0.16</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0.16</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0.076</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0.38</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年7月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6.1</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1.02</w:t>
                  </w:r>
                </w:p>
              </w:tc>
              <w:tc>
                <w:tcPr>
                  <w:tcW w:w="11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0.017</w:t>
                  </w:r>
                </w:p>
              </w:tc>
              <w:tc>
                <w:tcPr>
                  <w:tcW w:w="10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0.97</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0.97</w:t>
                  </w:r>
                </w:p>
              </w:tc>
              <w:tc>
                <w:tcPr>
                  <w:tcW w:w="11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w:t>
                  </w:r>
                </w:p>
              </w:tc>
              <w:tc>
                <w:tcPr>
                  <w:tcW w:w="10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0.155</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0.78</w:t>
                  </w:r>
                </w:p>
              </w:tc>
              <w:tc>
                <w:tcPr>
                  <w:tcW w:w="11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w:t>
                  </w:r>
                </w:p>
              </w:tc>
              <w:tc>
                <w:tcPr>
                  <w:tcW w:w="10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年8月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6.5</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1.08</w:t>
                  </w:r>
                </w:p>
              </w:tc>
              <w:tc>
                <w:tcPr>
                  <w:tcW w:w="11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0.083</w:t>
                  </w:r>
                </w:p>
              </w:tc>
              <w:tc>
                <w:tcPr>
                  <w:tcW w:w="10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0.49</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0.49</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0.156</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0.78</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年9月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3.7</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0.62</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0.11</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0.11</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0.098</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0.49</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w:t>
                  </w:r>
                  <w:r>
                    <w:rPr>
                      <w:rFonts w:hint="eastAsia" w:ascii="Times New Roman" w:hAnsi="Times New Roman" w:cs="Times New Roman"/>
                      <w:color w:val="auto"/>
                      <w:sz w:val="21"/>
                      <w:szCs w:val="21"/>
                      <w:lang w:val="en-US" w:bidi="zh-CN"/>
                    </w:rPr>
                    <w:t>10</w:t>
                  </w:r>
                  <w:r>
                    <w:rPr>
                      <w:rFonts w:hint="default" w:ascii="Times New Roman" w:hAnsi="Times New Roman" w:cs="Times New Roman"/>
                      <w:color w:val="auto"/>
                      <w:sz w:val="21"/>
                      <w:szCs w:val="21"/>
                      <w:lang w:bidi="zh-CN"/>
                    </w:rPr>
                    <w:t>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4</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0.67</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0.15</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0.15</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0.075</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0.38</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w:t>
                  </w:r>
                  <w:r>
                    <w:rPr>
                      <w:rFonts w:hint="eastAsia" w:ascii="Times New Roman" w:hAnsi="Times New Roman" w:cs="Times New Roman"/>
                      <w:color w:val="auto"/>
                      <w:sz w:val="21"/>
                      <w:szCs w:val="21"/>
                      <w:lang w:val="en-US" w:bidi="zh-CN"/>
                    </w:rPr>
                    <w:t>11</w:t>
                  </w:r>
                  <w:r>
                    <w:rPr>
                      <w:rFonts w:hint="default" w:ascii="Times New Roman" w:hAnsi="Times New Roman" w:cs="Times New Roman"/>
                      <w:color w:val="auto"/>
                      <w:sz w:val="21"/>
                      <w:szCs w:val="21"/>
                      <w:lang w:bidi="zh-CN"/>
                    </w:rPr>
                    <w:t>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2.5</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0.42</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0.12</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0.12</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0.057</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0.29</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高锰酸盐指数</w:t>
                  </w:r>
                </w:p>
              </w:tc>
              <w:tc>
                <w:tcPr>
                  <w:tcW w:w="12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202</w:t>
                  </w:r>
                  <w:r>
                    <w:rPr>
                      <w:rFonts w:hint="eastAsia" w:ascii="Times New Roman" w:hAnsi="Times New Roman" w:cs="Times New Roman"/>
                      <w:color w:val="auto"/>
                      <w:sz w:val="21"/>
                      <w:szCs w:val="21"/>
                      <w:lang w:val="en-US" w:bidi="zh-CN"/>
                    </w:rPr>
                    <w:t>4</w:t>
                  </w:r>
                  <w:r>
                    <w:rPr>
                      <w:rFonts w:hint="default" w:ascii="Times New Roman" w:hAnsi="Times New Roman" w:cs="Times New Roman"/>
                      <w:color w:val="auto"/>
                      <w:sz w:val="21"/>
                      <w:szCs w:val="21"/>
                      <w:lang w:bidi="zh-CN"/>
                    </w:rPr>
                    <w:t>年</w:t>
                  </w:r>
                  <w:r>
                    <w:rPr>
                      <w:rFonts w:hint="eastAsia" w:ascii="Times New Roman" w:hAnsi="Times New Roman" w:cs="Times New Roman"/>
                      <w:color w:val="auto"/>
                      <w:sz w:val="21"/>
                      <w:szCs w:val="21"/>
                      <w:lang w:val="en-US" w:bidi="zh-CN"/>
                    </w:rPr>
                    <w:t>12</w:t>
                  </w:r>
                  <w:r>
                    <w:rPr>
                      <w:rFonts w:hint="default" w:ascii="Times New Roman" w:hAnsi="Times New Roman" w:cs="Times New Roman"/>
                      <w:color w:val="auto"/>
                      <w:sz w:val="21"/>
                      <w:szCs w:val="21"/>
                      <w:lang w:bidi="zh-CN"/>
                    </w:rPr>
                    <w:t>月</w:t>
                  </w: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2.7</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w:t>
                  </w:r>
                  <w:r>
                    <w:rPr>
                      <w:rFonts w:hint="default" w:ascii="Times New Roman" w:hAnsi="Times New Roman" w:cs="Times New Roman"/>
                      <w:color w:val="auto"/>
                      <w:sz w:val="21"/>
                      <w:szCs w:val="21"/>
                      <w:lang w:val="en-US" w:bidi="zh-CN"/>
                    </w:rPr>
                    <w:t>6</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0.45</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NH</w:t>
                  </w:r>
                  <w:r>
                    <w:rPr>
                      <w:rFonts w:hint="default" w:ascii="Times New Roman" w:hAnsi="Times New Roman" w:cs="Times New Roman"/>
                      <w:color w:val="auto"/>
                      <w:sz w:val="21"/>
                      <w:szCs w:val="21"/>
                      <w:vertAlign w:val="subscript"/>
                      <w:lang w:bidi="zh-CN"/>
                    </w:rPr>
                    <w:t>3</w:t>
                  </w:r>
                  <w:r>
                    <w:rPr>
                      <w:rFonts w:hint="default" w:ascii="Times New Roman" w:hAnsi="Times New Roman" w:cs="Times New Roman"/>
                      <w:color w:val="auto"/>
                      <w:sz w:val="21"/>
                      <w:szCs w:val="21"/>
                      <w:lang w:bidi="zh-CN"/>
                    </w:rPr>
                    <w:t>-N</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0.26</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≤1</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0.26</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jc w:val="center"/>
              </w:trPr>
              <w:tc>
                <w:tcPr>
                  <w:tcW w:w="72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64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总磷</w:t>
                  </w:r>
                </w:p>
              </w:tc>
              <w:tc>
                <w:tcPr>
                  <w:tcW w:w="12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p>
              </w:tc>
              <w:tc>
                <w:tcPr>
                  <w:tcW w:w="12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0.07</w:t>
                  </w:r>
                </w:p>
              </w:tc>
              <w:tc>
                <w:tcPr>
                  <w:tcW w:w="102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r>
                    <w:rPr>
                      <w:rFonts w:hint="default" w:ascii="Times New Roman" w:hAnsi="Times New Roman" w:cs="Times New Roman"/>
                      <w:color w:val="auto"/>
                      <w:sz w:val="21"/>
                      <w:szCs w:val="21"/>
                      <w:lang w:val="en-US" w:bidi="zh-CN"/>
                    </w:rPr>
                    <w:t>2</w:t>
                  </w:r>
                </w:p>
              </w:tc>
              <w:tc>
                <w:tcPr>
                  <w:tcW w:w="11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default" w:ascii="Times New Roman" w:hAnsi="Times New Roman" w:cs="Times New Roman"/>
                      <w:color w:val="auto"/>
                      <w:sz w:val="21"/>
                      <w:szCs w:val="21"/>
                      <w:lang w:bidi="zh-CN"/>
                    </w:rPr>
                  </w:pPr>
                  <w:r>
                    <w:rPr>
                      <w:rFonts w:hint="default" w:ascii="Times New Roman" w:hAnsi="Times New Roman" w:eastAsia="宋体" w:cs="Times New Roman"/>
                      <w:b w:val="0"/>
                      <w:bCs w:val="0"/>
                      <w:color w:val="auto"/>
                      <w:spacing w:val="1"/>
                      <w:sz w:val="21"/>
                      <w:szCs w:val="21"/>
                      <w:u w:val="none" w:color="auto"/>
                    </w:rPr>
                    <w:t>0.35</w:t>
                  </w:r>
                </w:p>
              </w:tc>
              <w:tc>
                <w:tcPr>
                  <w:tcW w:w="115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0</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lang w:bidi="zh-CN"/>
                    </w:rPr>
                    <w:t>达标</w:t>
                  </w:r>
                </w:p>
              </w:tc>
            </w:tr>
          </w:tbl>
          <w:p>
            <w:pPr>
              <w:widowControl/>
              <w:spacing w:line="520" w:lineRule="exact"/>
              <w:ind w:firstLine="480" w:firstLineChars="200"/>
              <w:jc w:val="left"/>
              <w:rPr>
                <w:color w:val="auto"/>
                <w:lang w:bidi="zh-CN"/>
              </w:rPr>
            </w:pPr>
            <w:r>
              <w:rPr>
                <w:rFonts w:hint="eastAsia"/>
                <w:color w:val="auto"/>
                <w:lang w:bidi="zh-CN"/>
              </w:rPr>
              <w:t>由上表可知，由上表可知，马颊河南乐水文站断面水质部分数据不能满足《地表水环境质量标准》（GB3838-2002）Ⅲ类标准。超标原因：沿途部分村庄生活污水未经处理直接通过雨水管网进入地表水体，对水质产生一定的影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0" w:firstLineChars="0"/>
              <w:jc w:val="center"/>
              <w:textAlignment w:val="auto"/>
              <w:outlineLvl w:val="9"/>
              <w:rPr>
                <w:rFonts w:hint="default" w:ascii="Times New Roman" w:hAnsi="Times New Roman" w:cs="Times New Roman"/>
                <w:b/>
                <w:bCs/>
                <w:color w:val="000000"/>
                <w:sz w:val="24"/>
                <w:u w:val="single"/>
              </w:rPr>
            </w:pPr>
            <w:r>
              <w:rPr>
                <w:rFonts w:hint="default" w:ascii="Times New Roman" w:hAnsi="Times New Roman" w:eastAsia="宋体" w:cs="Times New Roman"/>
                <w:b/>
                <w:bCs/>
                <w:color w:val="000000"/>
                <w:kern w:val="2"/>
                <w:sz w:val="24"/>
                <w:szCs w:val="24"/>
                <w:u w:val="single"/>
                <w:lang w:val="en-US" w:eastAsia="zh-CN" w:bidi="ar-SA"/>
              </w:rPr>
              <w:t>表</w:t>
            </w:r>
            <w:r>
              <w:rPr>
                <w:rFonts w:hint="eastAsia" w:ascii="Times New Roman" w:hAnsi="Times New Roman" w:eastAsia="宋体" w:cs="Times New Roman"/>
                <w:b/>
                <w:bCs/>
                <w:color w:val="000000"/>
                <w:kern w:val="2"/>
                <w:sz w:val="24"/>
                <w:szCs w:val="24"/>
                <w:u w:val="single"/>
                <w:lang w:val="en-US" w:eastAsia="zh-CN" w:bidi="ar-SA"/>
              </w:rPr>
              <w:t xml:space="preserve">3-5 </w:t>
            </w:r>
            <w:r>
              <w:rPr>
                <w:rFonts w:hint="default" w:ascii="Times New Roman" w:hAnsi="Times New Roman" w:cs="Times New Roman"/>
                <w:b/>
                <w:bCs/>
                <w:color w:val="000000"/>
                <w:sz w:val="24"/>
                <w:u w:val="single"/>
                <w:lang w:val="en-US" w:eastAsia="zh-CN"/>
              </w:rPr>
              <w:t xml:space="preserve"> </w:t>
            </w:r>
            <w:r>
              <w:rPr>
                <w:rFonts w:hint="eastAsia" w:ascii="Times New Roman" w:hAnsi="Times New Roman" w:cs="Times New Roman"/>
                <w:b/>
                <w:bCs/>
                <w:color w:val="000000"/>
                <w:sz w:val="24"/>
                <w:u w:val="single"/>
                <w:lang w:val="en-US" w:eastAsia="zh-CN"/>
              </w:rPr>
              <w:t>地表水监测断面一览表</w:t>
            </w:r>
          </w:p>
          <w:tbl>
            <w:tblPr>
              <w:tblStyle w:val="22"/>
              <w:tblW w:w="9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8"/>
              <w:gridCol w:w="1313"/>
              <w:gridCol w:w="3657"/>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5" w:hRule="atLeast"/>
                <w:jc w:val="center"/>
              </w:trPr>
              <w:tc>
                <w:tcPr>
                  <w:tcW w:w="1078"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eastAsia="zh-CN"/>
                    </w:rPr>
                  </w:pPr>
                  <w:r>
                    <w:rPr>
                      <w:rFonts w:hint="eastAsia" w:ascii="Times New Roman" w:hAnsi="Times New Roman" w:cs="Times New Roman"/>
                      <w:b/>
                      <w:bCs/>
                      <w:color w:val="000000"/>
                      <w:sz w:val="21"/>
                      <w:szCs w:val="21"/>
                      <w:u w:val="single"/>
                      <w:lang w:val="en-US" w:eastAsia="zh-CN"/>
                    </w:rPr>
                    <w:t>序号</w:t>
                  </w:r>
                </w:p>
              </w:tc>
              <w:tc>
                <w:tcPr>
                  <w:tcW w:w="1313"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eastAsia="zh-CN"/>
                    </w:rPr>
                  </w:pPr>
                  <w:r>
                    <w:rPr>
                      <w:rFonts w:hint="eastAsia" w:ascii="Times New Roman" w:hAnsi="Times New Roman" w:cs="Times New Roman"/>
                      <w:b/>
                      <w:bCs/>
                      <w:color w:val="000000"/>
                      <w:sz w:val="21"/>
                      <w:szCs w:val="21"/>
                      <w:u w:val="single"/>
                      <w:lang w:val="en-US" w:eastAsia="zh-CN"/>
                    </w:rPr>
                    <w:t>水体名称</w:t>
                  </w:r>
                </w:p>
              </w:tc>
              <w:tc>
                <w:tcPr>
                  <w:tcW w:w="3657"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eastAsia="zh-CN"/>
                    </w:rPr>
                  </w:pPr>
                  <w:r>
                    <w:rPr>
                      <w:rFonts w:hint="eastAsia" w:ascii="Times New Roman" w:hAnsi="Times New Roman" w:cs="Times New Roman"/>
                      <w:b/>
                      <w:bCs/>
                      <w:color w:val="000000"/>
                      <w:sz w:val="21"/>
                      <w:szCs w:val="21"/>
                      <w:u w:val="single"/>
                      <w:lang w:val="en-US" w:eastAsia="zh-CN"/>
                    </w:rPr>
                    <w:t>断面位置</w:t>
                  </w:r>
                </w:p>
              </w:tc>
              <w:tc>
                <w:tcPr>
                  <w:tcW w:w="3287"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6" w:hRule="atLeast"/>
                <w:jc w:val="center"/>
              </w:trPr>
              <w:tc>
                <w:tcPr>
                  <w:tcW w:w="10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W1</w:t>
                  </w:r>
                </w:p>
              </w:tc>
              <w:tc>
                <w:tcPr>
                  <w:tcW w:w="1313" w:type="dxa"/>
                  <w:vMerge w:val="restart"/>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潴泷河</w:t>
                  </w:r>
                </w:p>
              </w:tc>
              <w:tc>
                <w:tcPr>
                  <w:tcW w:w="3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cs="Times New Roman"/>
                      <w:b/>
                      <w:bCs/>
                      <w:color w:val="000000"/>
                      <w:sz w:val="21"/>
                      <w:szCs w:val="21"/>
                      <w:u w:val="single"/>
                      <w:lang w:val="en-US" w:eastAsia="zh-CN"/>
                    </w:rPr>
                    <w:t>清丰中州水务有限公司第二污水处理厂入潴泷河</w:t>
                  </w:r>
                  <w:r>
                    <w:rPr>
                      <w:rFonts w:hint="eastAsia" w:ascii="Times New Roman" w:hAnsi="Times New Roman" w:eastAsia="宋体" w:cs="Times New Roman"/>
                      <w:b/>
                      <w:bCs/>
                      <w:color w:val="auto"/>
                      <w:sz w:val="21"/>
                      <w:szCs w:val="21"/>
                      <w:highlight w:val="none"/>
                      <w:u w:val="single"/>
                      <w:lang w:val="en-US" w:eastAsia="zh-CN"/>
                    </w:rPr>
                    <w:t>排污口上游500m</w:t>
                  </w:r>
                </w:p>
              </w:tc>
              <w:tc>
                <w:tcPr>
                  <w:tcW w:w="3287" w:type="dxa"/>
                  <w:vMerge w:val="restart"/>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rPr>
                  </w:pPr>
                  <w:r>
                    <w:rPr>
                      <w:rFonts w:hint="eastAsia" w:ascii="Times New Roman" w:hAnsi="Times New Roman" w:cs="Times New Roman"/>
                      <w:b/>
                      <w:bCs/>
                      <w:color w:val="000000"/>
                      <w:kern w:val="2"/>
                      <w:sz w:val="21"/>
                      <w:szCs w:val="21"/>
                      <w:u w:val="single"/>
                      <w:lang w:val="en-US" w:eastAsia="zh-CN" w:bidi="ar-SA"/>
                    </w:rPr>
                    <w:t>pH、COD、BOD</w:t>
                  </w:r>
                  <w:r>
                    <w:rPr>
                      <w:rFonts w:hint="eastAsia" w:ascii="Times New Roman" w:hAnsi="Times New Roman" w:cs="Times New Roman"/>
                      <w:b/>
                      <w:bCs/>
                      <w:color w:val="000000"/>
                      <w:kern w:val="2"/>
                      <w:sz w:val="21"/>
                      <w:szCs w:val="21"/>
                      <w:u w:val="single"/>
                      <w:vertAlign w:val="subscript"/>
                      <w:lang w:val="en-US" w:eastAsia="zh-CN" w:bidi="ar-SA"/>
                    </w:rPr>
                    <w:t>5</w:t>
                  </w:r>
                  <w:r>
                    <w:rPr>
                      <w:rFonts w:hint="eastAsia" w:ascii="Times New Roman" w:hAnsi="Times New Roman" w:cs="Times New Roman"/>
                      <w:b/>
                      <w:bCs/>
                      <w:color w:val="000000"/>
                      <w:kern w:val="2"/>
                      <w:sz w:val="21"/>
                      <w:szCs w:val="21"/>
                      <w:u w:val="single"/>
                      <w:lang w:val="en-US" w:eastAsia="zh-CN" w:bidi="ar-SA"/>
                    </w:rPr>
                    <w:t>、SS、NH</w:t>
                  </w:r>
                  <w:r>
                    <w:rPr>
                      <w:rFonts w:hint="eastAsia" w:ascii="Times New Roman" w:hAnsi="Times New Roman" w:cs="Times New Roman"/>
                      <w:b/>
                      <w:bCs/>
                      <w:color w:val="000000"/>
                      <w:kern w:val="2"/>
                      <w:sz w:val="21"/>
                      <w:szCs w:val="21"/>
                      <w:u w:val="single"/>
                      <w:vertAlign w:val="subscript"/>
                      <w:lang w:val="en-US" w:eastAsia="zh-CN" w:bidi="ar-SA"/>
                    </w:rPr>
                    <w:t>3</w:t>
                  </w:r>
                  <w:r>
                    <w:rPr>
                      <w:rFonts w:hint="eastAsia" w:ascii="Times New Roman" w:hAnsi="Times New Roman" w:cs="Times New Roman"/>
                      <w:b/>
                      <w:bCs/>
                      <w:color w:val="000000"/>
                      <w:kern w:val="2"/>
                      <w:sz w:val="21"/>
                      <w:szCs w:val="21"/>
                      <w:u w:val="single"/>
                      <w:lang w:val="en-US" w:eastAsia="zh-CN" w:bidi="ar-SA"/>
                    </w:rPr>
                    <w:t>-N、TP、TN、挥发酚、氟化物、硫化物、氰化物、六价铬、阴离子表面活性剂、石油类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6" w:hRule="atLeast"/>
                <w:jc w:val="center"/>
              </w:trPr>
              <w:tc>
                <w:tcPr>
                  <w:tcW w:w="10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rPr>
                  </w:pPr>
                  <w:r>
                    <w:rPr>
                      <w:rFonts w:hint="eastAsia" w:ascii="Times New Roman" w:hAnsi="Times New Roman" w:cs="Times New Roman"/>
                      <w:b/>
                      <w:bCs/>
                      <w:color w:val="000000"/>
                      <w:sz w:val="21"/>
                      <w:szCs w:val="21"/>
                      <w:u w:val="single"/>
                      <w:lang w:val="en-US" w:eastAsia="zh-CN"/>
                    </w:rPr>
                    <w:t>W2</w:t>
                  </w:r>
                </w:p>
              </w:tc>
              <w:tc>
                <w:tcPr>
                  <w:tcW w:w="1313"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3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cs="Times New Roman"/>
                      <w:b/>
                      <w:bCs/>
                      <w:color w:val="000000"/>
                      <w:sz w:val="21"/>
                      <w:szCs w:val="21"/>
                      <w:u w:val="single"/>
                      <w:lang w:val="en-US" w:eastAsia="zh-CN"/>
                    </w:rPr>
                    <w:t>清丰中州水务有限公司第二污水处理厂入潴泷河</w:t>
                  </w:r>
                  <w:r>
                    <w:rPr>
                      <w:rFonts w:hint="eastAsia" w:ascii="Times New Roman" w:hAnsi="Times New Roman" w:eastAsia="宋体" w:cs="Times New Roman"/>
                      <w:b/>
                      <w:bCs/>
                      <w:color w:val="auto"/>
                      <w:sz w:val="21"/>
                      <w:szCs w:val="21"/>
                      <w:highlight w:val="none"/>
                      <w:u w:val="single"/>
                      <w:lang w:val="en-US" w:eastAsia="zh-CN"/>
                    </w:rPr>
                    <w:t>排污口</w:t>
                  </w:r>
                </w:p>
              </w:tc>
              <w:tc>
                <w:tcPr>
                  <w:tcW w:w="3287"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1" w:hRule="atLeast"/>
                <w:jc w:val="center"/>
              </w:trPr>
              <w:tc>
                <w:tcPr>
                  <w:tcW w:w="10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rPr>
                  </w:pPr>
                  <w:r>
                    <w:rPr>
                      <w:rFonts w:hint="eastAsia" w:ascii="Times New Roman" w:hAnsi="Times New Roman" w:cs="Times New Roman"/>
                      <w:b/>
                      <w:bCs/>
                      <w:color w:val="000000"/>
                      <w:sz w:val="21"/>
                      <w:szCs w:val="21"/>
                      <w:u w:val="single"/>
                      <w:lang w:val="en-US" w:eastAsia="zh-CN"/>
                    </w:rPr>
                    <w:t>W3</w:t>
                  </w:r>
                </w:p>
              </w:tc>
              <w:tc>
                <w:tcPr>
                  <w:tcW w:w="1313"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36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cs="Times New Roman"/>
                      <w:b/>
                      <w:bCs/>
                      <w:color w:val="000000"/>
                      <w:sz w:val="21"/>
                      <w:szCs w:val="21"/>
                      <w:u w:val="single"/>
                      <w:lang w:val="en-US" w:eastAsia="zh-CN"/>
                    </w:rPr>
                    <w:t>清丰中州水务有限公司第二污水处理厂入潴泷河</w:t>
                  </w:r>
                  <w:r>
                    <w:rPr>
                      <w:rFonts w:hint="eastAsia" w:ascii="Times New Roman" w:hAnsi="Times New Roman" w:eastAsia="宋体" w:cs="Times New Roman"/>
                      <w:b/>
                      <w:bCs/>
                      <w:color w:val="auto"/>
                      <w:sz w:val="21"/>
                      <w:szCs w:val="21"/>
                      <w:highlight w:val="none"/>
                      <w:u w:val="single"/>
                      <w:lang w:val="en-US" w:eastAsia="zh-CN"/>
                    </w:rPr>
                    <w:t>排污口下游1500m</w:t>
                  </w:r>
                </w:p>
              </w:tc>
              <w:tc>
                <w:tcPr>
                  <w:tcW w:w="3287"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0" w:firstLineChars="0"/>
              <w:jc w:val="center"/>
              <w:textAlignment w:val="auto"/>
              <w:outlineLvl w:val="9"/>
              <w:rPr>
                <w:rFonts w:hint="default" w:ascii="Times New Roman" w:hAnsi="Times New Roman" w:cs="Times New Roman"/>
                <w:b/>
                <w:bCs/>
                <w:color w:val="000000"/>
                <w:sz w:val="24"/>
                <w:u w:val="single"/>
              </w:rPr>
            </w:pPr>
            <w:r>
              <w:rPr>
                <w:rFonts w:hint="default" w:ascii="Times New Roman" w:hAnsi="Times New Roman" w:eastAsia="宋体" w:cs="Times New Roman"/>
                <w:b/>
                <w:bCs/>
                <w:color w:val="000000"/>
                <w:kern w:val="2"/>
                <w:sz w:val="24"/>
                <w:szCs w:val="24"/>
                <w:u w:val="single"/>
                <w:lang w:val="en-US" w:eastAsia="zh-CN" w:bidi="ar-SA"/>
              </w:rPr>
              <w:t>表</w:t>
            </w:r>
            <w:r>
              <w:rPr>
                <w:rFonts w:hint="eastAsia" w:ascii="Times New Roman" w:hAnsi="Times New Roman" w:eastAsia="宋体" w:cs="Times New Roman"/>
                <w:b/>
                <w:bCs/>
                <w:color w:val="000000"/>
                <w:kern w:val="2"/>
                <w:sz w:val="24"/>
                <w:szCs w:val="24"/>
                <w:u w:val="single"/>
                <w:lang w:val="en-US" w:eastAsia="zh-CN" w:bidi="ar-SA"/>
              </w:rPr>
              <w:t xml:space="preserve">3-6 </w:t>
            </w:r>
            <w:r>
              <w:rPr>
                <w:rFonts w:hint="default" w:ascii="Times New Roman" w:hAnsi="Times New Roman" w:cs="Times New Roman"/>
                <w:b/>
                <w:bCs/>
                <w:color w:val="000000"/>
                <w:sz w:val="24"/>
                <w:u w:val="single"/>
                <w:lang w:val="en-US" w:eastAsia="zh-CN"/>
              </w:rPr>
              <w:t xml:space="preserve"> </w:t>
            </w:r>
            <w:r>
              <w:rPr>
                <w:rFonts w:hint="eastAsia" w:ascii="Times New Roman" w:hAnsi="Times New Roman" w:cs="Times New Roman"/>
                <w:b/>
                <w:bCs/>
                <w:color w:val="000000"/>
                <w:sz w:val="24"/>
                <w:u w:val="single"/>
                <w:lang w:val="en-US" w:eastAsia="zh-CN"/>
              </w:rPr>
              <w:t>地表水环境现状监测结果一览表</w:t>
            </w:r>
          </w:p>
          <w:tbl>
            <w:tblPr>
              <w:tblStyle w:val="22"/>
              <w:tblW w:w="9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6"/>
              <w:gridCol w:w="2578"/>
              <w:gridCol w:w="1145"/>
              <w:gridCol w:w="788"/>
              <w:gridCol w:w="1214"/>
              <w:gridCol w:w="1138"/>
              <w:gridCol w:w="80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5" w:hRule="atLeast"/>
                <w:jc w:val="center"/>
              </w:trPr>
              <w:tc>
                <w:tcPr>
                  <w:tcW w:w="876"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断面名称</w:t>
                  </w:r>
                </w:p>
              </w:tc>
              <w:tc>
                <w:tcPr>
                  <w:tcW w:w="2578"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检测项目</w:t>
                  </w:r>
                </w:p>
              </w:tc>
              <w:tc>
                <w:tcPr>
                  <w:tcW w:w="1145"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eastAsia="zh-CN"/>
                    </w:rPr>
                  </w:pPr>
                  <w:r>
                    <w:rPr>
                      <w:rFonts w:hint="eastAsia" w:ascii="Times New Roman" w:hAnsi="Times New Roman" w:cs="Times New Roman"/>
                      <w:b/>
                      <w:bCs/>
                      <w:color w:val="000000"/>
                      <w:sz w:val="21"/>
                      <w:szCs w:val="21"/>
                      <w:u w:val="single"/>
                      <w:lang w:val="en-US" w:eastAsia="zh-CN"/>
                    </w:rPr>
                    <w:t>监测值范围</w:t>
                  </w:r>
                </w:p>
              </w:tc>
              <w:tc>
                <w:tcPr>
                  <w:tcW w:w="788"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eastAsia="zh-CN"/>
                    </w:rPr>
                  </w:pPr>
                  <w:r>
                    <w:rPr>
                      <w:rFonts w:hint="eastAsia" w:ascii="Times New Roman" w:hAnsi="Times New Roman" w:cs="Times New Roman"/>
                      <w:b/>
                      <w:bCs/>
                      <w:color w:val="000000"/>
                      <w:sz w:val="21"/>
                      <w:szCs w:val="21"/>
                      <w:u w:val="single"/>
                      <w:lang w:val="en-US" w:eastAsia="zh-CN"/>
                    </w:rPr>
                    <w:t>均值</w:t>
                  </w:r>
                </w:p>
              </w:tc>
              <w:tc>
                <w:tcPr>
                  <w:tcW w:w="1214"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均值标准指数</w:t>
                  </w:r>
                </w:p>
              </w:tc>
              <w:tc>
                <w:tcPr>
                  <w:tcW w:w="1138"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最大标准指数</w:t>
                  </w:r>
                </w:p>
              </w:tc>
              <w:tc>
                <w:tcPr>
                  <w:tcW w:w="800"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评价标准</w:t>
                  </w:r>
                </w:p>
              </w:tc>
              <w:tc>
                <w:tcPr>
                  <w:tcW w:w="800" w:type="dxa"/>
                  <w:tcBorders>
                    <w:tl2br w:val="nil"/>
                    <w:tr2bl w:val="nil"/>
                  </w:tcBorders>
                  <w:vAlign w:val="center"/>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eastAsia="宋体" w:cs="Times New Roman"/>
                      <w:b/>
                      <w:bCs/>
                      <w:color w:val="000000"/>
                      <w:sz w:val="21"/>
                      <w:szCs w:val="21"/>
                      <w:u w:val="singl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3" w:hRule="atLeast"/>
                <w:jc w:val="center"/>
              </w:trPr>
              <w:tc>
                <w:tcPr>
                  <w:tcW w:w="876" w:type="dxa"/>
                  <w:vMerge w:val="restart"/>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rPr>
                  </w:pPr>
                  <w:r>
                    <w:rPr>
                      <w:rFonts w:hint="eastAsia" w:ascii="Times New Roman" w:hAnsi="Times New Roman" w:cs="Times New Roman"/>
                      <w:b/>
                      <w:bCs/>
                      <w:color w:val="000000"/>
                      <w:sz w:val="21"/>
                      <w:szCs w:val="21"/>
                      <w:u w:val="single"/>
                      <w:lang w:val="en-US" w:eastAsia="zh-CN"/>
                    </w:rPr>
                    <w:t>W1潴泷河排污口上游500m</w:t>
                  </w: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kern w:val="2"/>
                      <w:sz w:val="21"/>
                      <w:szCs w:val="21"/>
                      <w:u w:val="single"/>
                      <w:lang w:val="en-US" w:eastAsia="zh-CN" w:bidi="ar-SA"/>
                    </w:rPr>
                    <w:t>pH（无量纲）</w:t>
                  </w:r>
                </w:p>
              </w:tc>
              <w:tc>
                <w:tcPr>
                  <w:tcW w:w="114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sz w:val="21"/>
                      <w:szCs w:val="21"/>
                      <w:highlight w:val="none"/>
                      <w:u w:val="single"/>
                      <w:lang w:val="en-US" w:eastAsia="zh-CN"/>
                    </w:rPr>
                    <w:t>8</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8.0</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0.5</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6-9</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9"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化学需氧量（mg/L）</w:t>
                  </w:r>
                </w:p>
              </w:tc>
              <w:tc>
                <w:tcPr>
                  <w:tcW w:w="114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sz w:val="21"/>
                      <w:szCs w:val="21"/>
                      <w:highlight w:val="none"/>
                      <w:u w:val="single"/>
                      <w:lang w:val="en-US" w:eastAsia="zh-CN"/>
                    </w:rPr>
                    <w:t>17~26</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20.7</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0.69</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0.86</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30</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5"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五日生化需氧量（mg/L）</w:t>
                  </w:r>
                </w:p>
              </w:tc>
              <w:tc>
                <w:tcPr>
                  <w:tcW w:w="114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sz w:val="21"/>
                      <w:szCs w:val="21"/>
                      <w:highlight w:val="none"/>
                      <w:u w:val="single"/>
                      <w:lang w:val="en-US" w:eastAsia="zh-CN"/>
                    </w:rPr>
                    <w:t>5.9~9.4</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7.6</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1.27</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1.57</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6</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超</w:t>
                  </w:r>
                  <w:r>
                    <w:rPr>
                      <w:rFonts w:hint="default" w:ascii="Times New Roman" w:hAnsi="Times New Roman" w:cs="Times New Roman"/>
                      <w:b/>
                      <w:bCs/>
                      <w:color w:val="000000"/>
                      <w:sz w:val="21"/>
                      <w:szCs w:val="21"/>
                      <w:u w:val="single"/>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3"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eastAsia="zh-CN"/>
                    </w:rPr>
                  </w:pPr>
                  <w:r>
                    <w:rPr>
                      <w:rFonts w:hint="eastAsia" w:ascii="Times New Roman" w:hAnsi="Times New Roman" w:cs="Times New Roman"/>
                      <w:b/>
                      <w:bCs/>
                      <w:color w:val="000000"/>
                      <w:sz w:val="21"/>
                      <w:szCs w:val="21"/>
                      <w:u w:val="single"/>
                      <w:lang w:val="en-US" w:eastAsia="zh-CN"/>
                    </w:rPr>
                    <w:t>悬浮物（mg/L）</w:t>
                  </w:r>
                </w:p>
              </w:tc>
              <w:tc>
                <w:tcPr>
                  <w:tcW w:w="114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sz w:val="21"/>
                      <w:szCs w:val="21"/>
                      <w:highlight w:val="none"/>
                      <w:u w:val="single"/>
                      <w:lang w:val="en-US" w:eastAsia="zh-CN"/>
                    </w:rPr>
                    <w:t>78~101</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87.0</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1.45</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1.68</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60</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超</w:t>
                  </w:r>
                  <w:r>
                    <w:rPr>
                      <w:rFonts w:hint="default" w:ascii="Times New Roman" w:hAnsi="Times New Roman" w:cs="Times New Roman"/>
                      <w:b/>
                      <w:bCs/>
                      <w:color w:val="000000"/>
                      <w:sz w:val="21"/>
                      <w:szCs w:val="21"/>
                      <w:u w:val="single"/>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6"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氨氮（mg/L）</w:t>
                  </w:r>
                </w:p>
              </w:tc>
              <w:tc>
                <w:tcPr>
                  <w:tcW w:w="114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bCs/>
                      <w:color w:val="auto"/>
                      <w:kern w:val="2"/>
                      <w:sz w:val="21"/>
                      <w:szCs w:val="21"/>
                      <w:highlight w:val="none"/>
                      <w:u w:val="single"/>
                      <w:lang w:val="en-US" w:eastAsia="zh-CN" w:bidi="ar-SA"/>
                    </w:rPr>
                  </w:pPr>
                  <w:r>
                    <w:rPr>
                      <w:rFonts w:hint="eastAsia" w:ascii="Times New Roman" w:hAnsi="Times New Roman" w:eastAsia="宋体" w:cs="Times New Roman"/>
                      <w:b/>
                      <w:bCs/>
                      <w:color w:val="auto"/>
                      <w:sz w:val="21"/>
                      <w:szCs w:val="21"/>
                      <w:highlight w:val="none"/>
                      <w:u w:val="single"/>
                      <w:lang w:val="en-US" w:eastAsia="zh-CN"/>
                    </w:rPr>
                    <w:t>0.75~1.39</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1.0</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0.67</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0.93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1.5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总磷</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0.26~0.36</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0.3</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1</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1.2</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超</w:t>
                  </w:r>
                  <w:r>
                    <w:rPr>
                      <w:rFonts w:hint="default" w:ascii="Times New Roman" w:hAnsi="Times New Roman" w:cs="Times New Roman"/>
                      <w:b/>
                      <w:bCs/>
                      <w:color w:val="000000"/>
                      <w:sz w:val="21"/>
                      <w:szCs w:val="21"/>
                      <w:u w:val="single"/>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总氮</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eastAsia"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4.56~4.83</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4.7</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3.1</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3.22</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1.5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超</w:t>
                  </w:r>
                  <w:r>
                    <w:rPr>
                      <w:rFonts w:hint="default" w:ascii="Times New Roman" w:hAnsi="Times New Roman" w:cs="Times New Roman"/>
                      <w:b/>
                      <w:bCs/>
                      <w:color w:val="000000"/>
                      <w:sz w:val="21"/>
                      <w:szCs w:val="21"/>
                      <w:u w:val="single"/>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挥发酚</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0.01</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7"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氟化物</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1~1.02</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1.0</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0.67</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0.68</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1.5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9"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氰化物</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0.2</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7"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硫化物</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六价铬</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阴离子表面活性剂</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石油类</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0.08~0.1</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0.1</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0.2</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0.2</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4" w:hRule="atLeast"/>
                <w:jc w:val="center"/>
              </w:trPr>
              <w:tc>
                <w:tcPr>
                  <w:tcW w:w="876" w:type="dxa"/>
                  <w:vMerge w:val="restart"/>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W2潴泷河排污口</w:t>
                  </w: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kern w:val="2"/>
                      <w:sz w:val="21"/>
                      <w:szCs w:val="21"/>
                      <w:u w:val="single"/>
                      <w:lang w:val="en-US" w:eastAsia="zh-CN" w:bidi="ar-SA"/>
                    </w:rPr>
                    <w:t>pH（无量纲）</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7.9</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7.9</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0.45</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0.45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6-9</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5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化学需氧量（mg/L）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7~13</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9.7</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0.32</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0.43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30</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五日生化需氧量（mg/L）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3.3~4.9</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3.9</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0.65</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0.82</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6</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4"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悬浮物（mg/L）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78~167</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121</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2.02</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2.78</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60</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氨氮（mg/L）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0.03~0.08</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0.05</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0.03</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0.053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1.5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7"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总磷</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0.14~0.19</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0.17</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0.57</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0.63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6"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总氮</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3.53~4.74</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4.3</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2.86</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3.16</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1.5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4"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挥发酚</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0.01</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7"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氟化物</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0.96~1.05</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1.0</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0.67</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0.7</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1.5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氰化物</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0.2</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硫化物</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六价铬</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7"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阴离子表面活性剂</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石油类</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0.07~0.1</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0.1</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0.2</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0.2</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6" w:hRule="atLeast"/>
                <w:jc w:val="center"/>
              </w:trPr>
              <w:tc>
                <w:tcPr>
                  <w:tcW w:w="876" w:type="dxa"/>
                  <w:vMerge w:val="restart"/>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W3潴泷河排污口下游1500m</w:t>
                  </w: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kern w:val="2"/>
                      <w:sz w:val="21"/>
                      <w:szCs w:val="21"/>
                      <w:u w:val="single"/>
                      <w:lang w:val="en-US" w:eastAsia="zh-CN" w:bidi="ar-SA"/>
                    </w:rPr>
                    <w:t>pH（无量纲）</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7.8~8.1</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7.9</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0.45</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0.55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6-9</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化学需氧量（mg/L）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12~15</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13</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0.43</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30</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五日生化需氧量（mg/L）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4.6~5.7</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5</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0.83</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0.95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6</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4"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悬浮物（mg/L）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70~91</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83.3</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1.39</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1.52</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60</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氨氮（mg/L）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0.06~1.03</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0.4</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0.27</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0.69</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1.5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4"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总磷</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0.13~0.28</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0.22</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0.73</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0.93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总氮</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3.57~4.91</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4.39</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2.93</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3.27</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1.5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3"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挥发酚</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0.01</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氟化物</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1.02~1.1</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1.06</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0.71</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0.73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1.5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4"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氰化物</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0.2</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3"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硫化物</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7"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六价铬</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阴离子表面活性剂</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ND</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0.3</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0" w:hRule="atLeast"/>
                <w:jc w:val="center"/>
              </w:trPr>
              <w:tc>
                <w:tcPr>
                  <w:tcW w:w="876" w:type="dxa"/>
                  <w:vMerge w:val="continue"/>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p>
              </w:tc>
              <w:tc>
                <w:tcPr>
                  <w:tcW w:w="257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bCs/>
                      <w:color w:val="000000"/>
                      <w:sz w:val="21"/>
                      <w:szCs w:val="21"/>
                      <w:u w:val="single"/>
                      <w:lang w:val="en-US" w:eastAsia="zh-CN"/>
                    </w:rPr>
                  </w:pPr>
                  <w:r>
                    <w:rPr>
                      <w:rFonts w:hint="eastAsia" w:ascii="Times New Roman" w:hAnsi="Times New Roman" w:eastAsia="宋体" w:cs="Times New Roman"/>
                      <w:b/>
                      <w:bCs/>
                      <w:color w:val="000000"/>
                      <w:sz w:val="21"/>
                      <w:szCs w:val="21"/>
                      <w:u w:val="single"/>
                      <w:lang w:val="en-US" w:eastAsia="zh-CN"/>
                    </w:rPr>
                    <w:t>石油类</w:t>
                  </w:r>
                  <w:r>
                    <w:rPr>
                      <w:rFonts w:hint="eastAsia" w:ascii="Times New Roman" w:hAnsi="Times New Roman" w:cs="Times New Roman"/>
                      <w:b/>
                      <w:bCs/>
                      <w:color w:val="000000"/>
                      <w:sz w:val="21"/>
                      <w:szCs w:val="21"/>
                      <w:u w:val="single"/>
                      <w:lang w:val="en-US" w:eastAsia="zh-CN"/>
                    </w:rPr>
                    <w:t>（mg/L）</w:t>
                  </w:r>
                </w:p>
              </w:tc>
              <w:tc>
                <w:tcPr>
                  <w:tcW w:w="1145"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0.06~0.07</w:t>
                  </w:r>
                </w:p>
              </w:tc>
              <w:tc>
                <w:tcPr>
                  <w:tcW w:w="788" w:type="dxa"/>
                  <w:tcBorders>
                    <w:tl2br w:val="nil"/>
                    <w:tr2bl w:val="nil"/>
                  </w:tcBorders>
                  <w:vAlign w:val="center"/>
                </w:tcPr>
                <w:p>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bCs/>
                      <w:color w:val="000000"/>
                      <w:kern w:val="2"/>
                      <w:sz w:val="21"/>
                      <w:szCs w:val="21"/>
                      <w:u w:val="single"/>
                      <w:lang w:val="en-US" w:eastAsia="zh-CN" w:bidi="ar-SA"/>
                    </w:rPr>
                  </w:pPr>
                  <w:r>
                    <w:rPr>
                      <w:rFonts w:hint="eastAsia" w:ascii="Times New Roman" w:hAnsi="Times New Roman" w:cs="Times New Roman"/>
                      <w:b/>
                      <w:bCs/>
                      <w:color w:val="000000"/>
                      <w:kern w:val="2"/>
                      <w:sz w:val="21"/>
                      <w:szCs w:val="21"/>
                      <w:u w:val="single"/>
                      <w:lang w:val="en-US" w:eastAsia="zh-CN" w:bidi="ar-SA"/>
                    </w:rPr>
                    <w:t>0.07</w:t>
                  </w:r>
                </w:p>
              </w:tc>
              <w:tc>
                <w:tcPr>
                  <w:tcW w:w="1214" w:type="dxa"/>
                  <w:tcBorders>
                    <w:tl2br w:val="nil"/>
                    <w:tr2bl w:val="nil"/>
                  </w:tcBorders>
                  <w:vAlign w:val="center"/>
                </w:tcPr>
                <w:p>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bCs/>
                      <w:color w:val="000000"/>
                      <w:kern w:val="2"/>
                      <w:sz w:val="21"/>
                      <w:szCs w:val="21"/>
                      <w:u w:val="single"/>
                      <w:lang w:val="en-US" w:eastAsia="zh-CN" w:bidi="ar-SA"/>
                    </w:rPr>
                  </w:pPr>
                  <w:r>
                    <w:rPr>
                      <w:rFonts w:hint="eastAsia" w:ascii="Times New Roman" w:hAnsi="Times New Roman" w:eastAsia="宋体" w:cs="Times New Roman"/>
                      <w:b/>
                      <w:bCs/>
                      <w:color w:val="000000"/>
                      <w:kern w:val="2"/>
                      <w:sz w:val="21"/>
                      <w:szCs w:val="21"/>
                      <w:u w:val="single"/>
                      <w:lang w:val="en-US" w:eastAsia="zh-CN" w:bidi="ar-SA"/>
                    </w:rPr>
                    <w:t>0.14</w:t>
                  </w:r>
                </w:p>
              </w:tc>
              <w:tc>
                <w:tcPr>
                  <w:tcW w:w="1138"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bCs/>
                      <w:color w:val="000000"/>
                      <w:sz w:val="21"/>
                      <w:szCs w:val="21"/>
                      <w:u w:val="single"/>
                      <w:lang w:val="en-US" w:eastAsia="zh-CN"/>
                    </w:rPr>
                  </w:pPr>
                  <w:r>
                    <w:rPr>
                      <w:rFonts w:hint="eastAsia" w:ascii="Times New Roman" w:hAnsi="Times New Roman" w:cs="Times New Roman"/>
                      <w:b/>
                      <w:bCs/>
                      <w:color w:val="000000"/>
                      <w:sz w:val="21"/>
                      <w:szCs w:val="21"/>
                      <w:u w:val="single"/>
                      <w:lang w:val="en-US" w:eastAsia="zh-CN"/>
                    </w:rPr>
                    <w:t>0.14</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bCs/>
                      <w:color w:val="000000"/>
                      <w:sz w:val="21"/>
                      <w:szCs w:val="21"/>
                      <w:u w:val="single"/>
                    </w:rPr>
                  </w:pPr>
                  <w:r>
                    <w:rPr>
                      <w:rFonts w:hint="eastAsia" w:ascii="Times New Roman" w:hAnsi="Times New Roman" w:cs="Times New Roman"/>
                      <w:b/>
                      <w:bCs/>
                      <w:color w:val="000000"/>
                      <w:sz w:val="21"/>
                      <w:szCs w:val="21"/>
                      <w:u w:val="single"/>
                      <w:lang w:val="en-US" w:eastAsia="zh-CN"/>
                    </w:rPr>
                    <w:t>0.5</w:t>
                  </w:r>
                </w:p>
              </w:tc>
              <w:tc>
                <w:tcPr>
                  <w:tcW w:w="800" w:type="dxa"/>
                  <w:tcBorders>
                    <w:tl2br w:val="nil"/>
                    <w:tr2bl w:val="nil"/>
                  </w:tcBorders>
                  <w:vAlign w:val="center"/>
                </w:tcPr>
                <w:p>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single"/>
                    </w:rPr>
                  </w:pPr>
                  <w:r>
                    <w:rPr>
                      <w:rFonts w:hint="default" w:ascii="Times New Roman" w:hAnsi="Times New Roman" w:cs="Times New Roman"/>
                      <w:b/>
                      <w:bCs/>
                      <w:color w:val="000000"/>
                      <w:sz w:val="21"/>
                      <w:szCs w:val="21"/>
                      <w:u w:val="single"/>
                    </w:rPr>
                    <w:t>达标</w:t>
                  </w:r>
                </w:p>
              </w:tc>
            </w:tr>
          </w:tbl>
          <w:p>
            <w:pPr>
              <w:widowControl/>
              <w:spacing w:line="520" w:lineRule="exact"/>
              <w:ind w:firstLine="482" w:firstLineChars="200"/>
              <w:jc w:val="left"/>
              <w:rPr>
                <w:rFonts w:hint="eastAsia" w:ascii="Times New Roman" w:hAnsi="Times New Roman" w:eastAsia="宋体" w:cs="Times New Roman"/>
                <w:b/>
                <w:bCs/>
                <w:color w:val="auto"/>
                <w:u w:val="single"/>
                <w:lang w:val="en-US" w:eastAsia="zh-CN" w:bidi="zh-CN"/>
              </w:rPr>
            </w:pPr>
            <w:r>
              <w:rPr>
                <w:rFonts w:hint="eastAsia" w:ascii="Times New Roman" w:hAnsi="Times New Roman" w:eastAsia="宋体" w:cs="Times New Roman"/>
                <w:b/>
                <w:bCs/>
                <w:color w:val="auto"/>
                <w:u w:val="single"/>
                <w:lang w:val="en-US" w:eastAsia="zh-CN" w:bidi="zh-CN"/>
              </w:rPr>
              <w:t>由上表可以看出W1潴泷河排污口上游500m断面五日生化需氧量、悬浮物、总磷、总氮超出《地表水环境质量标准》（GB3838-2002）</w:t>
            </w:r>
            <w:r>
              <w:rPr>
                <w:rFonts w:hint="default" w:ascii="Times New Roman" w:hAnsi="Times New Roman" w:eastAsia="宋体" w:cs="Times New Roman"/>
                <w:b/>
                <w:bCs/>
                <w:color w:val="auto"/>
                <w:u w:val="single"/>
                <w:lang w:val="en-US" w:eastAsia="zh-CN" w:bidi="zh-CN"/>
              </w:rPr>
              <w:t>Ⅳ</w:t>
            </w:r>
            <w:r>
              <w:rPr>
                <w:rFonts w:hint="eastAsia" w:ascii="Times New Roman" w:hAnsi="Times New Roman" w:eastAsia="宋体" w:cs="Times New Roman"/>
                <w:b/>
                <w:bCs/>
                <w:color w:val="auto"/>
                <w:u w:val="single"/>
                <w:lang w:val="en-US" w:eastAsia="zh-CN" w:bidi="zh-CN"/>
              </w:rPr>
              <w:t>类标准的要求，最大超标倍数分别为0.57、0.68、0.2、2.22；W2潴泷河排污口断面悬浮物、总氮超出《地表水环境质量标准》（GB3838-2002）</w:t>
            </w:r>
            <w:r>
              <w:rPr>
                <w:rFonts w:hint="default" w:ascii="Times New Roman" w:hAnsi="Times New Roman" w:eastAsia="宋体" w:cs="Times New Roman"/>
                <w:b/>
                <w:bCs/>
                <w:color w:val="auto"/>
                <w:u w:val="single"/>
                <w:lang w:val="en-US" w:eastAsia="zh-CN" w:bidi="zh-CN"/>
              </w:rPr>
              <w:t>Ⅳ</w:t>
            </w:r>
            <w:r>
              <w:rPr>
                <w:rFonts w:hint="eastAsia" w:ascii="Times New Roman" w:hAnsi="Times New Roman" w:eastAsia="宋体" w:cs="Times New Roman"/>
                <w:b/>
                <w:bCs/>
                <w:color w:val="auto"/>
                <w:u w:val="single"/>
                <w:lang w:val="en-US" w:eastAsia="zh-CN" w:bidi="zh-CN"/>
              </w:rPr>
              <w:t>类标准的要求，最大超标倍数分别为1.78、2.16；W3潴泷河排污口下游1500m断面悬浮物、总氮超出《地表水环境质量标准》（GB3838-2002）</w:t>
            </w:r>
            <w:r>
              <w:rPr>
                <w:rFonts w:hint="default" w:ascii="Times New Roman" w:hAnsi="Times New Roman" w:eastAsia="宋体" w:cs="Times New Roman"/>
                <w:b/>
                <w:bCs/>
                <w:color w:val="auto"/>
                <w:u w:val="single"/>
                <w:lang w:val="en-US" w:eastAsia="zh-CN" w:bidi="zh-CN"/>
              </w:rPr>
              <w:t>Ⅳ</w:t>
            </w:r>
            <w:r>
              <w:rPr>
                <w:rFonts w:hint="eastAsia" w:ascii="Times New Roman" w:hAnsi="Times New Roman" w:eastAsia="宋体" w:cs="Times New Roman"/>
                <w:b/>
                <w:bCs/>
                <w:color w:val="auto"/>
                <w:u w:val="single"/>
                <w:lang w:val="en-US" w:eastAsia="zh-CN" w:bidi="zh-CN"/>
              </w:rPr>
              <w:t>类标准的要求，最大超标倍数分别为0.52、2.27。超标原因是沿岸农业面源污染严重，上游及支流来水水质不稳定，内源污染呈加重趋势，局部河段泥位较深，天然径流匮乏，污净比较高，因此水质情况较差。</w:t>
            </w:r>
          </w:p>
          <w:p>
            <w:pPr>
              <w:widowControl/>
              <w:spacing w:line="520" w:lineRule="exact"/>
              <w:ind w:firstLine="480" w:firstLineChars="200"/>
              <w:jc w:val="left"/>
              <w:rPr>
                <w:rFonts w:hint="eastAsia" w:ascii="Times New Roman" w:hAnsi="Times New Roman" w:eastAsia="宋体" w:cs="Times New Roman"/>
                <w:color w:val="auto"/>
                <w:lang w:val="en-US" w:eastAsia="zh-CN" w:bidi="zh-CN"/>
              </w:rPr>
            </w:pPr>
            <w:r>
              <w:rPr>
                <w:rFonts w:hint="eastAsia" w:ascii="Times New Roman" w:hAnsi="Times New Roman" w:eastAsia="宋体" w:cs="Times New Roman"/>
                <w:color w:val="auto"/>
                <w:lang w:val="en-US" w:eastAsia="zh-CN" w:bidi="zh-CN"/>
              </w:rPr>
              <w:t>根据《濮阳市2025年碧水保卫战实施方案》，为完成国家、省下达的和市定的地表水环境质量年度目标任务及主要水污染物总量减排的目标，主要任务：</w:t>
            </w:r>
          </w:p>
          <w:p>
            <w:pPr>
              <w:widowControl/>
              <w:spacing w:line="520" w:lineRule="exact"/>
              <w:ind w:firstLine="480" w:firstLineChars="200"/>
              <w:jc w:val="left"/>
              <w:rPr>
                <w:rFonts w:hint="default" w:ascii="Times New Roman" w:hAnsi="Times New Roman" w:eastAsia="宋体" w:cs="Times New Roman"/>
                <w:color w:val="auto"/>
                <w:lang w:val="en-US" w:eastAsia="zh-CN" w:bidi="zh-CN"/>
              </w:rPr>
            </w:pPr>
            <w:r>
              <w:rPr>
                <w:rFonts w:hint="eastAsia" w:ascii="Times New Roman" w:hAnsi="Times New Roman" w:eastAsia="宋体" w:cs="Times New Roman"/>
                <w:color w:val="auto"/>
                <w:lang w:val="en-US" w:eastAsia="zh-CN" w:bidi="zh-CN"/>
              </w:rPr>
              <w:t>（1）实施黄河流域水环境综合治理；（2）持续强化重点领域治理能力综合提升；（3）持续加强饮用水水源保护；（4）持续开展城市黑臭水体排查整治；（5）持续推动河湖水资源水生态保护修复；（6）严格入河排污口监督管理；（7）持续提升水环境管理能力；（8）不断提升环境监督管理能力水平。通过一系列污染防治管控措施的落实，区域地表水环境质量将得到持续改善。</w:t>
            </w:r>
          </w:p>
          <w:p>
            <w:pPr>
              <w:widowControl/>
              <w:spacing w:line="520" w:lineRule="exact"/>
              <w:jc w:val="left"/>
              <w:rPr>
                <w:b/>
                <w:bCs/>
                <w:color w:val="auto"/>
                <w:lang w:bidi="zh-CN"/>
              </w:rPr>
            </w:pPr>
            <w:r>
              <w:rPr>
                <w:b/>
                <w:bCs/>
                <w:color w:val="auto"/>
                <w:lang w:bidi="zh-CN"/>
              </w:rPr>
              <w:t>3</w:t>
            </w:r>
            <w:r>
              <w:rPr>
                <w:rFonts w:hint="eastAsia"/>
                <w:b/>
                <w:bCs/>
                <w:color w:val="auto"/>
                <w:lang w:bidi="zh-CN"/>
              </w:rPr>
              <w:t>、声环境质量现状</w:t>
            </w:r>
          </w:p>
          <w:p>
            <w:pPr>
              <w:widowControl/>
              <w:spacing w:line="520" w:lineRule="exact"/>
              <w:ind w:firstLine="480" w:firstLineChars="200"/>
              <w:jc w:val="left"/>
              <w:rPr>
                <w:color w:val="auto"/>
                <w:lang w:bidi="zh-CN"/>
              </w:rPr>
            </w:pPr>
            <w:r>
              <w:rPr>
                <w:rFonts w:hint="eastAsia"/>
                <w:color w:val="auto"/>
                <w:lang w:bidi="zh-CN"/>
              </w:rPr>
              <w:t>厂界外周边</w:t>
            </w:r>
            <w:r>
              <w:rPr>
                <w:color w:val="auto"/>
                <w:lang w:bidi="zh-CN"/>
              </w:rPr>
              <w:t>50</w:t>
            </w:r>
            <w:r>
              <w:rPr>
                <w:rFonts w:hint="eastAsia"/>
                <w:color w:val="auto"/>
                <w:lang w:bidi="zh-CN"/>
              </w:rPr>
              <w:t>米范围内不存在声环境保护目标，无需监测。</w:t>
            </w:r>
          </w:p>
          <w:p>
            <w:pPr>
              <w:widowControl/>
              <w:spacing w:line="520" w:lineRule="exact"/>
              <w:ind w:firstLine="482" w:firstLineChars="200"/>
              <w:jc w:val="left"/>
              <w:rPr>
                <w:b/>
                <w:bCs/>
                <w:color w:val="auto"/>
                <w:lang w:bidi="zh-CN"/>
              </w:rPr>
            </w:pPr>
            <w:r>
              <w:rPr>
                <w:b/>
                <w:bCs/>
                <w:color w:val="auto"/>
                <w:lang w:bidi="zh-CN"/>
              </w:rPr>
              <w:t>4</w:t>
            </w:r>
            <w:r>
              <w:rPr>
                <w:rFonts w:hint="eastAsia"/>
                <w:b/>
                <w:bCs/>
                <w:color w:val="auto"/>
                <w:lang w:bidi="zh-CN"/>
              </w:rPr>
              <w:t>、生态环境质量现状</w:t>
            </w:r>
          </w:p>
          <w:p>
            <w:pPr>
              <w:widowControl/>
              <w:spacing w:line="520" w:lineRule="exact"/>
              <w:ind w:firstLine="480" w:firstLineChars="200"/>
              <w:jc w:val="left"/>
              <w:rPr>
                <w:color w:val="auto"/>
                <w:lang w:bidi="zh-CN"/>
              </w:rPr>
            </w:pPr>
            <w:r>
              <w:rPr>
                <w:rFonts w:hint="eastAsia"/>
                <w:color w:val="auto"/>
                <w:lang w:bidi="zh-CN"/>
              </w:rPr>
              <w:t>本项目位于清丰县先进制造业开发区内，区域天然植被几乎无残存，以人工种植植物为主，区域内未发现珍稀动物存在，附近无自然生态保护区，无需进行生态现状调查。</w:t>
            </w:r>
          </w:p>
          <w:p>
            <w:pPr>
              <w:widowControl/>
              <w:spacing w:line="520" w:lineRule="exact"/>
              <w:ind w:firstLine="482" w:firstLineChars="200"/>
              <w:jc w:val="left"/>
              <w:rPr>
                <w:b/>
                <w:bCs/>
                <w:color w:val="auto"/>
                <w:lang w:bidi="zh-CN"/>
              </w:rPr>
            </w:pPr>
            <w:r>
              <w:rPr>
                <w:b/>
                <w:bCs/>
                <w:color w:val="auto"/>
                <w:lang w:bidi="zh-CN"/>
              </w:rPr>
              <w:t>5</w:t>
            </w:r>
            <w:r>
              <w:rPr>
                <w:rFonts w:hint="eastAsia"/>
                <w:b/>
                <w:bCs/>
                <w:color w:val="auto"/>
                <w:lang w:bidi="zh-CN"/>
              </w:rPr>
              <w:t>、电磁辐射</w:t>
            </w:r>
          </w:p>
          <w:p>
            <w:pPr>
              <w:widowControl/>
              <w:spacing w:line="520" w:lineRule="exact"/>
              <w:ind w:firstLine="480" w:firstLineChars="200"/>
              <w:jc w:val="left"/>
              <w:rPr>
                <w:color w:val="auto"/>
                <w:lang w:bidi="zh-CN"/>
              </w:rPr>
            </w:pPr>
            <w:r>
              <w:rPr>
                <w:rFonts w:hint="eastAsia"/>
                <w:color w:val="auto"/>
                <w:lang w:bidi="zh-CN"/>
              </w:rPr>
              <w:t>无电磁辐射影响。</w:t>
            </w:r>
          </w:p>
          <w:p>
            <w:pPr>
              <w:widowControl/>
              <w:spacing w:line="520" w:lineRule="exact"/>
              <w:ind w:firstLine="482" w:firstLineChars="200"/>
              <w:jc w:val="left"/>
              <w:rPr>
                <w:b/>
                <w:bCs/>
                <w:color w:val="auto"/>
                <w:lang w:bidi="zh-CN"/>
              </w:rPr>
            </w:pPr>
            <w:r>
              <w:rPr>
                <w:b/>
                <w:bCs/>
                <w:color w:val="auto"/>
                <w:lang w:bidi="zh-CN"/>
              </w:rPr>
              <w:t>6</w:t>
            </w:r>
            <w:r>
              <w:rPr>
                <w:rFonts w:hint="eastAsia"/>
                <w:b/>
                <w:bCs/>
                <w:color w:val="auto"/>
                <w:lang w:bidi="zh-CN"/>
              </w:rPr>
              <w:t>、土壤、地下水环境</w:t>
            </w:r>
          </w:p>
          <w:p>
            <w:pPr>
              <w:spacing w:line="480" w:lineRule="exact"/>
              <w:ind w:firstLine="480" w:firstLineChars="200"/>
              <w:rPr>
                <w:color w:val="auto"/>
              </w:rPr>
            </w:pPr>
            <w:r>
              <w:rPr>
                <w:rFonts w:hint="eastAsia"/>
                <w:color w:val="auto"/>
                <w:lang w:bidi="zh-CN"/>
              </w:rPr>
              <w:t>根据《环境影响评价技术导则—土壤环境（试行）》（HJ964-2018）附录A，本项目家具制造属于制造业中“其他用品制造”中的</w:t>
            </w:r>
            <w:r>
              <w:rPr>
                <w:rFonts w:hint="eastAsia"/>
                <w:color w:val="auto"/>
                <w:lang w:val="en-US" w:bidi="zh-CN"/>
              </w:rPr>
              <w:t>其他类</w:t>
            </w:r>
            <w:r>
              <w:rPr>
                <w:rFonts w:hint="eastAsia"/>
                <w:color w:val="auto"/>
                <w:lang w:bidi="zh-CN"/>
              </w:rPr>
              <w:t>，属于</w:t>
            </w:r>
            <w:r>
              <w:rPr>
                <w:rFonts w:hint="eastAsia"/>
                <w:color w:val="auto"/>
                <w:lang w:val="en-US" w:bidi="zh-CN"/>
              </w:rPr>
              <w:t>Ⅲ</w:t>
            </w:r>
            <w:r>
              <w:rPr>
                <w:rFonts w:hint="eastAsia"/>
                <w:color w:val="auto"/>
                <w:lang w:bidi="zh-CN"/>
              </w:rPr>
              <w:t>类项目。项目占地面积</w:t>
            </w:r>
            <w:r>
              <w:rPr>
                <w:rFonts w:hint="eastAsia"/>
                <w:color w:val="auto"/>
                <w:lang w:val="en-US" w:bidi="zh-CN"/>
              </w:rPr>
              <w:t>98</w:t>
            </w:r>
            <w:r>
              <w:rPr>
                <w:rFonts w:hint="eastAsia"/>
                <w:color w:val="auto"/>
                <w:lang w:bidi="zh-CN"/>
              </w:rPr>
              <w:t>00</w:t>
            </w:r>
            <w:r>
              <w:rPr>
                <w:color w:val="auto"/>
                <w:lang w:bidi="zh-CN"/>
              </w:rPr>
              <w:t>m</w:t>
            </w:r>
            <w:r>
              <w:rPr>
                <w:color w:val="auto"/>
                <w:vertAlign w:val="superscript"/>
                <w:lang w:bidi="zh-CN"/>
              </w:rPr>
              <w:t>2</w:t>
            </w:r>
            <w:r>
              <w:rPr>
                <w:rFonts w:hint="eastAsia"/>
                <w:color w:val="auto"/>
                <w:lang w:bidi="zh-CN"/>
              </w:rPr>
              <w:t>，占地属于小型，且不敏感，故</w:t>
            </w:r>
            <w:r>
              <w:rPr>
                <w:rFonts w:hint="eastAsia"/>
                <w:color w:val="auto"/>
                <w:lang w:val="en-US" w:bidi="zh-CN"/>
              </w:rPr>
              <w:t>无需进行土壤</w:t>
            </w:r>
            <w:r>
              <w:rPr>
                <w:rFonts w:hint="eastAsia"/>
                <w:color w:val="auto"/>
                <w:lang w:bidi="zh-CN"/>
              </w:rPr>
              <w:t>评价。</w:t>
            </w:r>
          </w:p>
          <w:p>
            <w:pPr>
              <w:widowControl/>
              <w:spacing w:line="520" w:lineRule="exact"/>
              <w:ind w:firstLine="480" w:firstLineChars="200"/>
              <w:jc w:val="left"/>
              <w:rPr>
                <w:color w:val="auto"/>
              </w:rPr>
            </w:pPr>
            <w:r>
              <w:rPr>
                <w:rFonts w:hint="eastAsia"/>
                <w:color w:val="auto"/>
                <w:lang w:bidi="zh-CN"/>
              </w:rPr>
              <w:t>根据《环境影响评价技术导则—地下水环境》（HJ610-2016）的附录A地下水环境影响评价行业分类表对本项目类别进行判别，本项目属于附录A中“N轻工-109、锯材、木片加工、家具制造”的报告表项目，属于Ⅳ类项目。无需进行地下水评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378" w:hRule="atLeast"/>
          <w:jc w:val="center"/>
        </w:trPr>
        <w:tc>
          <w:tcPr>
            <w:tcW w:w="700" w:type="dxa"/>
            <w:tcBorders>
              <w:tl2br w:val="nil"/>
              <w:tr2bl w:val="nil"/>
            </w:tcBorders>
            <w:vAlign w:val="center"/>
          </w:tcPr>
          <w:p>
            <w:pPr>
              <w:jc w:val="center"/>
              <w:rPr>
                <w:rFonts w:ascii="宋体" w:hAnsi="宋体" w:cs="宋体"/>
                <w:b/>
                <w:bCs/>
                <w:color w:val="auto"/>
                <w:kern w:val="21"/>
                <w:szCs w:val="21"/>
              </w:rPr>
            </w:pPr>
            <w:r>
              <w:rPr>
                <w:rFonts w:hint="eastAsia" w:ascii="宋体" w:hAnsi="宋体" w:cs="宋体"/>
                <w:b/>
                <w:bCs/>
                <w:color w:val="auto"/>
                <w:kern w:val="21"/>
                <w:szCs w:val="21"/>
              </w:rPr>
              <w:t>环境保护目标</w:t>
            </w:r>
          </w:p>
        </w:tc>
        <w:tc>
          <w:tcPr>
            <w:tcW w:w="9565" w:type="dxa"/>
            <w:tcBorders>
              <w:tl2br w:val="nil"/>
              <w:tr2bl w:val="nil"/>
            </w:tcBorders>
          </w:tcPr>
          <w:p>
            <w:pPr>
              <w:widowControl/>
              <w:spacing w:line="520" w:lineRule="exact"/>
              <w:ind w:firstLine="480" w:firstLineChars="200"/>
              <w:jc w:val="left"/>
              <w:rPr>
                <w:color w:val="auto"/>
                <w:lang w:bidi="zh-CN"/>
              </w:rPr>
            </w:pPr>
            <w:r>
              <w:rPr>
                <w:rFonts w:hint="eastAsia"/>
                <w:color w:val="auto"/>
                <w:lang w:bidi="zh-CN"/>
              </w:rPr>
              <w:t>本项目位于河南省濮阳市清丰县先进制造业开发区东环路东侧、兴园路南侧2号车间，根据现场调查，本项目厂界外</w:t>
            </w:r>
            <w:r>
              <w:rPr>
                <w:color w:val="auto"/>
                <w:lang w:bidi="zh-CN"/>
              </w:rPr>
              <w:t>50m</w:t>
            </w:r>
            <w:r>
              <w:rPr>
                <w:rFonts w:hint="eastAsia"/>
                <w:color w:val="auto"/>
                <w:lang w:bidi="zh-CN"/>
              </w:rPr>
              <w:t>范围内无声环境敏感点，厂界外</w:t>
            </w:r>
            <w:r>
              <w:rPr>
                <w:color w:val="auto"/>
                <w:lang w:bidi="zh-CN"/>
              </w:rPr>
              <w:t>500m</w:t>
            </w:r>
            <w:r>
              <w:rPr>
                <w:rFonts w:hint="eastAsia"/>
                <w:color w:val="auto"/>
                <w:lang w:bidi="zh-CN"/>
              </w:rPr>
              <w:t>范围内无地下水集中式饮用水源和热水、矿泉水、温泉等特殊地下资源，根据《建设项目环境影响报告表编制技术指南》（污染影响类），本项目无须设置声环境保护目标、地下水环境保护目标及生态环境保护目标，厂界</w:t>
            </w:r>
            <w:r>
              <w:rPr>
                <w:color w:val="auto"/>
                <w:lang w:bidi="zh-CN"/>
              </w:rPr>
              <w:t>500m</w:t>
            </w:r>
            <w:r>
              <w:rPr>
                <w:rFonts w:hint="eastAsia"/>
                <w:color w:val="auto"/>
                <w:lang w:bidi="zh-CN"/>
              </w:rPr>
              <w:t>范围为企业，</w:t>
            </w:r>
            <w:r>
              <w:rPr>
                <w:rFonts w:hint="eastAsia"/>
                <w:color w:val="auto"/>
                <w:lang w:val="en-US" w:bidi="zh-CN"/>
              </w:rPr>
              <w:t>无</w:t>
            </w:r>
            <w:r>
              <w:rPr>
                <w:rFonts w:hint="eastAsia"/>
                <w:color w:val="auto"/>
                <w:lang w:bidi="zh-CN"/>
              </w:rPr>
              <w:t>大气环境保护目标，周边环境图详见附图</w:t>
            </w:r>
            <w:r>
              <w:rPr>
                <w:color w:val="auto"/>
                <w:lang w:bidi="zh-CN"/>
              </w:rPr>
              <w:t>2</w:t>
            </w:r>
            <w:r>
              <w:rPr>
                <w:rFonts w:hint="eastAsia"/>
                <w:color w:val="auto"/>
                <w:lang w:bidi="zh-CN"/>
              </w:rPr>
              <w:t>。</w:t>
            </w:r>
          </w:p>
          <w:p>
            <w:pPr>
              <w:widowControl/>
              <w:spacing w:line="520" w:lineRule="exact"/>
              <w:ind w:firstLine="480" w:firstLineChars="200"/>
              <w:jc w:val="left"/>
              <w:rPr>
                <w:color w:val="auto"/>
                <w:lang w:bidi="zh-CN"/>
              </w:rPr>
            </w:pPr>
            <w:r>
              <w:rPr>
                <w:rFonts w:hint="eastAsia"/>
                <w:color w:val="auto"/>
                <w:lang w:bidi="zh-CN"/>
              </w:rPr>
              <w:t>本项目主要环境保护目标见下表。</w:t>
            </w:r>
          </w:p>
          <w:p>
            <w:pPr>
              <w:widowControl/>
              <w:spacing w:line="520" w:lineRule="exact"/>
              <w:ind w:firstLine="482" w:firstLineChars="200"/>
              <w:jc w:val="center"/>
              <w:rPr>
                <w:rFonts w:hint="eastAsia"/>
                <w:b/>
                <w:bCs/>
                <w:color w:val="auto"/>
                <w:u w:val="none"/>
                <w:lang w:bidi="zh-CN"/>
              </w:rPr>
            </w:pPr>
            <w:r>
              <w:rPr>
                <w:rFonts w:hint="eastAsia"/>
                <w:b/>
                <w:bCs/>
                <w:color w:val="auto"/>
                <w:u w:val="none"/>
                <w:lang w:bidi="zh-CN"/>
              </w:rPr>
              <w:t>表3-</w:t>
            </w:r>
            <w:r>
              <w:rPr>
                <w:rFonts w:hint="eastAsia"/>
                <w:b/>
                <w:bCs/>
                <w:color w:val="auto"/>
                <w:u w:val="none"/>
                <w:lang w:val="en-US" w:eastAsia="zh-CN" w:bidi="zh-CN"/>
              </w:rPr>
              <w:t>7</w:t>
            </w:r>
            <w:r>
              <w:rPr>
                <w:rFonts w:hint="eastAsia"/>
                <w:b/>
                <w:bCs/>
                <w:color w:val="auto"/>
                <w:u w:val="none"/>
                <w:lang w:bidi="zh-CN"/>
              </w:rPr>
              <w:t xml:space="preserve"> </w:t>
            </w:r>
            <w:r>
              <w:rPr>
                <w:rFonts w:hint="eastAsia"/>
                <w:b/>
                <w:bCs/>
                <w:color w:val="auto"/>
                <w:u w:val="none"/>
                <w:lang w:val="en-US" w:eastAsia="zh-CN" w:bidi="zh-CN"/>
              </w:rPr>
              <w:t xml:space="preserve"> </w:t>
            </w:r>
            <w:r>
              <w:rPr>
                <w:rFonts w:hint="eastAsia"/>
                <w:b/>
                <w:bCs/>
                <w:color w:val="auto"/>
                <w:u w:val="none"/>
                <w:lang w:bidi="zh-CN"/>
              </w:rPr>
              <w:t>项目主要环境保护目标一览表</w:t>
            </w:r>
          </w:p>
          <w:tbl>
            <w:tblPr>
              <w:tblStyle w:val="22"/>
              <w:tblW w:w="93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19"/>
              <w:gridCol w:w="1810"/>
              <w:gridCol w:w="1706"/>
              <w:gridCol w:w="109"/>
              <w:gridCol w:w="1362"/>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393" w:hRule="atLeast"/>
                <w:tblHeader/>
              </w:trPr>
              <w:tc>
                <w:tcPr>
                  <w:tcW w:w="1719" w:type="dxa"/>
                  <w:tcBorders>
                    <w:tl2br w:val="nil"/>
                    <w:tr2bl w:val="nil"/>
                  </w:tcBorders>
                  <w:vAlign w:val="center"/>
                </w:tcPr>
                <w:p>
                  <w:pPr>
                    <w:jc w:val="center"/>
                    <w:rPr>
                      <w:b/>
                      <w:bCs w:val="0"/>
                      <w:color w:val="auto"/>
                      <w:sz w:val="21"/>
                      <w:szCs w:val="21"/>
                    </w:rPr>
                  </w:pPr>
                  <w:r>
                    <w:rPr>
                      <w:b/>
                      <w:bCs w:val="0"/>
                      <w:color w:val="auto"/>
                      <w:sz w:val="21"/>
                      <w:szCs w:val="21"/>
                    </w:rPr>
                    <w:t>类别</w:t>
                  </w:r>
                </w:p>
              </w:tc>
              <w:tc>
                <w:tcPr>
                  <w:tcW w:w="1810" w:type="dxa"/>
                  <w:tcBorders>
                    <w:tl2br w:val="nil"/>
                    <w:tr2bl w:val="nil"/>
                  </w:tcBorders>
                  <w:vAlign w:val="center"/>
                </w:tcPr>
                <w:p>
                  <w:pPr>
                    <w:jc w:val="center"/>
                    <w:rPr>
                      <w:b/>
                      <w:bCs w:val="0"/>
                      <w:color w:val="auto"/>
                      <w:sz w:val="21"/>
                      <w:szCs w:val="21"/>
                    </w:rPr>
                  </w:pPr>
                  <w:r>
                    <w:rPr>
                      <w:b/>
                      <w:bCs w:val="0"/>
                      <w:color w:val="auto"/>
                      <w:sz w:val="21"/>
                      <w:szCs w:val="21"/>
                    </w:rPr>
                    <w:t>区域</w:t>
                  </w:r>
                </w:p>
              </w:tc>
              <w:tc>
                <w:tcPr>
                  <w:tcW w:w="1706" w:type="dxa"/>
                  <w:tcBorders>
                    <w:tl2br w:val="nil"/>
                    <w:tr2bl w:val="nil"/>
                  </w:tcBorders>
                  <w:vAlign w:val="center"/>
                </w:tcPr>
                <w:p>
                  <w:pPr>
                    <w:jc w:val="center"/>
                    <w:rPr>
                      <w:b/>
                      <w:bCs w:val="0"/>
                      <w:color w:val="auto"/>
                      <w:sz w:val="21"/>
                      <w:szCs w:val="21"/>
                    </w:rPr>
                  </w:pPr>
                  <w:r>
                    <w:rPr>
                      <w:b/>
                      <w:bCs w:val="0"/>
                      <w:color w:val="auto"/>
                      <w:sz w:val="21"/>
                      <w:szCs w:val="21"/>
                    </w:rPr>
                    <w:t>名称</w:t>
                  </w:r>
                </w:p>
              </w:tc>
              <w:tc>
                <w:tcPr>
                  <w:tcW w:w="1471" w:type="dxa"/>
                  <w:gridSpan w:val="2"/>
                  <w:tcBorders>
                    <w:tl2br w:val="nil"/>
                    <w:tr2bl w:val="nil"/>
                  </w:tcBorders>
                  <w:vAlign w:val="center"/>
                </w:tcPr>
                <w:p>
                  <w:pPr>
                    <w:jc w:val="center"/>
                    <w:rPr>
                      <w:b/>
                      <w:bCs w:val="0"/>
                      <w:color w:val="auto"/>
                      <w:sz w:val="21"/>
                      <w:szCs w:val="21"/>
                    </w:rPr>
                  </w:pPr>
                  <w:r>
                    <w:rPr>
                      <w:b/>
                      <w:bCs w:val="0"/>
                      <w:color w:val="auto"/>
                      <w:sz w:val="21"/>
                      <w:szCs w:val="21"/>
                    </w:rPr>
                    <w:t>相对方位</w:t>
                  </w:r>
                </w:p>
              </w:tc>
              <w:tc>
                <w:tcPr>
                  <w:tcW w:w="2624" w:type="dxa"/>
                  <w:tcBorders>
                    <w:tl2br w:val="nil"/>
                    <w:tr2bl w:val="nil"/>
                  </w:tcBorders>
                  <w:vAlign w:val="center"/>
                </w:tcPr>
                <w:p>
                  <w:pPr>
                    <w:jc w:val="center"/>
                    <w:rPr>
                      <w:b/>
                      <w:bCs w:val="0"/>
                      <w:color w:val="auto"/>
                      <w:sz w:val="21"/>
                      <w:szCs w:val="21"/>
                    </w:rPr>
                  </w:pPr>
                  <w:r>
                    <w:rPr>
                      <w:b/>
                      <w:bCs w:val="0"/>
                      <w:color w:val="auto"/>
                      <w:sz w:val="21"/>
                      <w:szCs w:val="21"/>
                    </w:rPr>
                    <w:t>相对距离/m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374" w:hRule="atLeast"/>
                <w:tblHeader/>
              </w:trPr>
              <w:tc>
                <w:tcPr>
                  <w:tcW w:w="1719" w:type="dxa"/>
                  <w:tcBorders>
                    <w:tl2br w:val="nil"/>
                    <w:tr2bl w:val="nil"/>
                  </w:tcBorders>
                  <w:vAlign w:val="center"/>
                </w:tcPr>
                <w:p>
                  <w:pPr>
                    <w:jc w:val="center"/>
                    <w:rPr>
                      <w:color w:val="auto"/>
                      <w:sz w:val="21"/>
                      <w:szCs w:val="21"/>
                    </w:rPr>
                  </w:pPr>
                  <w:r>
                    <w:rPr>
                      <w:bCs/>
                      <w:color w:val="auto"/>
                      <w:sz w:val="21"/>
                      <w:szCs w:val="21"/>
                    </w:rPr>
                    <w:t>大气环境</w:t>
                  </w:r>
                </w:p>
              </w:tc>
              <w:tc>
                <w:tcPr>
                  <w:tcW w:w="1810" w:type="dxa"/>
                  <w:tcBorders>
                    <w:tl2br w:val="nil"/>
                    <w:tr2bl w:val="nil"/>
                  </w:tcBorders>
                  <w:vAlign w:val="center"/>
                </w:tcPr>
                <w:p>
                  <w:pPr>
                    <w:jc w:val="center"/>
                    <w:rPr>
                      <w:bCs/>
                      <w:color w:val="auto"/>
                      <w:sz w:val="21"/>
                      <w:szCs w:val="21"/>
                    </w:rPr>
                  </w:pPr>
                  <w:r>
                    <w:rPr>
                      <w:bCs/>
                      <w:color w:val="auto"/>
                      <w:sz w:val="21"/>
                      <w:szCs w:val="21"/>
                    </w:rPr>
                    <w:t>≤500m</w:t>
                  </w:r>
                </w:p>
              </w:tc>
              <w:tc>
                <w:tcPr>
                  <w:tcW w:w="5801" w:type="dxa"/>
                  <w:gridSpan w:val="4"/>
                  <w:tcBorders>
                    <w:tl2br w:val="nil"/>
                    <w:tr2bl w:val="nil"/>
                  </w:tcBorders>
                  <w:vAlign w:val="center"/>
                </w:tcPr>
                <w:p>
                  <w:pPr>
                    <w:jc w:val="center"/>
                    <w:rPr>
                      <w:rFonts w:hint="eastAsia" w:eastAsia="宋体"/>
                      <w:bCs/>
                      <w:color w:val="auto"/>
                      <w:sz w:val="21"/>
                      <w:szCs w:val="21"/>
                      <w:lang w:val="en-US" w:eastAsia="zh-CN"/>
                    </w:rPr>
                  </w:pPr>
                  <w:r>
                    <w:rPr>
                      <w:rFonts w:hint="eastAsia"/>
                      <w:bCs/>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374" w:hRule="atLeast"/>
                <w:tblHeader/>
              </w:trPr>
              <w:tc>
                <w:tcPr>
                  <w:tcW w:w="1719" w:type="dxa"/>
                  <w:vMerge w:val="restart"/>
                  <w:tcBorders>
                    <w:tl2br w:val="nil"/>
                    <w:tr2bl w:val="nil"/>
                  </w:tcBorders>
                  <w:vAlign w:val="center"/>
                </w:tcPr>
                <w:p>
                  <w:pPr>
                    <w:jc w:val="center"/>
                    <w:rPr>
                      <w:rFonts w:hint="eastAsia" w:eastAsia="宋体"/>
                      <w:bCs/>
                      <w:color w:val="auto"/>
                      <w:sz w:val="21"/>
                      <w:szCs w:val="21"/>
                      <w:lang w:val="en-US" w:eastAsia="zh-CN"/>
                    </w:rPr>
                  </w:pPr>
                  <w:r>
                    <w:rPr>
                      <w:rFonts w:hint="eastAsia"/>
                      <w:bCs/>
                      <w:color w:val="auto"/>
                      <w:sz w:val="21"/>
                      <w:szCs w:val="21"/>
                      <w:lang w:val="en-US" w:eastAsia="zh-CN"/>
                    </w:rPr>
                    <w:t>地表水</w:t>
                  </w:r>
                </w:p>
              </w:tc>
              <w:tc>
                <w:tcPr>
                  <w:tcW w:w="1810" w:type="dxa"/>
                  <w:tcBorders>
                    <w:tl2br w:val="nil"/>
                    <w:tr2bl w:val="nil"/>
                  </w:tcBorders>
                  <w:vAlign w:val="center"/>
                </w:tcPr>
                <w:p>
                  <w:pPr>
                    <w:jc w:val="center"/>
                    <w:rPr>
                      <w:rFonts w:hint="eastAsia" w:eastAsia="宋体"/>
                      <w:bCs/>
                      <w:color w:val="auto"/>
                      <w:sz w:val="21"/>
                      <w:szCs w:val="21"/>
                      <w:lang w:val="en-US" w:eastAsia="zh-CN"/>
                    </w:rPr>
                  </w:pPr>
                  <w:r>
                    <w:rPr>
                      <w:rFonts w:hint="eastAsia"/>
                      <w:bCs/>
                      <w:color w:val="auto"/>
                      <w:sz w:val="21"/>
                      <w:szCs w:val="21"/>
                      <w:lang w:val="en-US" w:eastAsia="zh-CN"/>
                    </w:rPr>
                    <w:t>/</w:t>
                  </w:r>
                </w:p>
              </w:tc>
              <w:tc>
                <w:tcPr>
                  <w:tcW w:w="1815" w:type="dxa"/>
                  <w:gridSpan w:val="2"/>
                  <w:tcBorders>
                    <w:tl2br w:val="nil"/>
                    <w:tr2bl w:val="nil"/>
                  </w:tcBorders>
                  <w:vAlign w:val="center"/>
                </w:tcPr>
                <w:p>
                  <w:pPr>
                    <w:jc w:val="center"/>
                    <w:rPr>
                      <w:rFonts w:hint="default"/>
                      <w:bCs/>
                      <w:color w:val="auto"/>
                      <w:sz w:val="21"/>
                      <w:szCs w:val="21"/>
                      <w:lang w:val="en-US" w:eastAsia="zh-CN"/>
                    </w:rPr>
                  </w:pPr>
                  <w:r>
                    <w:rPr>
                      <w:rFonts w:hint="eastAsia"/>
                      <w:bCs/>
                      <w:color w:val="auto"/>
                      <w:sz w:val="21"/>
                      <w:szCs w:val="21"/>
                      <w:lang w:val="en-US" w:eastAsia="zh-CN"/>
                    </w:rPr>
                    <w:t>潴泷河</w:t>
                  </w:r>
                </w:p>
              </w:tc>
              <w:tc>
                <w:tcPr>
                  <w:tcW w:w="1362" w:type="dxa"/>
                  <w:tcBorders>
                    <w:tl2br w:val="nil"/>
                    <w:tr2bl w:val="nil"/>
                  </w:tcBorders>
                  <w:vAlign w:val="center"/>
                </w:tcPr>
                <w:p>
                  <w:pPr>
                    <w:jc w:val="center"/>
                    <w:rPr>
                      <w:rFonts w:hint="default"/>
                      <w:bCs/>
                      <w:color w:val="auto"/>
                      <w:sz w:val="21"/>
                      <w:szCs w:val="21"/>
                      <w:lang w:val="en-US" w:eastAsia="zh-CN"/>
                    </w:rPr>
                  </w:pPr>
                  <w:r>
                    <w:rPr>
                      <w:rFonts w:hint="eastAsia"/>
                      <w:bCs/>
                      <w:color w:val="auto"/>
                      <w:sz w:val="21"/>
                      <w:szCs w:val="21"/>
                      <w:lang w:val="en-US" w:eastAsia="zh-CN"/>
                    </w:rPr>
                    <w:t>E</w:t>
                  </w:r>
                </w:p>
              </w:tc>
              <w:tc>
                <w:tcPr>
                  <w:tcW w:w="2624" w:type="dxa"/>
                  <w:tcBorders>
                    <w:tl2br w:val="nil"/>
                    <w:tr2bl w:val="nil"/>
                  </w:tcBorders>
                  <w:vAlign w:val="center"/>
                </w:tcPr>
                <w:p>
                  <w:pPr>
                    <w:jc w:val="center"/>
                    <w:rPr>
                      <w:rFonts w:hint="default"/>
                      <w:bCs/>
                      <w:color w:val="auto"/>
                      <w:sz w:val="21"/>
                      <w:szCs w:val="21"/>
                      <w:lang w:val="en-US" w:eastAsia="zh-CN"/>
                    </w:rPr>
                  </w:pPr>
                  <w:r>
                    <w:rPr>
                      <w:rFonts w:hint="eastAsia"/>
                      <w:bCs/>
                      <w:color w:val="auto"/>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374" w:hRule="atLeast"/>
                <w:tblHeader/>
              </w:trPr>
              <w:tc>
                <w:tcPr>
                  <w:tcW w:w="1719" w:type="dxa"/>
                  <w:vMerge w:val="continue"/>
                  <w:tcBorders>
                    <w:tl2br w:val="nil"/>
                    <w:tr2bl w:val="nil"/>
                  </w:tcBorders>
                  <w:vAlign w:val="center"/>
                </w:tcPr>
                <w:p>
                  <w:pPr>
                    <w:jc w:val="center"/>
                    <w:rPr>
                      <w:bCs/>
                      <w:color w:val="auto"/>
                      <w:sz w:val="21"/>
                      <w:szCs w:val="21"/>
                    </w:rPr>
                  </w:pPr>
                </w:p>
              </w:tc>
              <w:tc>
                <w:tcPr>
                  <w:tcW w:w="1810" w:type="dxa"/>
                  <w:tcBorders>
                    <w:tl2br w:val="nil"/>
                    <w:tr2bl w:val="nil"/>
                  </w:tcBorders>
                  <w:vAlign w:val="center"/>
                </w:tcPr>
                <w:p>
                  <w:pPr>
                    <w:jc w:val="center"/>
                    <w:rPr>
                      <w:rFonts w:hint="eastAsia" w:eastAsia="宋体"/>
                      <w:bCs/>
                      <w:color w:val="auto"/>
                      <w:sz w:val="21"/>
                      <w:szCs w:val="21"/>
                      <w:lang w:val="en-US" w:eastAsia="zh-CN"/>
                    </w:rPr>
                  </w:pPr>
                  <w:r>
                    <w:rPr>
                      <w:rFonts w:hint="eastAsia"/>
                      <w:bCs/>
                      <w:color w:val="auto"/>
                      <w:sz w:val="21"/>
                      <w:szCs w:val="21"/>
                      <w:lang w:val="en-US" w:eastAsia="zh-CN"/>
                    </w:rPr>
                    <w:t>/</w:t>
                  </w:r>
                </w:p>
              </w:tc>
              <w:tc>
                <w:tcPr>
                  <w:tcW w:w="1815" w:type="dxa"/>
                  <w:gridSpan w:val="2"/>
                  <w:tcBorders>
                    <w:tl2br w:val="nil"/>
                    <w:tr2bl w:val="nil"/>
                  </w:tcBorders>
                  <w:vAlign w:val="center"/>
                </w:tcPr>
                <w:p>
                  <w:pPr>
                    <w:jc w:val="center"/>
                    <w:rPr>
                      <w:rFonts w:hint="default"/>
                      <w:bCs/>
                      <w:color w:val="auto"/>
                      <w:sz w:val="21"/>
                      <w:szCs w:val="21"/>
                      <w:lang w:val="en-US" w:eastAsia="zh-CN"/>
                    </w:rPr>
                  </w:pPr>
                  <w:r>
                    <w:rPr>
                      <w:rFonts w:hint="eastAsia"/>
                      <w:bCs/>
                      <w:color w:val="auto"/>
                      <w:sz w:val="21"/>
                      <w:szCs w:val="21"/>
                      <w:lang w:val="en-US" w:eastAsia="zh-CN"/>
                    </w:rPr>
                    <w:t>马颊河</w:t>
                  </w:r>
                </w:p>
              </w:tc>
              <w:tc>
                <w:tcPr>
                  <w:tcW w:w="1362" w:type="dxa"/>
                  <w:tcBorders>
                    <w:tl2br w:val="nil"/>
                    <w:tr2bl w:val="nil"/>
                  </w:tcBorders>
                  <w:vAlign w:val="center"/>
                </w:tcPr>
                <w:p>
                  <w:pPr>
                    <w:jc w:val="center"/>
                    <w:rPr>
                      <w:rFonts w:hint="default"/>
                      <w:bCs/>
                      <w:color w:val="auto"/>
                      <w:sz w:val="21"/>
                      <w:szCs w:val="21"/>
                      <w:lang w:val="en-US" w:eastAsia="zh-CN"/>
                    </w:rPr>
                  </w:pPr>
                  <w:r>
                    <w:rPr>
                      <w:rFonts w:hint="eastAsia"/>
                      <w:bCs/>
                      <w:color w:val="auto"/>
                      <w:sz w:val="21"/>
                      <w:szCs w:val="21"/>
                      <w:lang w:val="en-US" w:eastAsia="zh-CN"/>
                    </w:rPr>
                    <w:t>W</w:t>
                  </w:r>
                </w:p>
              </w:tc>
              <w:tc>
                <w:tcPr>
                  <w:tcW w:w="2624" w:type="dxa"/>
                  <w:tcBorders>
                    <w:tl2br w:val="nil"/>
                    <w:tr2bl w:val="nil"/>
                  </w:tcBorders>
                  <w:vAlign w:val="center"/>
                </w:tcPr>
                <w:p>
                  <w:pPr>
                    <w:jc w:val="center"/>
                    <w:rPr>
                      <w:rFonts w:hint="default"/>
                      <w:bCs/>
                      <w:color w:val="auto"/>
                      <w:sz w:val="21"/>
                      <w:szCs w:val="21"/>
                      <w:lang w:val="en-US" w:eastAsia="zh-CN"/>
                    </w:rPr>
                  </w:pPr>
                  <w:r>
                    <w:rPr>
                      <w:rFonts w:hint="eastAsia"/>
                      <w:bCs/>
                      <w:color w:val="auto"/>
                      <w:sz w:val="21"/>
                      <w:szCs w:val="21"/>
                      <w:lang w:val="en-US" w:eastAsia="zh-CN"/>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393" w:hRule="atLeast"/>
                <w:tblHeader/>
              </w:trPr>
              <w:tc>
                <w:tcPr>
                  <w:tcW w:w="1719" w:type="dxa"/>
                  <w:tcBorders>
                    <w:tl2br w:val="nil"/>
                    <w:tr2bl w:val="nil"/>
                  </w:tcBorders>
                  <w:vAlign w:val="center"/>
                </w:tcPr>
                <w:p>
                  <w:pPr>
                    <w:jc w:val="center"/>
                    <w:rPr>
                      <w:color w:val="auto"/>
                      <w:sz w:val="21"/>
                      <w:szCs w:val="21"/>
                    </w:rPr>
                  </w:pPr>
                  <w:r>
                    <w:rPr>
                      <w:bCs/>
                      <w:color w:val="auto"/>
                      <w:sz w:val="21"/>
                      <w:szCs w:val="21"/>
                    </w:rPr>
                    <w:t>声环境</w:t>
                  </w:r>
                </w:p>
              </w:tc>
              <w:tc>
                <w:tcPr>
                  <w:tcW w:w="1810" w:type="dxa"/>
                  <w:tcBorders>
                    <w:tl2br w:val="nil"/>
                    <w:tr2bl w:val="nil"/>
                  </w:tcBorders>
                  <w:vAlign w:val="center"/>
                </w:tcPr>
                <w:p>
                  <w:pPr>
                    <w:jc w:val="center"/>
                    <w:rPr>
                      <w:bCs/>
                      <w:color w:val="auto"/>
                      <w:sz w:val="21"/>
                      <w:szCs w:val="21"/>
                    </w:rPr>
                  </w:pPr>
                  <w:r>
                    <w:rPr>
                      <w:bCs/>
                      <w:color w:val="auto"/>
                      <w:sz w:val="21"/>
                      <w:szCs w:val="21"/>
                    </w:rPr>
                    <w:t>≤50m</w:t>
                  </w:r>
                </w:p>
              </w:tc>
              <w:tc>
                <w:tcPr>
                  <w:tcW w:w="5801" w:type="dxa"/>
                  <w:gridSpan w:val="4"/>
                  <w:tcBorders>
                    <w:tl2br w:val="nil"/>
                    <w:tr2bl w:val="nil"/>
                  </w:tcBorders>
                  <w:vAlign w:val="center"/>
                </w:tcPr>
                <w:p>
                  <w:pPr>
                    <w:jc w:val="center"/>
                    <w:rPr>
                      <w:bCs/>
                      <w:color w:val="auto"/>
                      <w:sz w:val="21"/>
                      <w:szCs w:val="21"/>
                    </w:rPr>
                  </w:pPr>
                  <w:r>
                    <w:rPr>
                      <w:bCs/>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374" w:hRule="atLeast"/>
              </w:trPr>
              <w:tc>
                <w:tcPr>
                  <w:tcW w:w="1719" w:type="dxa"/>
                  <w:tcBorders>
                    <w:tl2br w:val="nil"/>
                    <w:tr2bl w:val="nil"/>
                  </w:tcBorders>
                  <w:vAlign w:val="center"/>
                </w:tcPr>
                <w:p>
                  <w:pPr>
                    <w:jc w:val="center"/>
                    <w:rPr>
                      <w:color w:val="auto"/>
                      <w:sz w:val="21"/>
                      <w:szCs w:val="21"/>
                    </w:rPr>
                  </w:pPr>
                  <w:r>
                    <w:rPr>
                      <w:bCs/>
                      <w:color w:val="auto"/>
                      <w:sz w:val="21"/>
                      <w:szCs w:val="21"/>
                    </w:rPr>
                    <w:t>地下水环境</w:t>
                  </w:r>
                </w:p>
              </w:tc>
              <w:tc>
                <w:tcPr>
                  <w:tcW w:w="1810" w:type="dxa"/>
                  <w:tcBorders>
                    <w:tl2br w:val="nil"/>
                    <w:tr2bl w:val="nil"/>
                  </w:tcBorders>
                  <w:vAlign w:val="center"/>
                </w:tcPr>
                <w:p>
                  <w:pPr>
                    <w:jc w:val="center"/>
                    <w:rPr>
                      <w:bCs/>
                      <w:color w:val="auto"/>
                      <w:sz w:val="21"/>
                      <w:szCs w:val="21"/>
                    </w:rPr>
                  </w:pPr>
                  <w:r>
                    <w:rPr>
                      <w:bCs/>
                      <w:color w:val="auto"/>
                      <w:sz w:val="21"/>
                      <w:szCs w:val="21"/>
                    </w:rPr>
                    <w:t>≤500m</w:t>
                  </w:r>
                </w:p>
              </w:tc>
              <w:tc>
                <w:tcPr>
                  <w:tcW w:w="5801" w:type="dxa"/>
                  <w:gridSpan w:val="4"/>
                  <w:tcBorders>
                    <w:tl2br w:val="nil"/>
                    <w:tr2bl w:val="nil"/>
                  </w:tcBorders>
                  <w:vAlign w:val="center"/>
                </w:tcPr>
                <w:p>
                  <w:pPr>
                    <w:jc w:val="center"/>
                    <w:rPr>
                      <w:bCs/>
                      <w:color w:val="auto"/>
                      <w:sz w:val="21"/>
                      <w:szCs w:val="21"/>
                    </w:rPr>
                  </w:pPr>
                  <w:r>
                    <w:rPr>
                      <w:bCs/>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658" w:hRule="atLeast"/>
              </w:trPr>
              <w:tc>
                <w:tcPr>
                  <w:tcW w:w="1719" w:type="dxa"/>
                  <w:tcBorders>
                    <w:tl2br w:val="nil"/>
                    <w:tr2bl w:val="nil"/>
                  </w:tcBorders>
                  <w:vAlign w:val="center"/>
                </w:tcPr>
                <w:p>
                  <w:pPr>
                    <w:jc w:val="center"/>
                    <w:rPr>
                      <w:color w:val="auto"/>
                      <w:sz w:val="21"/>
                      <w:szCs w:val="21"/>
                    </w:rPr>
                  </w:pPr>
                  <w:r>
                    <w:rPr>
                      <w:bCs/>
                      <w:color w:val="auto"/>
                      <w:sz w:val="21"/>
                      <w:szCs w:val="21"/>
                    </w:rPr>
                    <w:t>生态环境</w:t>
                  </w:r>
                </w:p>
              </w:tc>
              <w:tc>
                <w:tcPr>
                  <w:tcW w:w="1810" w:type="dxa"/>
                  <w:tcBorders>
                    <w:tl2br w:val="nil"/>
                    <w:tr2bl w:val="nil"/>
                  </w:tcBorders>
                  <w:vAlign w:val="center"/>
                </w:tcPr>
                <w:p>
                  <w:pPr>
                    <w:jc w:val="center"/>
                    <w:rPr>
                      <w:bCs/>
                      <w:color w:val="auto"/>
                      <w:sz w:val="21"/>
                      <w:szCs w:val="21"/>
                    </w:rPr>
                  </w:pPr>
                  <w:r>
                    <w:rPr>
                      <w:bCs/>
                      <w:color w:val="auto"/>
                      <w:sz w:val="21"/>
                      <w:szCs w:val="21"/>
                    </w:rPr>
                    <w:t>产业园区外新增用地范围内</w:t>
                  </w:r>
                </w:p>
              </w:tc>
              <w:tc>
                <w:tcPr>
                  <w:tcW w:w="5801" w:type="dxa"/>
                  <w:gridSpan w:val="4"/>
                  <w:tcBorders>
                    <w:tl2br w:val="nil"/>
                    <w:tr2bl w:val="nil"/>
                  </w:tcBorders>
                  <w:vAlign w:val="center"/>
                </w:tcPr>
                <w:p>
                  <w:pPr>
                    <w:jc w:val="center"/>
                    <w:rPr>
                      <w:bCs/>
                      <w:color w:val="auto"/>
                      <w:sz w:val="21"/>
                      <w:szCs w:val="21"/>
                    </w:rPr>
                  </w:pPr>
                  <w:r>
                    <w:rPr>
                      <w:bCs/>
                      <w:color w:val="auto"/>
                      <w:sz w:val="21"/>
                      <w:szCs w:val="21"/>
                    </w:rPr>
                    <w:t>无</w:t>
                  </w:r>
                </w:p>
              </w:tc>
            </w:tr>
          </w:tbl>
          <w:p>
            <w:pPr>
              <w:pStyle w:val="25"/>
              <w:spacing w:before="5" w:line="360" w:lineRule="auto"/>
              <w:jc w:val="both"/>
              <w:rPr>
                <w:rFonts w:ascii="Times New Roman" w:hAnsi="Times New Roman" w:cs="Times New Roman"/>
                <w:color w:val="auto"/>
                <w:lang w:val="en-U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687" w:hRule="atLeast"/>
          <w:jc w:val="center"/>
        </w:trPr>
        <w:tc>
          <w:tcPr>
            <w:tcW w:w="700" w:type="dxa"/>
            <w:tcBorders>
              <w:tl2br w:val="nil"/>
              <w:tr2bl w:val="nil"/>
            </w:tcBorders>
            <w:vAlign w:val="center"/>
          </w:tcPr>
          <w:p>
            <w:pPr>
              <w:jc w:val="center"/>
              <w:rPr>
                <w:rFonts w:ascii="宋体" w:hAnsi="宋体" w:cs="宋体"/>
                <w:b/>
                <w:bCs/>
                <w:color w:val="auto"/>
                <w:kern w:val="21"/>
                <w:szCs w:val="21"/>
              </w:rPr>
            </w:pPr>
            <w:r>
              <w:rPr>
                <w:rFonts w:hint="eastAsia" w:ascii="宋体" w:hAnsi="宋体" w:cs="宋体"/>
                <w:b/>
                <w:bCs/>
                <w:color w:val="auto"/>
                <w:kern w:val="21"/>
                <w:szCs w:val="21"/>
              </w:rPr>
              <w:t>污染物排放控制标准</w:t>
            </w:r>
          </w:p>
        </w:tc>
        <w:tc>
          <w:tcPr>
            <w:tcW w:w="9565" w:type="dxa"/>
            <w:tcBorders>
              <w:tl2br w:val="nil"/>
              <w:tr2bl w:val="nil"/>
            </w:tcBorders>
          </w:tcPr>
          <w:p>
            <w:pPr>
              <w:widowControl/>
              <w:spacing w:line="520" w:lineRule="exact"/>
              <w:ind w:firstLine="480" w:firstLineChars="200"/>
              <w:jc w:val="left"/>
              <w:rPr>
                <w:color w:val="auto"/>
                <w:lang w:bidi="zh-CN"/>
              </w:rPr>
            </w:pPr>
            <w:r>
              <w:rPr>
                <w:color w:val="auto"/>
                <w:lang w:bidi="zh-CN"/>
              </w:rPr>
              <w:t>1</w:t>
            </w:r>
            <w:r>
              <w:rPr>
                <w:rFonts w:hint="eastAsia"/>
                <w:color w:val="auto"/>
                <w:lang w:bidi="zh-CN"/>
              </w:rPr>
              <w:t>、废气</w:t>
            </w:r>
          </w:p>
          <w:p>
            <w:pPr>
              <w:widowControl/>
              <w:spacing w:line="520" w:lineRule="exact"/>
              <w:ind w:firstLine="480" w:firstLineChars="200"/>
              <w:jc w:val="left"/>
              <w:rPr>
                <w:color w:val="auto"/>
                <w:lang w:bidi="zh-CN"/>
              </w:rPr>
            </w:pPr>
            <w:r>
              <w:rPr>
                <w:rFonts w:hint="eastAsia"/>
                <w:color w:val="auto"/>
                <w:lang w:bidi="zh-CN"/>
              </w:rPr>
              <w:t>废气执行《大气污染物综合排放标准》（</w:t>
            </w:r>
            <w:r>
              <w:rPr>
                <w:color w:val="auto"/>
                <w:lang w:bidi="zh-CN"/>
              </w:rPr>
              <w:t>GB16297-1996</w:t>
            </w:r>
            <w:r>
              <w:rPr>
                <w:rFonts w:hint="eastAsia"/>
                <w:color w:val="auto"/>
                <w:lang w:bidi="zh-CN"/>
              </w:rPr>
              <w:t>）、《工业涂装工序挥发性有机物排放标准》（</w:t>
            </w:r>
            <w:r>
              <w:rPr>
                <w:color w:val="auto"/>
                <w:lang w:bidi="zh-CN"/>
              </w:rPr>
              <w:t>DB41/1951-2020</w:t>
            </w:r>
            <w:r>
              <w:rPr>
                <w:rFonts w:hint="eastAsia"/>
                <w:color w:val="auto"/>
                <w:lang w:bidi="zh-CN"/>
              </w:rPr>
              <w:t>）、《挥发性有机物无组织排放控制标准》（GB37822-2019）特别排放限值</w:t>
            </w:r>
            <w:r>
              <w:rPr>
                <w:rFonts w:hint="eastAsia"/>
                <w:color w:val="auto"/>
                <w:lang w:eastAsia="zh-CN"/>
              </w:rPr>
              <w:t>、《河南省环境污染防治攻坚战领导小组办公室文件》（豫环攻坚办[2017]162号）关于全省开展工业企业挥发性有机物专项治理工作中排放建议值的通知</w:t>
            </w:r>
            <w:r>
              <w:rPr>
                <w:rFonts w:hint="eastAsia"/>
                <w:color w:val="auto"/>
                <w:lang w:bidi="zh-CN"/>
              </w:rPr>
              <w:t>以及《重污染天气重点行业应急减排措施制定技术指南（2020年修订版）》中家具制造行业</w:t>
            </w:r>
            <w:r>
              <w:rPr>
                <w:color w:val="auto"/>
                <w:lang w:bidi="zh-CN"/>
              </w:rPr>
              <w:t>A</w:t>
            </w:r>
            <w:r>
              <w:rPr>
                <w:rFonts w:hint="eastAsia"/>
                <w:color w:val="auto"/>
                <w:lang w:bidi="zh-CN"/>
              </w:rPr>
              <w:t>级企业要求，详见下表。</w:t>
            </w:r>
          </w:p>
          <w:p>
            <w:pPr>
              <w:widowControl/>
              <w:spacing w:line="520" w:lineRule="exact"/>
              <w:ind w:firstLine="482" w:firstLineChars="200"/>
              <w:jc w:val="center"/>
              <w:rPr>
                <w:rFonts w:hint="eastAsia"/>
                <w:b/>
                <w:bCs/>
                <w:color w:val="auto"/>
                <w:u w:val="none"/>
                <w:lang w:bidi="zh-CN"/>
              </w:rPr>
            </w:pPr>
            <w:r>
              <w:rPr>
                <w:rFonts w:hint="eastAsia"/>
                <w:b/>
                <w:bCs/>
                <w:color w:val="auto"/>
                <w:u w:val="none"/>
                <w:lang w:bidi="zh-CN"/>
              </w:rPr>
              <w:t>表3-</w:t>
            </w:r>
            <w:r>
              <w:rPr>
                <w:rFonts w:hint="eastAsia"/>
                <w:b/>
                <w:bCs/>
                <w:color w:val="auto"/>
                <w:u w:val="none"/>
                <w:lang w:val="en-US" w:eastAsia="zh-CN" w:bidi="zh-CN"/>
              </w:rPr>
              <w:t>8</w:t>
            </w:r>
            <w:r>
              <w:rPr>
                <w:rFonts w:hint="eastAsia"/>
                <w:b/>
                <w:bCs/>
                <w:color w:val="auto"/>
                <w:u w:val="none"/>
                <w:lang w:bidi="zh-CN"/>
              </w:rPr>
              <w:t xml:space="preserve"> </w:t>
            </w:r>
            <w:r>
              <w:rPr>
                <w:rFonts w:hint="eastAsia"/>
                <w:b/>
                <w:bCs/>
                <w:color w:val="auto"/>
                <w:u w:val="none"/>
                <w:lang w:val="en-US" w:bidi="zh-CN"/>
              </w:rPr>
              <w:t xml:space="preserve"> </w:t>
            </w:r>
            <w:r>
              <w:rPr>
                <w:rFonts w:hint="eastAsia"/>
                <w:b/>
                <w:bCs/>
                <w:color w:val="auto"/>
                <w:u w:val="none"/>
                <w:lang w:bidi="zh-CN"/>
              </w:rPr>
              <w:t>大气污染物排放标准</w:t>
            </w:r>
          </w:p>
          <w:tbl>
            <w:tblPr>
              <w:tblStyle w:val="23"/>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40"/>
              <w:gridCol w:w="1076"/>
              <w:gridCol w:w="2558"/>
              <w:gridCol w:w="61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5" w:type="dxa"/>
                  <w:vMerge w:val="restart"/>
                  <w:vAlign w:val="center"/>
                </w:tcPr>
                <w:p>
                  <w:pPr>
                    <w:widowControl/>
                    <w:jc w:val="center"/>
                    <w:rPr>
                      <w:b/>
                      <w:bCs/>
                      <w:color w:val="auto"/>
                      <w:sz w:val="21"/>
                      <w:szCs w:val="21"/>
                      <w:lang w:bidi="zh-CN"/>
                    </w:rPr>
                  </w:pPr>
                  <w:r>
                    <w:rPr>
                      <w:rFonts w:hint="eastAsia"/>
                      <w:b/>
                      <w:bCs/>
                      <w:color w:val="auto"/>
                      <w:sz w:val="21"/>
                      <w:szCs w:val="21"/>
                      <w:lang w:bidi="zh-CN"/>
                    </w:rPr>
                    <w:t>污染物名称</w:t>
                  </w:r>
                </w:p>
              </w:tc>
              <w:tc>
                <w:tcPr>
                  <w:tcW w:w="2216" w:type="dxa"/>
                  <w:gridSpan w:val="2"/>
                  <w:vAlign w:val="center"/>
                </w:tcPr>
                <w:p>
                  <w:pPr>
                    <w:widowControl/>
                    <w:jc w:val="center"/>
                    <w:rPr>
                      <w:b/>
                      <w:bCs/>
                      <w:color w:val="auto"/>
                      <w:sz w:val="21"/>
                      <w:szCs w:val="21"/>
                      <w:lang w:bidi="zh-CN"/>
                    </w:rPr>
                  </w:pPr>
                  <w:r>
                    <w:rPr>
                      <w:rFonts w:hint="eastAsia"/>
                      <w:b/>
                      <w:bCs/>
                      <w:color w:val="auto"/>
                      <w:sz w:val="21"/>
                      <w:szCs w:val="21"/>
                      <w:lang w:bidi="zh-CN"/>
                    </w:rPr>
                    <w:t>排气筒排放限值</w:t>
                  </w:r>
                </w:p>
              </w:tc>
              <w:tc>
                <w:tcPr>
                  <w:tcW w:w="3170" w:type="dxa"/>
                  <w:gridSpan w:val="2"/>
                  <w:vMerge w:val="restart"/>
                  <w:vAlign w:val="center"/>
                </w:tcPr>
                <w:p>
                  <w:pPr>
                    <w:widowControl/>
                    <w:jc w:val="center"/>
                    <w:rPr>
                      <w:b/>
                      <w:bCs/>
                      <w:color w:val="auto"/>
                      <w:sz w:val="21"/>
                      <w:szCs w:val="21"/>
                      <w:lang w:bidi="zh-CN"/>
                    </w:rPr>
                  </w:pPr>
                  <w:r>
                    <w:rPr>
                      <w:rFonts w:hint="eastAsia"/>
                      <w:b/>
                      <w:bCs/>
                      <w:color w:val="auto"/>
                      <w:sz w:val="21"/>
                      <w:szCs w:val="21"/>
                      <w:lang w:bidi="zh-CN"/>
                    </w:rPr>
                    <w:t>边界浓度限值</w:t>
                  </w:r>
                </w:p>
              </w:tc>
              <w:tc>
                <w:tcPr>
                  <w:tcW w:w="2991" w:type="dxa"/>
                  <w:vMerge w:val="restart"/>
                  <w:vAlign w:val="center"/>
                </w:tcPr>
                <w:p>
                  <w:pPr>
                    <w:widowControl/>
                    <w:jc w:val="center"/>
                    <w:rPr>
                      <w:b/>
                      <w:bCs/>
                      <w:color w:val="auto"/>
                      <w:sz w:val="21"/>
                      <w:szCs w:val="21"/>
                      <w:lang w:bidi="zh-CN"/>
                    </w:rPr>
                  </w:pPr>
                  <w:r>
                    <w:rPr>
                      <w:rFonts w:hint="eastAsia"/>
                      <w:b/>
                      <w:bCs/>
                      <w:color w:val="auto"/>
                      <w:sz w:val="21"/>
                      <w:szCs w:val="21"/>
                      <w:lang w:bidi="zh-CN"/>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5" w:type="dxa"/>
                  <w:vMerge w:val="continue"/>
                  <w:vAlign w:val="center"/>
                </w:tcPr>
                <w:p>
                  <w:pPr>
                    <w:widowControl/>
                    <w:jc w:val="center"/>
                    <w:rPr>
                      <w:color w:val="auto"/>
                      <w:sz w:val="21"/>
                      <w:szCs w:val="21"/>
                      <w:lang w:bidi="zh-CN"/>
                    </w:rPr>
                  </w:pPr>
                </w:p>
              </w:tc>
              <w:tc>
                <w:tcPr>
                  <w:tcW w:w="1140" w:type="dxa"/>
                  <w:vAlign w:val="center"/>
                </w:tcPr>
                <w:p>
                  <w:pPr>
                    <w:widowControl/>
                    <w:jc w:val="center"/>
                    <w:rPr>
                      <w:b/>
                      <w:bCs/>
                      <w:color w:val="auto"/>
                      <w:sz w:val="21"/>
                      <w:szCs w:val="21"/>
                      <w:lang w:bidi="zh-CN"/>
                    </w:rPr>
                  </w:pPr>
                  <w:r>
                    <w:rPr>
                      <w:rFonts w:hint="eastAsia"/>
                      <w:b/>
                      <w:bCs/>
                      <w:color w:val="auto"/>
                      <w:sz w:val="21"/>
                      <w:szCs w:val="21"/>
                      <w:lang w:bidi="zh-CN"/>
                    </w:rPr>
                    <w:t>排放浓度（mg/m</w:t>
                  </w:r>
                  <w:r>
                    <w:rPr>
                      <w:rFonts w:hint="eastAsia"/>
                      <w:b/>
                      <w:bCs/>
                      <w:color w:val="auto"/>
                      <w:sz w:val="21"/>
                      <w:szCs w:val="21"/>
                      <w:vertAlign w:val="superscript"/>
                      <w:lang w:bidi="zh-CN"/>
                    </w:rPr>
                    <w:t>3</w:t>
                  </w:r>
                  <w:r>
                    <w:rPr>
                      <w:rFonts w:hint="eastAsia"/>
                      <w:b/>
                      <w:bCs/>
                      <w:color w:val="auto"/>
                      <w:sz w:val="21"/>
                      <w:szCs w:val="21"/>
                      <w:lang w:bidi="zh-CN"/>
                    </w:rPr>
                    <w:t>）</w:t>
                  </w:r>
                </w:p>
              </w:tc>
              <w:tc>
                <w:tcPr>
                  <w:tcW w:w="1076" w:type="dxa"/>
                  <w:vAlign w:val="center"/>
                </w:tcPr>
                <w:p>
                  <w:pPr>
                    <w:widowControl/>
                    <w:jc w:val="center"/>
                    <w:rPr>
                      <w:b/>
                      <w:bCs/>
                      <w:color w:val="auto"/>
                      <w:sz w:val="21"/>
                      <w:szCs w:val="21"/>
                      <w:lang w:bidi="zh-CN"/>
                    </w:rPr>
                  </w:pPr>
                  <w:r>
                    <w:rPr>
                      <w:rFonts w:hint="eastAsia"/>
                      <w:b/>
                      <w:bCs/>
                      <w:color w:val="auto"/>
                      <w:sz w:val="21"/>
                      <w:szCs w:val="21"/>
                      <w:lang w:bidi="zh-CN"/>
                    </w:rPr>
                    <w:t>排放速率（kg/h）</w:t>
                  </w:r>
                </w:p>
              </w:tc>
              <w:tc>
                <w:tcPr>
                  <w:tcW w:w="3170" w:type="dxa"/>
                  <w:gridSpan w:val="2"/>
                  <w:vMerge w:val="continue"/>
                  <w:vAlign w:val="center"/>
                </w:tcPr>
                <w:p>
                  <w:pPr>
                    <w:widowControl/>
                    <w:jc w:val="center"/>
                    <w:rPr>
                      <w:color w:val="auto"/>
                      <w:sz w:val="21"/>
                      <w:szCs w:val="21"/>
                      <w:lang w:bidi="zh-CN"/>
                    </w:rPr>
                  </w:pPr>
                </w:p>
              </w:tc>
              <w:tc>
                <w:tcPr>
                  <w:tcW w:w="2991" w:type="dxa"/>
                  <w:vMerge w:val="continue"/>
                  <w:vAlign w:val="center"/>
                </w:tcPr>
                <w:p>
                  <w:pPr>
                    <w:widowControl/>
                    <w:jc w:val="center"/>
                    <w:rPr>
                      <w:color w:val="auto"/>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945" w:type="dxa"/>
                  <w:vMerge w:val="restart"/>
                  <w:vAlign w:val="center"/>
                </w:tcPr>
                <w:p>
                  <w:pPr>
                    <w:widowControl/>
                    <w:jc w:val="center"/>
                    <w:rPr>
                      <w:color w:val="auto"/>
                      <w:sz w:val="21"/>
                      <w:szCs w:val="21"/>
                      <w:lang w:bidi="zh-CN"/>
                    </w:rPr>
                  </w:pPr>
                  <w:r>
                    <w:rPr>
                      <w:rFonts w:hint="eastAsia"/>
                      <w:color w:val="auto"/>
                      <w:sz w:val="21"/>
                      <w:szCs w:val="21"/>
                      <w:lang w:bidi="zh-CN"/>
                    </w:rPr>
                    <w:t>颗粒物</w:t>
                  </w:r>
                </w:p>
              </w:tc>
              <w:tc>
                <w:tcPr>
                  <w:tcW w:w="1140" w:type="dxa"/>
                  <w:vAlign w:val="center"/>
                </w:tcPr>
                <w:p>
                  <w:pPr>
                    <w:widowControl/>
                    <w:jc w:val="center"/>
                    <w:rPr>
                      <w:rFonts w:hint="default"/>
                      <w:color w:val="auto"/>
                      <w:sz w:val="21"/>
                      <w:szCs w:val="21"/>
                      <w:lang w:val="en-US" w:bidi="zh-CN"/>
                    </w:rPr>
                  </w:pPr>
                  <w:r>
                    <w:rPr>
                      <w:rFonts w:hint="eastAsia"/>
                      <w:color w:val="auto"/>
                      <w:sz w:val="21"/>
                      <w:szCs w:val="21"/>
                      <w:lang w:val="en-US" w:bidi="zh-CN"/>
                    </w:rPr>
                    <w:t>120</w:t>
                  </w:r>
                </w:p>
              </w:tc>
              <w:tc>
                <w:tcPr>
                  <w:tcW w:w="1076" w:type="dxa"/>
                  <w:vAlign w:val="center"/>
                </w:tcPr>
                <w:p>
                  <w:pPr>
                    <w:widowControl/>
                    <w:jc w:val="center"/>
                    <w:rPr>
                      <w:color w:val="auto"/>
                      <w:sz w:val="21"/>
                      <w:szCs w:val="21"/>
                      <w:lang w:bidi="zh-CN"/>
                    </w:rPr>
                  </w:pPr>
                  <w:r>
                    <w:rPr>
                      <w:rFonts w:hint="eastAsia"/>
                      <w:color w:val="auto"/>
                      <w:sz w:val="21"/>
                      <w:szCs w:val="21"/>
                      <w:lang w:bidi="zh-CN"/>
                    </w:rPr>
                    <w:t>3.5</w:t>
                  </w:r>
                </w:p>
              </w:tc>
              <w:tc>
                <w:tcPr>
                  <w:tcW w:w="2558" w:type="dxa"/>
                  <w:vAlign w:val="center"/>
                </w:tcPr>
                <w:p>
                  <w:pPr>
                    <w:widowControl/>
                    <w:jc w:val="center"/>
                    <w:rPr>
                      <w:color w:val="auto"/>
                      <w:sz w:val="21"/>
                      <w:szCs w:val="21"/>
                      <w:lang w:bidi="zh-CN"/>
                    </w:rPr>
                  </w:pPr>
                  <w:r>
                    <w:rPr>
                      <w:rFonts w:hint="eastAsia"/>
                      <w:color w:val="auto"/>
                      <w:sz w:val="21"/>
                      <w:szCs w:val="21"/>
                      <w:lang w:bidi="zh-CN"/>
                    </w:rPr>
                    <w:t>企业外浓度最高点</w:t>
                  </w:r>
                </w:p>
              </w:tc>
              <w:tc>
                <w:tcPr>
                  <w:tcW w:w="612" w:type="dxa"/>
                  <w:vAlign w:val="center"/>
                </w:tcPr>
                <w:p>
                  <w:pPr>
                    <w:widowControl/>
                    <w:jc w:val="center"/>
                    <w:rPr>
                      <w:color w:val="auto"/>
                      <w:sz w:val="21"/>
                      <w:szCs w:val="21"/>
                      <w:lang w:bidi="zh-CN"/>
                    </w:rPr>
                  </w:pPr>
                  <w:r>
                    <w:rPr>
                      <w:rFonts w:hint="eastAsia"/>
                      <w:color w:val="auto"/>
                      <w:sz w:val="21"/>
                      <w:szCs w:val="21"/>
                      <w:lang w:bidi="zh-CN"/>
                    </w:rPr>
                    <w:t>1.0</w:t>
                  </w:r>
                </w:p>
              </w:tc>
              <w:tc>
                <w:tcPr>
                  <w:tcW w:w="2991" w:type="dxa"/>
                  <w:vAlign w:val="center"/>
                </w:tcPr>
                <w:p>
                  <w:pPr>
                    <w:widowControl/>
                    <w:jc w:val="center"/>
                    <w:rPr>
                      <w:color w:val="auto"/>
                      <w:sz w:val="21"/>
                      <w:szCs w:val="21"/>
                      <w:lang w:bidi="zh-CN"/>
                    </w:rPr>
                  </w:pPr>
                  <w:r>
                    <w:rPr>
                      <w:rFonts w:hint="eastAsia"/>
                      <w:color w:val="auto"/>
                      <w:sz w:val="21"/>
                      <w:szCs w:val="21"/>
                      <w:lang w:bidi="zh-CN"/>
                    </w:rPr>
                    <w:t>《大气污染物综合排放标准》（</w:t>
                  </w:r>
                  <w:r>
                    <w:rPr>
                      <w:color w:val="auto"/>
                      <w:sz w:val="21"/>
                      <w:szCs w:val="21"/>
                      <w:lang w:bidi="zh-CN"/>
                    </w:rPr>
                    <w:t>GB16297-1996</w:t>
                  </w:r>
                  <w:r>
                    <w:rPr>
                      <w:rFonts w:hint="eastAsia"/>
                      <w:color w:val="auto"/>
                      <w:sz w:val="21"/>
                      <w:szCs w:val="21"/>
                      <w:lang w:bidi="zh-CN"/>
                    </w:rPr>
                    <w:t>）表</w:t>
                  </w:r>
                  <w:r>
                    <w:rPr>
                      <w:color w:val="auto"/>
                      <w:sz w:val="21"/>
                      <w:szCs w:val="21"/>
                      <w:lang w:bidi="zh-CN"/>
                    </w:rPr>
                    <w:t>2</w:t>
                  </w:r>
                  <w:r>
                    <w:rPr>
                      <w:rFonts w:hint="eastAsia"/>
                      <w:color w:val="auto"/>
                      <w:sz w:val="21"/>
                      <w:szCs w:val="21"/>
                      <w:lang w:bidi="zh-CN"/>
                    </w:rPr>
                    <w:t>二级排放标准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945" w:type="dxa"/>
                  <w:vMerge w:val="continue"/>
                  <w:vAlign w:val="center"/>
                </w:tcPr>
                <w:p>
                  <w:pPr>
                    <w:widowControl/>
                    <w:jc w:val="center"/>
                    <w:rPr>
                      <w:rFonts w:hint="eastAsia"/>
                      <w:color w:val="auto"/>
                      <w:sz w:val="21"/>
                      <w:szCs w:val="21"/>
                      <w:lang w:bidi="zh-CN"/>
                    </w:rPr>
                  </w:pPr>
                </w:p>
              </w:tc>
              <w:tc>
                <w:tcPr>
                  <w:tcW w:w="1140" w:type="dxa"/>
                  <w:vAlign w:val="center"/>
                </w:tcPr>
                <w:p>
                  <w:pPr>
                    <w:widowControl/>
                    <w:jc w:val="center"/>
                    <w:rPr>
                      <w:rFonts w:hint="eastAsia"/>
                      <w:color w:val="auto"/>
                      <w:sz w:val="21"/>
                      <w:szCs w:val="21"/>
                      <w:lang w:bidi="zh-CN"/>
                    </w:rPr>
                  </w:pPr>
                  <w:r>
                    <w:rPr>
                      <w:rFonts w:hint="eastAsia"/>
                      <w:color w:val="auto"/>
                      <w:sz w:val="21"/>
                      <w:szCs w:val="21"/>
                      <w:lang w:bidi="zh-CN"/>
                    </w:rPr>
                    <w:t>10</w:t>
                  </w:r>
                </w:p>
              </w:tc>
              <w:tc>
                <w:tcPr>
                  <w:tcW w:w="1076"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2558"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612"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2991" w:type="dxa"/>
                  <w:vAlign w:val="center"/>
                </w:tcPr>
                <w:p>
                  <w:pPr>
                    <w:widowControl/>
                    <w:jc w:val="center"/>
                    <w:rPr>
                      <w:rFonts w:hint="eastAsia"/>
                      <w:color w:val="auto"/>
                      <w:sz w:val="21"/>
                      <w:szCs w:val="21"/>
                      <w:lang w:bidi="zh-CN"/>
                    </w:rPr>
                  </w:pPr>
                  <w:r>
                    <w:rPr>
                      <w:rFonts w:hint="eastAsia"/>
                      <w:color w:val="auto"/>
                      <w:sz w:val="21"/>
                      <w:szCs w:val="21"/>
                      <w:lang w:bidi="zh-CN"/>
                    </w:rPr>
                    <w:t>重污染天气重点行业应急减排措施制定技术指南（2020年修订版）》中家具制造行业</w:t>
                  </w:r>
                  <w:r>
                    <w:rPr>
                      <w:color w:val="auto"/>
                      <w:sz w:val="21"/>
                      <w:szCs w:val="21"/>
                      <w:lang w:bidi="zh-CN"/>
                    </w:rPr>
                    <w:t>A</w:t>
                  </w:r>
                  <w:r>
                    <w:rPr>
                      <w:rFonts w:hint="eastAsia"/>
                      <w:color w:val="auto"/>
                      <w:sz w:val="21"/>
                      <w:szCs w:val="21"/>
                      <w:lang w:bidi="zh-CN"/>
                    </w:rPr>
                    <w:t>级企业要求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945" w:type="dxa"/>
                  <w:vMerge w:val="restart"/>
                  <w:vAlign w:val="center"/>
                </w:tcPr>
                <w:p>
                  <w:pPr>
                    <w:widowControl/>
                    <w:jc w:val="center"/>
                    <w:rPr>
                      <w:color w:val="auto"/>
                      <w:sz w:val="21"/>
                      <w:szCs w:val="21"/>
                      <w:lang w:bidi="zh-CN"/>
                    </w:rPr>
                  </w:pPr>
                  <w:r>
                    <w:rPr>
                      <w:rFonts w:hint="eastAsia"/>
                      <w:color w:val="auto"/>
                      <w:sz w:val="21"/>
                      <w:szCs w:val="21"/>
                      <w:lang w:bidi="zh-CN"/>
                    </w:rPr>
                    <w:t>非甲烷总烃</w:t>
                  </w:r>
                </w:p>
              </w:tc>
              <w:tc>
                <w:tcPr>
                  <w:tcW w:w="1140" w:type="dxa"/>
                  <w:vMerge w:val="restart"/>
                  <w:vAlign w:val="center"/>
                </w:tcPr>
                <w:p>
                  <w:pPr>
                    <w:widowControl/>
                    <w:jc w:val="center"/>
                    <w:rPr>
                      <w:rFonts w:hint="default"/>
                      <w:color w:val="auto"/>
                      <w:sz w:val="21"/>
                      <w:szCs w:val="21"/>
                      <w:lang w:val="en-US" w:bidi="zh-CN"/>
                    </w:rPr>
                  </w:pPr>
                  <w:r>
                    <w:rPr>
                      <w:rFonts w:hint="eastAsia"/>
                      <w:color w:val="auto"/>
                      <w:sz w:val="21"/>
                      <w:szCs w:val="21"/>
                      <w:lang w:val="en-US" w:bidi="zh-CN"/>
                    </w:rPr>
                    <w:t>50</w:t>
                  </w:r>
                </w:p>
              </w:tc>
              <w:tc>
                <w:tcPr>
                  <w:tcW w:w="1076" w:type="dxa"/>
                  <w:vMerge w:val="restart"/>
                  <w:vAlign w:val="center"/>
                </w:tcPr>
                <w:p>
                  <w:pPr>
                    <w:widowControl/>
                    <w:jc w:val="center"/>
                    <w:rPr>
                      <w:color w:val="auto"/>
                      <w:sz w:val="21"/>
                      <w:szCs w:val="21"/>
                      <w:lang w:bidi="zh-CN"/>
                    </w:rPr>
                  </w:pPr>
                  <w:r>
                    <w:rPr>
                      <w:rFonts w:hint="eastAsia"/>
                      <w:color w:val="auto"/>
                      <w:sz w:val="21"/>
                      <w:szCs w:val="21"/>
                      <w:lang w:bidi="zh-CN"/>
                    </w:rPr>
                    <w:t>/</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color w:val="auto"/>
                      <w:sz w:val="21"/>
                      <w:szCs w:val="21"/>
                      <w:lang w:bidi="zh-CN"/>
                    </w:rPr>
                  </w:pPr>
                  <w:r>
                    <w:rPr>
                      <w:rFonts w:hint="default" w:ascii="Times New Roman" w:hAnsi="Times New Roman" w:eastAsia="宋体" w:cs="Times New Roman"/>
                      <w:b w:val="0"/>
                      <w:bCs w:val="0"/>
                      <w:color w:val="auto"/>
                      <w:kern w:val="0"/>
                      <w:sz w:val="21"/>
                      <w:szCs w:val="21"/>
                      <w:u w:val="none"/>
                      <w:lang w:val="en-US" w:eastAsia="zh-CN"/>
                    </w:rPr>
                    <w:t>监控点处1h平均浓度值</w:t>
                  </w:r>
                </w:p>
              </w:tc>
              <w:tc>
                <w:tcPr>
                  <w:tcW w:w="612" w:type="dxa"/>
                  <w:vAlign w:val="center"/>
                </w:tcPr>
                <w:p>
                  <w:pPr>
                    <w:widowControl/>
                    <w:jc w:val="center"/>
                    <w:rPr>
                      <w:color w:val="auto"/>
                      <w:sz w:val="21"/>
                      <w:szCs w:val="21"/>
                      <w:lang w:bidi="zh-CN"/>
                    </w:rPr>
                  </w:pPr>
                  <w:r>
                    <w:rPr>
                      <w:rFonts w:hint="eastAsia"/>
                      <w:color w:val="auto"/>
                      <w:sz w:val="21"/>
                      <w:szCs w:val="21"/>
                      <w:lang w:val="en-US" w:bidi="zh-CN"/>
                    </w:rPr>
                    <w:t>6</w:t>
                  </w:r>
                </w:p>
              </w:tc>
              <w:tc>
                <w:tcPr>
                  <w:tcW w:w="2991" w:type="dxa"/>
                  <w:vMerge w:val="restart"/>
                  <w:vAlign w:val="center"/>
                </w:tcPr>
                <w:p>
                  <w:pPr>
                    <w:widowControl/>
                    <w:jc w:val="center"/>
                    <w:rPr>
                      <w:color w:val="auto"/>
                      <w:sz w:val="21"/>
                      <w:szCs w:val="21"/>
                      <w:lang w:bidi="zh-CN"/>
                    </w:rPr>
                  </w:pPr>
                  <w:r>
                    <w:rPr>
                      <w:rFonts w:hint="eastAsia"/>
                      <w:color w:val="auto"/>
                      <w:spacing w:val="2"/>
                      <w:sz w:val="21"/>
                      <w:szCs w:val="21"/>
                      <w:lang w:eastAsia="zh-CN"/>
                    </w:rPr>
                    <w:t>《工业涂装工序挥发性有机物排放标准》（DB41/1951—2020）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945" w:type="dxa"/>
                  <w:vMerge w:val="continue"/>
                  <w:vAlign w:val="center"/>
                </w:tcPr>
                <w:p>
                  <w:pPr>
                    <w:widowControl/>
                    <w:jc w:val="center"/>
                    <w:rPr>
                      <w:color w:val="auto"/>
                    </w:rPr>
                  </w:pPr>
                </w:p>
              </w:tc>
              <w:tc>
                <w:tcPr>
                  <w:tcW w:w="1140" w:type="dxa"/>
                  <w:vMerge w:val="continue"/>
                  <w:vAlign w:val="center"/>
                </w:tcPr>
                <w:p>
                  <w:pPr>
                    <w:widowControl/>
                    <w:jc w:val="center"/>
                    <w:rPr>
                      <w:color w:val="auto"/>
                    </w:rPr>
                  </w:pPr>
                </w:p>
              </w:tc>
              <w:tc>
                <w:tcPr>
                  <w:tcW w:w="1076" w:type="dxa"/>
                  <w:vMerge w:val="continue"/>
                  <w:vAlign w:val="center"/>
                </w:tcPr>
                <w:p>
                  <w:pPr>
                    <w:widowControl/>
                    <w:jc w:val="center"/>
                    <w:rPr>
                      <w:color w:val="auto"/>
                    </w:rPr>
                  </w:pP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color w:val="auto"/>
                      <w:sz w:val="21"/>
                      <w:szCs w:val="21"/>
                      <w:lang w:bidi="zh-CN"/>
                    </w:rPr>
                  </w:pPr>
                  <w:r>
                    <w:rPr>
                      <w:rFonts w:hint="default" w:ascii="Times New Roman" w:hAnsi="Times New Roman" w:eastAsia="宋体" w:cs="Times New Roman"/>
                      <w:b w:val="0"/>
                      <w:bCs w:val="0"/>
                      <w:color w:val="auto"/>
                      <w:kern w:val="0"/>
                      <w:sz w:val="21"/>
                      <w:szCs w:val="21"/>
                      <w:u w:val="none"/>
                      <w:lang w:val="en-US" w:eastAsia="zh-CN"/>
                    </w:rPr>
                    <w:t>监控点处任意一次浓度值</w:t>
                  </w:r>
                </w:p>
              </w:tc>
              <w:tc>
                <w:tcPr>
                  <w:tcW w:w="612" w:type="dxa"/>
                  <w:vAlign w:val="center"/>
                </w:tcPr>
                <w:p>
                  <w:pPr>
                    <w:widowControl/>
                    <w:jc w:val="center"/>
                    <w:rPr>
                      <w:rFonts w:hint="eastAsia"/>
                      <w:color w:val="auto"/>
                      <w:sz w:val="21"/>
                      <w:szCs w:val="21"/>
                      <w:lang w:bidi="zh-CN"/>
                    </w:rPr>
                  </w:pPr>
                  <w:r>
                    <w:rPr>
                      <w:rFonts w:hint="eastAsia"/>
                      <w:color w:val="auto"/>
                      <w:sz w:val="21"/>
                      <w:szCs w:val="21"/>
                      <w:lang w:val="en-US" w:bidi="zh-CN"/>
                    </w:rPr>
                    <w:t>20</w:t>
                  </w:r>
                </w:p>
              </w:tc>
              <w:tc>
                <w:tcPr>
                  <w:tcW w:w="2991" w:type="dxa"/>
                  <w:vMerge w:val="continue"/>
                  <w:vAlign w:val="center"/>
                </w:tcPr>
                <w:p>
                  <w:pPr>
                    <w:widowControl/>
                    <w:jc w:val="center"/>
                    <w:rPr>
                      <w:rFonts w:hint="eastAsia"/>
                      <w:color w:val="auto"/>
                      <w:sz w:val="21"/>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5" w:type="dxa"/>
                  <w:vMerge w:val="continue"/>
                  <w:vAlign w:val="center"/>
                </w:tcPr>
                <w:p>
                  <w:pPr>
                    <w:widowControl/>
                    <w:jc w:val="center"/>
                    <w:rPr>
                      <w:rFonts w:hint="eastAsia"/>
                      <w:color w:val="auto"/>
                      <w:sz w:val="21"/>
                      <w:szCs w:val="21"/>
                      <w:lang w:bidi="zh-CN"/>
                    </w:rPr>
                  </w:pPr>
                </w:p>
              </w:tc>
              <w:tc>
                <w:tcPr>
                  <w:tcW w:w="1140" w:type="dxa"/>
                  <w:vAlign w:val="center"/>
                </w:tcPr>
                <w:p>
                  <w:pPr>
                    <w:widowControl/>
                    <w:jc w:val="center"/>
                    <w:rPr>
                      <w:rFonts w:hint="default"/>
                      <w:color w:val="auto"/>
                      <w:sz w:val="21"/>
                      <w:szCs w:val="21"/>
                      <w:lang w:val="en-US" w:bidi="zh-CN"/>
                    </w:rPr>
                  </w:pPr>
                  <w:r>
                    <w:rPr>
                      <w:rFonts w:hint="eastAsia"/>
                      <w:color w:val="auto"/>
                      <w:sz w:val="21"/>
                      <w:szCs w:val="21"/>
                      <w:lang w:val="en-US" w:bidi="zh-CN"/>
                    </w:rPr>
                    <w:t>50</w:t>
                  </w:r>
                </w:p>
              </w:tc>
              <w:tc>
                <w:tcPr>
                  <w:tcW w:w="1076"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2558" w:type="dxa"/>
                  <w:shd w:val="clear" w:color="auto" w:fill="auto"/>
                  <w:vAlign w:val="center"/>
                </w:tcPr>
                <w:p>
                  <w:pPr>
                    <w:widowControl/>
                    <w:jc w:val="center"/>
                    <w:rPr>
                      <w:rFonts w:hint="eastAsia" w:ascii="Times New Roman" w:hAnsi="Times New Roman" w:eastAsia="宋体" w:cs="Times New Roman"/>
                      <w:color w:val="auto"/>
                      <w:kern w:val="2"/>
                      <w:sz w:val="21"/>
                      <w:szCs w:val="21"/>
                      <w:lang w:val="en-US" w:eastAsia="zh-CN" w:bidi="zh-CN"/>
                    </w:rPr>
                  </w:pPr>
                  <w:r>
                    <w:rPr>
                      <w:rFonts w:hint="eastAsia"/>
                      <w:color w:val="auto"/>
                      <w:sz w:val="21"/>
                      <w:szCs w:val="21"/>
                      <w:lang w:bidi="zh-CN"/>
                    </w:rPr>
                    <w:t>企业边界挥发性有机物排放建议值</w:t>
                  </w:r>
                </w:p>
              </w:tc>
              <w:tc>
                <w:tcPr>
                  <w:tcW w:w="612" w:type="dxa"/>
                  <w:shd w:val="clear" w:color="auto" w:fill="auto"/>
                  <w:vAlign w:val="center"/>
                </w:tcPr>
                <w:p>
                  <w:pPr>
                    <w:widowControl/>
                    <w:jc w:val="center"/>
                    <w:rPr>
                      <w:rFonts w:hint="eastAsia" w:ascii="Times New Roman" w:hAnsi="Times New Roman" w:eastAsia="宋体" w:cs="Times New Roman"/>
                      <w:color w:val="auto"/>
                      <w:kern w:val="2"/>
                      <w:sz w:val="21"/>
                      <w:szCs w:val="21"/>
                      <w:lang w:val="en-US" w:eastAsia="zh-CN" w:bidi="zh-CN"/>
                    </w:rPr>
                  </w:pPr>
                  <w:r>
                    <w:rPr>
                      <w:rFonts w:hint="eastAsia"/>
                      <w:color w:val="auto"/>
                      <w:sz w:val="21"/>
                      <w:szCs w:val="21"/>
                      <w:lang w:bidi="zh-CN"/>
                    </w:rPr>
                    <w:t>2.0</w:t>
                  </w:r>
                </w:p>
              </w:tc>
              <w:tc>
                <w:tcPr>
                  <w:tcW w:w="2991" w:type="dxa"/>
                  <w:vAlign w:val="center"/>
                </w:tcPr>
                <w:p>
                  <w:pPr>
                    <w:widowControl/>
                    <w:jc w:val="center"/>
                    <w:rPr>
                      <w:color w:val="auto"/>
                      <w:sz w:val="21"/>
                      <w:szCs w:val="21"/>
                      <w:lang w:bidi="zh-CN"/>
                    </w:rPr>
                  </w:pPr>
                  <w:r>
                    <w:rPr>
                      <w:rFonts w:hint="eastAsia"/>
                      <w:color w:val="auto"/>
                      <w:sz w:val="21"/>
                      <w:szCs w:val="21"/>
                      <w:lang w:bidi="zh-CN"/>
                    </w:rPr>
                    <w:t>《河南省环境污染防治攻坚战领导小组办公室文件》（豫环攻坚办[2017]162号）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5" w:type="dxa"/>
                  <w:vMerge w:val="continue"/>
                  <w:vAlign w:val="center"/>
                </w:tcPr>
                <w:p>
                  <w:pPr>
                    <w:widowControl/>
                    <w:jc w:val="center"/>
                    <w:rPr>
                      <w:rFonts w:hint="eastAsia"/>
                      <w:color w:val="auto"/>
                      <w:sz w:val="21"/>
                      <w:szCs w:val="21"/>
                      <w:lang w:bidi="zh-CN"/>
                    </w:rPr>
                  </w:pPr>
                </w:p>
              </w:tc>
              <w:tc>
                <w:tcPr>
                  <w:tcW w:w="1140" w:type="dxa"/>
                  <w:vAlign w:val="center"/>
                </w:tcPr>
                <w:p>
                  <w:pPr>
                    <w:widowControl/>
                    <w:jc w:val="center"/>
                    <w:rPr>
                      <w:rFonts w:hint="eastAsia"/>
                      <w:color w:val="auto"/>
                      <w:sz w:val="21"/>
                      <w:szCs w:val="21"/>
                      <w:lang w:bidi="zh-CN"/>
                    </w:rPr>
                  </w:pPr>
                  <w:r>
                    <w:rPr>
                      <w:rFonts w:hint="eastAsia"/>
                      <w:color w:val="auto"/>
                      <w:sz w:val="21"/>
                      <w:szCs w:val="21"/>
                      <w:lang w:bidi="zh-CN"/>
                    </w:rPr>
                    <w:t>20</w:t>
                  </w:r>
                </w:p>
              </w:tc>
              <w:tc>
                <w:tcPr>
                  <w:tcW w:w="1076"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2558"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612"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2991" w:type="dxa"/>
                  <w:vAlign w:val="center"/>
                </w:tcPr>
                <w:p>
                  <w:pPr>
                    <w:widowControl/>
                    <w:jc w:val="center"/>
                    <w:rPr>
                      <w:color w:val="auto"/>
                      <w:sz w:val="21"/>
                      <w:szCs w:val="21"/>
                      <w:lang w:bidi="zh-CN"/>
                    </w:rPr>
                  </w:pPr>
                  <w:r>
                    <w:rPr>
                      <w:rFonts w:hint="eastAsia"/>
                      <w:color w:val="auto"/>
                      <w:sz w:val="21"/>
                      <w:szCs w:val="21"/>
                      <w:lang w:bidi="zh-CN"/>
                    </w:rPr>
                    <w:t>《重污染天气重点行业应急减排措施制定技术指南（2020年修订版）》中家具制造行业</w:t>
                  </w:r>
                  <w:r>
                    <w:rPr>
                      <w:color w:val="auto"/>
                      <w:sz w:val="21"/>
                      <w:szCs w:val="21"/>
                      <w:lang w:bidi="zh-CN"/>
                    </w:rPr>
                    <w:t>A</w:t>
                  </w:r>
                  <w:r>
                    <w:rPr>
                      <w:rFonts w:hint="eastAsia"/>
                      <w:color w:val="auto"/>
                      <w:sz w:val="21"/>
                      <w:szCs w:val="21"/>
                      <w:lang w:bidi="zh-CN"/>
                    </w:rPr>
                    <w:t>级企业要求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5" w:type="dxa"/>
                  <w:vMerge w:val="continue"/>
                  <w:vAlign w:val="center"/>
                </w:tcPr>
                <w:p>
                  <w:pPr>
                    <w:widowControl/>
                    <w:jc w:val="center"/>
                    <w:rPr>
                      <w:rFonts w:hint="eastAsia"/>
                      <w:color w:val="auto"/>
                      <w:sz w:val="21"/>
                      <w:szCs w:val="21"/>
                      <w:lang w:bidi="zh-CN"/>
                    </w:rPr>
                  </w:pPr>
                </w:p>
              </w:tc>
              <w:tc>
                <w:tcPr>
                  <w:tcW w:w="1140"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1076"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color w:val="auto"/>
                      <w:sz w:val="21"/>
                      <w:szCs w:val="21"/>
                      <w:lang w:bidi="zh-CN"/>
                    </w:rPr>
                  </w:pPr>
                  <w:r>
                    <w:rPr>
                      <w:rFonts w:hint="default" w:ascii="Times New Roman" w:hAnsi="Times New Roman" w:eastAsia="宋体" w:cs="Times New Roman"/>
                      <w:b w:val="0"/>
                      <w:bCs w:val="0"/>
                      <w:color w:val="auto"/>
                      <w:kern w:val="0"/>
                      <w:sz w:val="21"/>
                      <w:szCs w:val="21"/>
                      <w:u w:val="none"/>
                      <w:lang w:val="en-US" w:eastAsia="zh-CN"/>
                    </w:rPr>
                    <w:t>监控点处1h平均浓度值</w:t>
                  </w:r>
                </w:p>
              </w:tc>
              <w:tc>
                <w:tcPr>
                  <w:tcW w:w="612" w:type="dxa"/>
                  <w:vAlign w:val="center"/>
                </w:tcPr>
                <w:p>
                  <w:pPr>
                    <w:widowControl/>
                    <w:jc w:val="center"/>
                    <w:rPr>
                      <w:rFonts w:hint="default"/>
                      <w:color w:val="auto"/>
                      <w:sz w:val="21"/>
                      <w:szCs w:val="21"/>
                      <w:lang w:val="en-US" w:bidi="zh-CN"/>
                    </w:rPr>
                  </w:pPr>
                  <w:r>
                    <w:rPr>
                      <w:rFonts w:hint="eastAsia"/>
                      <w:color w:val="auto"/>
                      <w:sz w:val="21"/>
                      <w:szCs w:val="21"/>
                      <w:lang w:val="en-US" w:bidi="zh-CN"/>
                    </w:rPr>
                    <w:t>6</w:t>
                  </w:r>
                </w:p>
              </w:tc>
              <w:tc>
                <w:tcPr>
                  <w:tcW w:w="2991" w:type="dxa"/>
                  <w:vMerge w:val="restart"/>
                  <w:vAlign w:val="center"/>
                </w:tcPr>
                <w:p>
                  <w:pPr>
                    <w:widowControl/>
                    <w:jc w:val="center"/>
                    <w:rPr>
                      <w:rFonts w:hint="eastAsia"/>
                      <w:color w:val="auto"/>
                      <w:sz w:val="21"/>
                      <w:szCs w:val="21"/>
                      <w:lang w:bidi="zh-CN"/>
                    </w:rPr>
                  </w:pPr>
                  <w:r>
                    <w:rPr>
                      <w:rFonts w:hint="default" w:ascii="Times New Roman" w:hAnsi="Times New Roman" w:eastAsia="宋体" w:cs="Times New Roman"/>
                      <w:b w:val="0"/>
                      <w:bCs w:val="0"/>
                      <w:color w:val="auto"/>
                      <w:kern w:val="0"/>
                      <w:sz w:val="21"/>
                      <w:szCs w:val="21"/>
                      <w:u w:val="none"/>
                      <w:lang w:val="en-US" w:eastAsia="zh-CN"/>
                    </w:rPr>
                    <w:t>《挥发性有机物无组织排放控制标准》（GB37822-2019）特别排放限值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5" w:type="dxa"/>
                  <w:vMerge w:val="continue"/>
                  <w:vAlign w:val="center"/>
                </w:tcPr>
                <w:p>
                  <w:pPr>
                    <w:widowControl/>
                    <w:jc w:val="center"/>
                    <w:rPr>
                      <w:rFonts w:hint="eastAsia"/>
                      <w:color w:val="auto"/>
                      <w:sz w:val="21"/>
                      <w:szCs w:val="21"/>
                      <w:lang w:bidi="zh-CN"/>
                    </w:rPr>
                  </w:pPr>
                </w:p>
              </w:tc>
              <w:tc>
                <w:tcPr>
                  <w:tcW w:w="1140"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1076" w:type="dxa"/>
                  <w:vAlign w:val="center"/>
                </w:tcPr>
                <w:p>
                  <w:pPr>
                    <w:widowControl/>
                    <w:jc w:val="center"/>
                    <w:rPr>
                      <w:rFonts w:hint="eastAsia"/>
                      <w:color w:val="auto"/>
                      <w:sz w:val="21"/>
                      <w:szCs w:val="21"/>
                      <w:lang w:bidi="zh-CN"/>
                    </w:rPr>
                  </w:pPr>
                  <w:r>
                    <w:rPr>
                      <w:rFonts w:hint="eastAsia"/>
                      <w:color w:val="auto"/>
                      <w:sz w:val="21"/>
                      <w:szCs w:val="21"/>
                      <w:lang w:bidi="zh-CN"/>
                    </w:rPr>
                    <w:t>/</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color w:val="auto"/>
                      <w:sz w:val="21"/>
                      <w:szCs w:val="21"/>
                      <w:lang w:bidi="zh-CN"/>
                    </w:rPr>
                  </w:pPr>
                  <w:r>
                    <w:rPr>
                      <w:rFonts w:hint="default" w:ascii="Times New Roman" w:hAnsi="Times New Roman" w:eastAsia="宋体" w:cs="Times New Roman"/>
                      <w:b w:val="0"/>
                      <w:bCs w:val="0"/>
                      <w:color w:val="auto"/>
                      <w:kern w:val="0"/>
                      <w:sz w:val="21"/>
                      <w:szCs w:val="21"/>
                      <w:u w:val="none"/>
                      <w:lang w:val="en-US" w:eastAsia="zh-CN"/>
                    </w:rPr>
                    <w:t>监控点处任意一次浓度值</w:t>
                  </w:r>
                </w:p>
              </w:tc>
              <w:tc>
                <w:tcPr>
                  <w:tcW w:w="612" w:type="dxa"/>
                  <w:vAlign w:val="center"/>
                </w:tcPr>
                <w:p>
                  <w:pPr>
                    <w:widowControl/>
                    <w:jc w:val="center"/>
                    <w:rPr>
                      <w:rFonts w:hint="default"/>
                      <w:color w:val="auto"/>
                      <w:sz w:val="21"/>
                      <w:szCs w:val="21"/>
                      <w:lang w:val="en-US" w:bidi="zh-CN"/>
                    </w:rPr>
                  </w:pPr>
                  <w:r>
                    <w:rPr>
                      <w:rFonts w:hint="eastAsia"/>
                      <w:color w:val="auto"/>
                      <w:sz w:val="21"/>
                      <w:szCs w:val="21"/>
                      <w:lang w:val="en-US" w:bidi="zh-CN"/>
                    </w:rPr>
                    <w:t>20</w:t>
                  </w:r>
                </w:p>
              </w:tc>
              <w:tc>
                <w:tcPr>
                  <w:tcW w:w="2991" w:type="dxa"/>
                  <w:vMerge w:val="continue"/>
                  <w:vAlign w:val="center"/>
                </w:tcPr>
                <w:p>
                  <w:pPr>
                    <w:widowControl/>
                    <w:jc w:val="center"/>
                    <w:rPr>
                      <w:rFonts w:hint="eastAsia"/>
                      <w:color w:val="auto"/>
                      <w:sz w:val="21"/>
                      <w:szCs w:val="21"/>
                      <w:lang w:bidi="zh-CN"/>
                    </w:rPr>
                  </w:pPr>
                </w:p>
              </w:tc>
            </w:tr>
          </w:tbl>
          <w:p>
            <w:pPr>
              <w:widowControl/>
              <w:spacing w:line="520" w:lineRule="exact"/>
              <w:ind w:firstLine="480" w:firstLineChars="200"/>
              <w:jc w:val="left"/>
              <w:rPr>
                <w:color w:val="auto"/>
                <w:lang w:bidi="zh-CN"/>
              </w:rPr>
            </w:pPr>
            <w:r>
              <w:rPr>
                <w:color w:val="auto"/>
                <w:lang w:bidi="zh-CN"/>
              </w:rPr>
              <w:t>2</w:t>
            </w:r>
            <w:r>
              <w:rPr>
                <w:rFonts w:hint="eastAsia"/>
                <w:color w:val="auto"/>
                <w:lang w:bidi="zh-CN"/>
              </w:rPr>
              <w:t>、废水</w:t>
            </w:r>
          </w:p>
          <w:p>
            <w:pPr>
              <w:widowControl/>
              <w:spacing w:line="520" w:lineRule="exact"/>
              <w:ind w:firstLine="480" w:firstLineChars="200"/>
              <w:jc w:val="left"/>
              <w:rPr>
                <w:color w:val="auto"/>
                <w:lang w:bidi="zh-CN"/>
              </w:rPr>
            </w:pPr>
            <w:r>
              <w:rPr>
                <w:rFonts w:hint="eastAsia"/>
                <w:color w:val="auto"/>
                <w:lang w:bidi="zh-CN"/>
              </w:rPr>
              <w:t>执行《污水综合排放标准》（</w:t>
            </w:r>
            <w:r>
              <w:rPr>
                <w:color w:val="auto"/>
                <w:lang w:bidi="zh-CN"/>
              </w:rPr>
              <w:t>GB8978-1996</w:t>
            </w:r>
            <w:r>
              <w:rPr>
                <w:rFonts w:hint="eastAsia"/>
                <w:color w:val="auto"/>
                <w:lang w:bidi="zh-CN"/>
              </w:rPr>
              <w:t>）表</w:t>
            </w:r>
            <w:r>
              <w:rPr>
                <w:color w:val="auto"/>
                <w:lang w:bidi="zh-CN"/>
              </w:rPr>
              <w:t>4</w:t>
            </w:r>
            <w:r>
              <w:rPr>
                <w:rFonts w:hint="eastAsia"/>
                <w:color w:val="auto"/>
                <w:lang w:bidi="zh-CN"/>
              </w:rPr>
              <w:t>三级标准，</w:t>
            </w:r>
            <w:r>
              <w:rPr>
                <w:rFonts w:hint="eastAsia"/>
                <w:color w:val="auto"/>
                <w:lang w:val="en-US" w:bidi="zh-CN"/>
              </w:rPr>
              <w:t>同时满足</w:t>
            </w:r>
            <w:r>
              <w:rPr>
                <w:rFonts w:hint="eastAsia"/>
                <w:color w:val="auto"/>
                <w:lang w:bidi="zh-CN"/>
              </w:rPr>
              <w:t>清丰中州水务有限公司第二污水处理厂受纳水质标准。</w:t>
            </w:r>
          </w:p>
          <w:p>
            <w:pPr>
              <w:widowControl/>
              <w:spacing w:line="520" w:lineRule="exact"/>
              <w:ind w:firstLine="482" w:firstLineChars="200"/>
              <w:jc w:val="center"/>
              <w:rPr>
                <w:rFonts w:hint="eastAsia"/>
                <w:b/>
                <w:bCs/>
                <w:color w:val="auto"/>
                <w:u w:val="none"/>
                <w:lang w:bidi="zh-CN"/>
              </w:rPr>
            </w:pPr>
            <w:r>
              <w:rPr>
                <w:rFonts w:hint="eastAsia"/>
                <w:b/>
                <w:bCs/>
                <w:color w:val="auto"/>
                <w:u w:val="none"/>
                <w:lang w:bidi="zh-CN"/>
              </w:rPr>
              <w:t>表3-</w:t>
            </w:r>
            <w:r>
              <w:rPr>
                <w:rFonts w:hint="eastAsia"/>
                <w:b/>
                <w:bCs/>
                <w:color w:val="auto"/>
                <w:u w:val="none"/>
                <w:lang w:val="en-US" w:eastAsia="zh-CN" w:bidi="zh-CN"/>
              </w:rPr>
              <w:t>9</w:t>
            </w:r>
            <w:r>
              <w:rPr>
                <w:rFonts w:hint="eastAsia"/>
                <w:b/>
                <w:bCs/>
                <w:color w:val="auto"/>
                <w:u w:val="none"/>
                <w:lang w:bidi="zh-CN"/>
              </w:rPr>
              <w:t xml:space="preserve"> </w:t>
            </w:r>
            <w:r>
              <w:rPr>
                <w:rFonts w:hint="eastAsia"/>
                <w:b/>
                <w:bCs/>
                <w:color w:val="auto"/>
                <w:u w:val="none"/>
                <w:lang w:val="en-US" w:bidi="zh-CN"/>
              </w:rPr>
              <w:t xml:space="preserve"> </w:t>
            </w:r>
            <w:r>
              <w:rPr>
                <w:rFonts w:hint="eastAsia"/>
                <w:b/>
                <w:bCs/>
                <w:color w:val="auto"/>
                <w:u w:val="none"/>
                <w:lang w:bidi="zh-CN"/>
              </w:rPr>
              <w:t>《污水综合排放标准》（GB8978-1996）表4三级标准 mg/L</w:t>
            </w:r>
          </w:p>
          <w:tbl>
            <w:tblPr>
              <w:tblStyle w:val="23"/>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410"/>
              <w:gridCol w:w="1261"/>
              <w:gridCol w:w="1205"/>
              <w:gridCol w:w="1302"/>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348"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污染物名称</w:t>
                  </w:r>
                </w:p>
              </w:tc>
              <w:tc>
                <w:tcPr>
                  <w:tcW w:w="1410"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pH</w:t>
                  </w:r>
                </w:p>
              </w:tc>
              <w:tc>
                <w:tcPr>
                  <w:tcW w:w="1261"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COD</w:t>
                  </w:r>
                </w:p>
              </w:tc>
              <w:tc>
                <w:tcPr>
                  <w:tcW w:w="1205"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氨氮</w:t>
                  </w:r>
                </w:p>
              </w:tc>
              <w:tc>
                <w:tcPr>
                  <w:tcW w:w="1302"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SS</w:t>
                  </w:r>
                </w:p>
              </w:tc>
              <w:tc>
                <w:tcPr>
                  <w:tcW w:w="1809" w:type="dxa"/>
                  <w:vAlign w:val="center"/>
                </w:tcPr>
                <w:p>
                  <w:pPr>
                    <w:widowControl/>
                    <w:spacing w:line="520" w:lineRule="exact"/>
                    <w:jc w:val="center"/>
                    <w:rPr>
                      <w:rFonts w:hint="default"/>
                      <w:b/>
                      <w:bCs/>
                      <w:color w:val="auto"/>
                      <w:sz w:val="21"/>
                      <w:szCs w:val="21"/>
                      <w:lang w:val="en-US" w:bidi="zh-CN"/>
                    </w:rPr>
                  </w:pPr>
                  <w:r>
                    <w:rPr>
                      <w:rFonts w:hint="eastAsia"/>
                      <w:b/>
                      <w:bCs/>
                      <w:color w:val="auto"/>
                      <w:sz w:val="21"/>
                      <w:szCs w:val="21"/>
                      <w:lang w:val="en-US" w:bidi="zh-CN"/>
                    </w:rPr>
                    <w:t>BOD</w:t>
                  </w:r>
                  <w:r>
                    <w:rPr>
                      <w:rFonts w:hint="eastAsia"/>
                      <w:b/>
                      <w:bCs/>
                      <w:color w:val="auto"/>
                      <w:sz w:val="21"/>
                      <w:szCs w:val="21"/>
                      <w:vertAlign w:val="subscript"/>
                      <w:lang w:val="en-US" w:bidi="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8" w:type="dxa"/>
                  <w:vAlign w:val="center"/>
                </w:tcPr>
                <w:p>
                  <w:pPr>
                    <w:widowControl/>
                    <w:spacing w:line="520" w:lineRule="exact"/>
                    <w:jc w:val="center"/>
                    <w:rPr>
                      <w:color w:val="auto"/>
                      <w:sz w:val="21"/>
                      <w:szCs w:val="21"/>
                      <w:lang w:bidi="zh-CN"/>
                    </w:rPr>
                  </w:pPr>
                  <w:r>
                    <w:rPr>
                      <w:rFonts w:hint="eastAsia"/>
                      <w:color w:val="auto"/>
                      <w:sz w:val="21"/>
                      <w:szCs w:val="21"/>
                      <w:lang w:bidi="zh-CN"/>
                    </w:rPr>
                    <w:t>（</w:t>
                  </w:r>
                  <w:r>
                    <w:rPr>
                      <w:color w:val="auto"/>
                      <w:sz w:val="21"/>
                      <w:szCs w:val="21"/>
                      <w:lang w:bidi="zh-CN"/>
                    </w:rPr>
                    <w:t>GB8978-1996</w:t>
                  </w:r>
                  <w:r>
                    <w:rPr>
                      <w:rFonts w:hint="eastAsia"/>
                      <w:color w:val="auto"/>
                      <w:sz w:val="21"/>
                      <w:szCs w:val="21"/>
                      <w:lang w:bidi="zh-CN"/>
                    </w:rPr>
                    <w:t>）三级</w:t>
                  </w:r>
                </w:p>
              </w:tc>
              <w:tc>
                <w:tcPr>
                  <w:tcW w:w="1410" w:type="dxa"/>
                  <w:vAlign w:val="center"/>
                </w:tcPr>
                <w:p>
                  <w:pPr>
                    <w:widowControl/>
                    <w:spacing w:line="520" w:lineRule="exact"/>
                    <w:jc w:val="center"/>
                    <w:rPr>
                      <w:color w:val="auto"/>
                      <w:sz w:val="21"/>
                      <w:szCs w:val="21"/>
                      <w:lang w:bidi="zh-CN"/>
                    </w:rPr>
                  </w:pPr>
                  <w:r>
                    <w:rPr>
                      <w:rFonts w:hint="eastAsia"/>
                      <w:color w:val="auto"/>
                      <w:sz w:val="21"/>
                      <w:szCs w:val="21"/>
                      <w:lang w:bidi="zh-CN"/>
                    </w:rPr>
                    <w:t>6~9</w:t>
                  </w:r>
                </w:p>
              </w:tc>
              <w:tc>
                <w:tcPr>
                  <w:tcW w:w="1261" w:type="dxa"/>
                  <w:vAlign w:val="center"/>
                </w:tcPr>
                <w:p>
                  <w:pPr>
                    <w:widowControl/>
                    <w:spacing w:line="520" w:lineRule="exact"/>
                    <w:jc w:val="center"/>
                    <w:rPr>
                      <w:color w:val="auto"/>
                      <w:sz w:val="21"/>
                      <w:szCs w:val="21"/>
                      <w:lang w:bidi="zh-CN"/>
                    </w:rPr>
                  </w:pPr>
                  <w:r>
                    <w:rPr>
                      <w:rFonts w:hint="eastAsia"/>
                      <w:color w:val="auto"/>
                      <w:sz w:val="21"/>
                      <w:szCs w:val="21"/>
                      <w:lang w:bidi="zh-CN"/>
                    </w:rPr>
                    <w:t>500</w:t>
                  </w:r>
                </w:p>
              </w:tc>
              <w:tc>
                <w:tcPr>
                  <w:tcW w:w="1205" w:type="dxa"/>
                  <w:vAlign w:val="center"/>
                </w:tcPr>
                <w:p>
                  <w:pPr>
                    <w:widowControl/>
                    <w:spacing w:line="520" w:lineRule="exact"/>
                    <w:jc w:val="center"/>
                    <w:rPr>
                      <w:color w:val="auto"/>
                      <w:sz w:val="21"/>
                      <w:szCs w:val="21"/>
                      <w:lang w:bidi="zh-CN"/>
                    </w:rPr>
                  </w:pPr>
                  <w:r>
                    <w:rPr>
                      <w:rFonts w:hint="eastAsia"/>
                      <w:color w:val="auto"/>
                      <w:sz w:val="21"/>
                      <w:szCs w:val="21"/>
                      <w:lang w:val="en-US" w:bidi="zh-CN"/>
                    </w:rPr>
                    <w:t>/</w:t>
                  </w:r>
                </w:p>
              </w:tc>
              <w:tc>
                <w:tcPr>
                  <w:tcW w:w="1302" w:type="dxa"/>
                  <w:vAlign w:val="center"/>
                </w:tcPr>
                <w:p>
                  <w:pPr>
                    <w:widowControl/>
                    <w:spacing w:line="520" w:lineRule="exact"/>
                    <w:jc w:val="center"/>
                    <w:rPr>
                      <w:color w:val="auto"/>
                      <w:sz w:val="21"/>
                      <w:szCs w:val="21"/>
                      <w:lang w:bidi="zh-CN"/>
                    </w:rPr>
                  </w:pPr>
                  <w:r>
                    <w:rPr>
                      <w:rFonts w:hint="eastAsia"/>
                      <w:color w:val="auto"/>
                      <w:sz w:val="21"/>
                      <w:szCs w:val="21"/>
                      <w:lang w:bidi="zh-CN"/>
                    </w:rPr>
                    <w:t>400</w:t>
                  </w:r>
                </w:p>
              </w:tc>
              <w:tc>
                <w:tcPr>
                  <w:tcW w:w="1809" w:type="dxa"/>
                  <w:vAlign w:val="center"/>
                </w:tcPr>
                <w:p>
                  <w:pPr>
                    <w:widowControl/>
                    <w:spacing w:line="520" w:lineRule="exact"/>
                    <w:jc w:val="center"/>
                    <w:rPr>
                      <w:color w:val="auto"/>
                      <w:sz w:val="21"/>
                      <w:szCs w:val="21"/>
                      <w:lang w:bidi="zh-CN"/>
                    </w:rPr>
                  </w:pPr>
                  <w:r>
                    <w:rPr>
                      <w:rFonts w:hint="eastAsia"/>
                      <w:color w:val="auto"/>
                      <w:sz w:val="21"/>
                      <w:szCs w:val="21"/>
                      <w:lang w:val="en-US" w:bidi="zh-CN"/>
                    </w:rPr>
                    <w:t>3</w:t>
                  </w:r>
                  <w:r>
                    <w:rPr>
                      <w:rFonts w:hint="eastAsia"/>
                      <w:color w:val="auto"/>
                      <w:sz w:val="21"/>
                      <w:szCs w:val="21"/>
                      <w:lang w:bidi="zh-CN"/>
                    </w:rPr>
                    <w:t>00</w:t>
                  </w:r>
                </w:p>
              </w:tc>
            </w:tr>
          </w:tbl>
          <w:p>
            <w:pPr>
              <w:widowControl/>
              <w:spacing w:line="520" w:lineRule="exact"/>
              <w:ind w:firstLine="482" w:firstLineChars="200"/>
              <w:jc w:val="center"/>
              <w:rPr>
                <w:rFonts w:hint="eastAsia"/>
                <w:b/>
                <w:bCs/>
                <w:color w:val="auto"/>
                <w:u w:val="none"/>
                <w:lang w:bidi="zh-CN"/>
              </w:rPr>
            </w:pPr>
            <w:r>
              <w:rPr>
                <w:rFonts w:hint="eastAsia"/>
                <w:b/>
                <w:bCs/>
                <w:color w:val="auto"/>
                <w:u w:val="none"/>
                <w:lang w:bidi="zh-CN"/>
              </w:rPr>
              <w:t>表3-</w:t>
            </w:r>
            <w:r>
              <w:rPr>
                <w:rFonts w:hint="eastAsia"/>
                <w:b/>
                <w:bCs/>
                <w:color w:val="auto"/>
                <w:u w:val="none"/>
                <w:lang w:val="en-US" w:eastAsia="zh-CN" w:bidi="zh-CN"/>
              </w:rPr>
              <w:t>10</w:t>
            </w:r>
            <w:r>
              <w:rPr>
                <w:rFonts w:hint="eastAsia"/>
                <w:b/>
                <w:bCs/>
                <w:color w:val="auto"/>
                <w:u w:val="none"/>
                <w:lang w:bidi="zh-CN"/>
              </w:rPr>
              <w:t xml:space="preserve"> </w:t>
            </w:r>
            <w:r>
              <w:rPr>
                <w:rFonts w:hint="eastAsia"/>
                <w:b/>
                <w:bCs/>
                <w:color w:val="auto"/>
                <w:u w:val="none"/>
                <w:lang w:val="en-US" w:bidi="zh-CN"/>
              </w:rPr>
              <w:t xml:space="preserve"> </w:t>
            </w:r>
            <w:r>
              <w:rPr>
                <w:rFonts w:hint="eastAsia"/>
                <w:b/>
                <w:bCs/>
                <w:color w:val="auto"/>
                <w:u w:val="none"/>
                <w:lang w:bidi="zh-CN"/>
              </w:rPr>
              <w:t>清丰中州水务有限公司第二污水处理厂设计进出水水质 mg/L</w:t>
            </w:r>
          </w:p>
          <w:tbl>
            <w:tblPr>
              <w:tblStyle w:val="23"/>
              <w:tblW w:w="9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1158"/>
              <w:gridCol w:w="1158"/>
              <w:gridCol w:w="1567"/>
              <w:gridCol w:w="1356"/>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1"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指标</w:t>
                  </w:r>
                </w:p>
              </w:tc>
              <w:tc>
                <w:tcPr>
                  <w:tcW w:w="1158" w:type="dxa"/>
                  <w:vAlign w:val="center"/>
                </w:tcPr>
                <w:p>
                  <w:pPr>
                    <w:widowControl/>
                    <w:spacing w:line="520" w:lineRule="exact"/>
                    <w:jc w:val="center"/>
                    <w:rPr>
                      <w:rFonts w:hint="eastAsia"/>
                      <w:b/>
                      <w:bCs/>
                      <w:color w:val="auto"/>
                      <w:sz w:val="21"/>
                      <w:szCs w:val="21"/>
                      <w:lang w:bidi="zh-CN"/>
                    </w:rPr>
                  </w:pPr>
                  <w:r>
                    <w:rPr>
                      <w:rFonts w:hint="eastAsia"/>
                      <w:b/>
                      <w:bCs/>
                      <w:color w:val="auto"/>
                      <w:sz w:val="21"/>
                      <w:szCs w:val="21"/>
                      <w:lang w:bidi="zh-CN"/>
                    </w:rPr>
                    <w:t>pH</w:t>
                  </w:r>
                </w:p>
              </w:tc>
              <w:tc>
                <w:tcPr>
                  <w:tcW w:w="1158"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COD</w:t>
                  </w:r>
                </w:p>
              </w:tc>
              <w:tc>
                <w:tcPr>
                  <w:tcW w:w="1567"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BOD</w:t>
                  </w:r>
                  <w:r>
                    <w:rPr>
                      <w:rFonts w:hint="eastAsia"/>
                      <w:b/>
                      <w:bCs/>
                      <w:color w:val="auto"/>
                      <w:sz w:val="21"/>
                      <w:szCs w:val="21"/>
                      <w:vertAlign w:val="subscript"/>
                      <w:lang w:bidi="zh-CN"/>
                    </w:rPr>
                    <w:t>5</w:t>
                  </w:r>
                </w:p>
              </w:tc>
              <w:tc>
                <w:tcPr>
                  <w:tcW w:w="1356"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SS</w:t>
                  </w:r>
                </w:p>
              </w:tc>
              <w:tc>
                <w:tcPr>
                  <w:tcW w:w="1385"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NH</w:t>
                  </w:r>
                  <w:r>
                    <w:rPr>
                      <w:rFonts w:hint="eastAsia"/>
                      <w:b/>
                      <w:bCs/>
                      <w:color w:val="auto"/>
                      <w:sz w:val="21"/>
                      <w:szCs w:val="21"/>
                      <w:vertAlign w:val="subscript"/>
                      <w:lang w:bidi="zh-CN"/>
                    </w:rPr>
                    <w:t>3</w:t>
                  </w:r>
                  <w:r>
                    <w:rPr>
                      <w:rFonts w:hint="eastAsia"/>
                      <w:b/>
                      <w:bCs/>
                      <w:color w:val="auto"/>
                      <w:sz w:val="21"/>
                      <w:szCs w:val="21"/>
                      <w:lang w:bidi="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1" w:type="dxa"/>
                  <w:vAlign w:val="center"/>
                </w:tcPr>
                <w:p>
                  <w:pPr>
                    <w:widowControl/>
                    <w:spacing w:line="520" w:lineRule="exact"/>
                    <w:jc w:val="center"/>
                    <w:rPr>
                      <w:color w:val="auto"/>
                      <w:sz w:val="21"/>
                      <w:szCs w:val="21"/>
                      <w:lang w:bidi="zh-CN"/>
                    </w:rPr>
                  </w:pPr>
                  <w:r>
                    <w:rPr>
                      <w:rFonts w:hint="eastAsia"/>
                      <w:color w:val="auto"/>
                      <w:sz w:val="21"/>
                      <w:szCs w:val="21"/>
                      <w:lang w:bidi="zh-CN"/>
                    </w:rPr>
                    <w:t>设计进水水质mg/L</w:t>
                  </w:r>
                </w:p>
              </w:tc>
              <w:tc>
                <w:tcPr>
                  <w:tcW w:w="1158" w:type="dxa"/>
                  <w:vAlign w:val="center"/>
                </w:tcPr>
                <w:p>
                  <w:pPr>
                    <w:widowControl/>
                    <w:spacing w:line="520" w:lineRule="exact"/>
                    <w:jc w:val="center"/>
                    <w:rPr>
                      <w:rFonts w:hint="eastAsia"/>
                      <w:color w:val="auto"/>
                      <w:sz w:val="21"/>
                      <w:szCs w:val="21"/>
                      <w:lang w:bidi="zh-CN"/>
                    </w:rPr>
                  </w:pPr>
                  <w:r>
                    <w:rPr>
                      <w:rFonts w:hint="eastAsia"/>
                      <w:color w:val="auto"/>
                      <w:sz w:val="21"/>
                      <w:szCs w:val="21"/>
                      <w:lang w:bidi="zh-CN"/>
                    </w:rPr>
                    <w:t>6~9</w:t>
                  </w:r>
                </w:p>
              </w:tc>
              <w:tc>
                <w:tcPr>
                  <w:tcW w:w="1158" w:type="dxa"/>
                  <w:vAlign w:val="center"/>
                </w:tcPr>
                <w:p>
                  <w:pPr>
                    <w:widowControl/>
                    <w:spacing w:line="520" w:lineRule="exact"/>
                    <w:jc w:val="center"/>
                    <w:rPr>
                      <w:color w:val="auto"/>
                      <w:sz w:val="21"/>
                      <w:szCs w:val="21"/>
                      <w:lang w:bidi="zh-CN"/>
                    </w:rPr>
                  </w:pPr>
                  <w:r>
                    <w:rPr>
                      <w:rFonts w:hint="eastAsia"/>
                      <w:color w:val="auto"/>
                      <w:sz w:val="21"/>
                      <w:szCs w:val="21"/>
                      <w:lang w:bidi="zh-CN"/>
                    </w:rPr>
                    <w:t>350</w:t>
                  </w:r>
                </w:p>
              </w:tc>
              <w:tc>
                <w:tcPr>
                  <w:tcW w:w="1567" w:type="dxa"/>
                  <w:vAlign w:val="center"/>
                </w:tcPr>
                <w:p>
                  <w:pPr>
                    <w:widowControl/>
                    <w:spacing w:line="520" w:lineRule="exact"/>
                    <w:jc w:val="center"/>
                    <w:rPr>
                      <w:color w:val="auto"/>
                      <w:sz w:val="21"/>
                      <w:szCs w:val="21"/>
                      <w:lang w:bidi="zh-CN"/>
                    </w:rPr>
                  </w:pPr>
                  <w:r>
                    <w:rPr>
                      <w:rFonts w:hint="eastAsia"/>
                      <w:color w:val="auto"/>
                      <w:sz w:val="21"/>
                      <w:szCs w:val="21"/>
                      <w:lang w:bidi="zh-CN"/>
                    </w:rPr>
                    <w:t>170</w:t>
                  </w:r>
                </w:p>
              </w:tc>
              <w:tc>
                <w:tcPr>
                  <w:tcW w:w="1356" w:type="dxa"/>
                  <w:vAlign w:val="center"/>
                </w:tcPr>
                <w:p>
                  <w:pPr>
                    <w:widowControl/>
                    <w:spacing w:line="520" w:lineRule="exact"/>
                    <w:jc w:val="center"/>
                    <w:rPr>
                      <w:color w:val="auto"/>
                      <w:sz w:val="21"/>
                      <w:szCs w:val="21"/>
                      <w:lang w:bidi="zh-CN"/>
                    </w:rPr>
                  </w:pPr>
                  <w:r>
                    <w:rPr>
                      <w:rFonts w:hint="eastAsia"/>
                      <w:color w:val="auto"/>
                      <w:sz w:val="21"/>
                      <w:szCs w:val="21"/>
                      <w:lang w:bidi="zh-CN"/>
                    </w:rPr>
                    <w:t>210</w:t>
                  </w:r>
                </w:p>
              </w:tc>
              <w:tc>
                <w:tcPr>
                  <w:tcW w:w="1385" w:type="dxa"/>
                  <w:vAlign w:val="center"/>
                </w:tcPr>
                <w:p>
                  <w:pPr>
                    <w:widowControl/>
                    <w:spacing w:line="520" w:lineRule="exact"/>
                    <w:jc w:val="center"/>
                    <w:rPr>
                      <w:color w:val="auto"/>
                      <w:sz w:val="21"/>
                      <w:szCs w:val="21"/>
                      <w:lang w:bidi="zh-CN"/>
                    </w:rPr>
                  </w:pPr>
                  <w:r>
                    <w:rPr>
                      <w:rFonts w:hint="eastAsia"/>
                      <w:color w:val="auto"/>
                      <w:sz w:val="21"/>
                      <w:szCs w:val="21"/>
                      <w:lang w:bidi="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1" w:type="dxa"/>
                  <w:vAlign w:val="center"/>
                </w:tcPr>
                <w:p>
                  <w:pPr>
                    <w:widowControl/>
                    <w:spacing w:line="520" w:lineRule="exact"/>
                    <w:jc w:val="center"/>
                    <w:rPr>
                      <w:color w:val="auto"/>
                      <w:sz w:val="21"/>
                      <w:szCs w:val="21"/>
                      <w:lang w:bidi="zh-CN"/>
                    </w:rPr>
                  </w:pPr>
                  <w:r>
                    <w:rPr>
                      <w:rFonts w:hint="eastAsia"/>
                      <w:color w:val="auto"/>
                      <w:sz w:val="21"/>
                      <w:szCs w:val="21"/>
                      <w:lang w:bidi="zh-CN"/>
                    </w:rPr>
                    <w:t>设计出水水质mg/L</w:t>
                  </w:r>
                </w:p>
              </w:tc>
              <w:tc>
                <w:tcPr>
                  <w:tcW w:w="1158" w:type="dxa"/>
                  <w:vAlign w:val="center"/>
                </w:tcPr>
                <w:p>
                  <w:pPr>
                    <w:widowControl/>
                    <w:spacing w:line="520" w:lineRule="exact"/>
                    <w:jc w:val="center"/>
                    <w:rPr>
                      <w:rFonts w:hint="eastAsia"/>
                      <w:color w:val="auto"/>
                      <w:sz w:val="21"/>
                      <w:szCs w:val="21"/>
                      <w:lang w:bidi="zh-CN"/>
                    </w:rPr>
                  </w:pPr>
                  <w:r>
                    <w:rPr>
                      <w:rFonts w:hint="eastAsia"/>
                      <w:b/>
                      <w:bCs/>
                      <w:color w:val="auto"/>
                      <w:sz w:val="21"/>
                      <w:szCs w:val="21"/>
                      <w:lang w:bidi="zh-CN"/>
                    </w:rPr>
                    <w:t>pH</w:t>
                  </w:r>
                </w:p>
              </w:tc>
              <w:tc>
                <w:tcPr>
                  <w:tcW w:w="1158" w:type="dxa"/>
                  <w:vAlign w:val="center"/>
                </w:tcPr>
                <w:p>
                  <w:pPr>
                    <w:widowControl/>
                    <w:spacing w:line="520" w:lineRule="exact"/>
                    <w:jc w:val="center"/>
                    <w:rPr>
                      <w:color w:val="auto"/>
                      <w:sz w:val="21"/>
                      <w:szCs w:val="21"/>
                      <w:lang w:bidi="zh-CN"/>
                    </w:rPr>
                  </w:pPr>
                  <w:r>
                    <w:rPr>
                      <w:rFonts w:hint="eastAsia"/>
                      <w:color w:val="auto"/>
                      <w:sz w:val="21"/>
                      <w:szCs w:val="21"/>
                      <w:lang w:bidi="zh-CN"/>
                    </w:rPr>
                    <w:t>≤40</w:t>
                  </w:r>
                </w:p>
              </w:tc>
              <w:tc>
                <w:tcPr>
                  <w:tcW w:w="1567" w:type="dxa"/>
                  <w:vAlign w:val="center"/>
                </w:tcPr>
                <w:p>
                  <w:pPr>
                    <w:widowControl/>
                    <w:spacing w:line="520" w:lineRule="exact"/>
                    <w:jc w:val="center"/>
                    <w:rPr>
                      <w:color w:val="auto"/>
                      <w:sz w:val="21"/>
                      <w:szCs w:val="21"/>
                      <w:lang w:bidi="zh-CN"/>
                    </w:rPr>
                  </w:pPr>
                  <w:r>
                    <w:rPr>
                      <w:rFonts w:hint="eastAsia"/>
                      <w:color w:val="auto"/>
                      <w:sz w:val="21"/>
                      <w:szCs w:val="21"/>
                      <w:lang w:bidi="zh-CN"/>
                    </w:rPr>
                    <w:t>≤10</w:t>
                  </w:r>
                </w:p>
              </w:tc>
              <w:tc>
                <w:tcPr>
                  <w:tcW w:w="1356" w:type="dxa"/>
                  <w:vAlign w:val="center"/>
                </w:tcPr>
                <w:p>
                  <w:pPr>
                    <w:widowControl/>
                    <w:spacing w:line="520" w:lineRule="exact"/>
                    <w:jc w:val="center"/>
                    <w:rPr>
                      <w:color w:val="auto"/>
                      <w:sz w:val="21"/>
                      <w:szCs w:val="21"/>
                      <w:lang w:bidi="zh-CN"/>
                    </w:rPr>
                  </w:pPr>
                  <w:r>
                    <w:rPr>
                      <w:rFonts w:hint="eastAsia"/>
                      <w:color w:val="auto"/>
                      <w:sz w:val="21"/>
                      <w:szCs w:val="21"/>
                      <w:lang w:bidi="zh-CN"/>
                    </w:rPr>
                    <w:t>≤10</w:t>
                  </w:r>
                </w:p>
              </w:tc>
              <w:tc>
                <w:tcPr>
                  <w:tcW w:w="1385" w:type="dxa"/>
                  <w:vAlign w:val="center"/>
                </w:tcPr>
                <w:p>
                  <w:pPr>
                    <w:widowControl/>
                    <w:spacing w:line="520" w:lineRule="exact"/>
                    <w:jc w:val="center"/>
                    <w:rPr>
                      <w:color w:val="auto"/>
                      <w:sz w:val="21"/>
                      <w:szCs w:val="21"/>
                      <w:lang w:bidi="zh-CN"/>
                    </w:rPr>
                  </w:pPr>
                  <w:r>
                    <w:rPr>
                      <w:rFonts w:hint="eastAsia"/>
                      <w:color w:val="auto"/>
                      <w:sz w:val="21"/>
                      <w:szCs w:val="21"/>
                      <w:lang w:bidi="zh-CN"/>
                    </w:rPr>
                    <w:t>≤2</w:t>
                  </w:r>
                </w:p>
              </w:tc>
            </w:tr>
          </w:tbl>
          <w:p>
            <w:pPr>
              <w:widowControl/>
              <w:spacing w:line="520" w:lineRule="exact"/>
              <w:jc w:val="left"/>
              <w:rPr>
                <w:b/>
                <w:bCs/>
                <w:color w:val="auto"/>
                <w:lang w:bidi="zh-CN"/>
              </w:rPr>
            </w:pPr>
            <w:r>
              <w:rPr>
                <w:b/>
                <w:bCs/>
                <w:color w:val="auto"/>
                <w:lang w:bidi="zh-CN"/>
              </w:rPr>
              <w:t>3</w:t>
            </w:r>
            <w:r>
              <w:rPr>
                <w:rFonts w:hint="eastAsia"/>
                <w:b/>
                <w:bCs/>
                <w:color w:val="auto"/>
                <w:lang w:bidi="zh-CN"/>
              </w:rPr>
              <w:t>、噪声</w:t>
            </w:r>
          </w:p>
          <w:p>
            <w:pPr>
              <w:widowControl/>
              <w:spacing w:line="520" w:lineRule="exact"/>
              <w:ind w:firstLine="480" w:firstLineChars="200"/>
              <w:jc w:val="left"/>
              <w:rPr>
                <w:color w:val="auto"/>
                <w:lang w:bidi="zh-CN"/>
              </w:rPr>
            </w:pPr>
            <w:r>
              <w:rPr>
                <w:rFonts w:hint="eastAsia"/>
                <w:color w:val="auto"/>
                <w:lang w:bidi="zh-CN"/>
              </w:rPr>
              <w:t>营运期执行《工业企业厂界环境噪声排放标准》（</w:t>
            </w:r>
            <w:r>
              <w:rPr>
                <w:color w:val="auto"/>
                <w:lang w:bidi="zh-CN"/>
              </w:rPr>
              <w:t>GB12348-2008</w:t>
            </w:r>
            <w:r>
              <w:rPr>
                <w:rFonts w:hint="eastAsia"/>
                <w:color w:val="auto"/>
                <w:lang w:bidi="zh-CN"/>
              </w:rPr>
              <w:t>）</w:t>
            </w:r>
            <w:r>
              <w:rPr>
                <w:color w:val="auto"/>
                <w:lang w:bidi="zh-CN"/>
              </w:rPr>
              <w:t>3</w:t>
            </w:r>
            <w:r>
              <w:rPr>
                <w:rFonts w:hint="eastAsia"/>
                <w:color w:val="auto"/>
                <w:lang w:bidi="zh-CN"/>
              </w:rPr>
              <w:t>类标准。</w:t>
            </w:r>
          </w:p>
          <w:p>
            <w:pPr>
              <w:widowControl/>
              <w:spacing w:line="520" w:lineRule="exact"/>
              <w:ind w:firstLine="482" w:firstLineChars="200"/>
              <w:jc w:val="center"/>
              <w:rPr>
                <w:rFonts w:hint="eastAsia"/>
                <w:b/>
                <w:bCs/>
                <w:color w:val="auto"/>
                <w:u w:val="none"/>
                <w:lang w:eastAsia="zh-CN" w:bidi="zh-CN"/>
              </w:rPr>
            </w:pPr>
            <w:r>
              <w:rPr>
                <w:rFonts w:hint="eastAsia"/>
                <w:b/>
                <w:bCs/>
                <w:color w:val="auto"/>
                <w:u w:val="none"/>
                <w:lang w:bidi="zh-CN"/>
              </w:rPr>
              <w:t>表3-</w:t>
            </w:r>
            <w:r>
              <w:rPr>
                <w:rFonts w:hint="eastAsia"/>
                <w:b/>
                <w:bCs/>
                <w:color w:val="auto"/>
                <w:u w:val="none"/>
                <w:lang w:val="en-US" w:eastAsia="zh-CN" w:bidi="zh-CN"/>
              </w:rPr>
              <w:t xml:space="preserve">11 </w:t>
            </w:r>
            <w:r>
              <w:rPr>
                <w:rFonts w:hint="eastAsia"/>
                <w:b/>
                <w:bCs/>
                <w:color w:val="auto"/>
                <w:u w:val="none"/>
                <w:lang w:bidi="zh-CN"/>
              </w:rPr>
              <w:t xml:space="preserve"> 工业企业环境噪声排放标准 单位：dB</w:t>
            </w:r>
            <w:r>
              <w:rPr>
                <w:rFonts w:hint="eastAsia"/>
                <w:b/>
                <w:bCs/>
                <w:color w:val="auto"/>
                <w:u w:val="none"/>
                <w:lang w:eastAsia="zh-CN" w:bidi="zh-CN"/>
              </w:rPr>
              <w:t>（</w:t>
            </w:r>
            <w:r>
              <w:rPr>
                <w:rFonts w:hint="eastAsia"/>
                <w:b/>
                <w:bCs/>
                <w:color w:val="auto"/>
                <w:u w:val="none"/>
                <w:lang w:bidi="zh-CN"/>
              </w:rPr>
              <w:t>A</w:t>
            </w:r>
            <w:r>
              <w:rPr>
                <w:rFonts w:hint="eastAsia"/>
                <w:b/>
                <w:bCs/>
                <w:color w:val="auto"/>
                <w:u w:val="none"/>
                <w:lang w:eastAsia="zh-CN" w:bidi="zh-CN"/>
              </w:rPr>
              <w:t>）</w:t>
            </w:r>
          </w:p>
          <w:tbl>
            <w:tblPr>
              <w:tblStyle w:val="23"/>
              <w:tblW w:w="9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381"/>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9"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标准类别</w:t>
                  </w:r>
                </w:p>
              </w:tc>
              <w:tc>
                <w:tcPr>
                  <w:tcW w:w="2381"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昼间</w:t>
                  </w:r>
                </w:p>
              </w:tc>
              <w:tc>
                <w:tcPr>
                  <w:tcW w:w="3950" w:type="dxa"/>
                  <w:vAlign w:val="center"/>
                </w:tcPr>
                <w:p>
                  <w:pPr>
                    <w:widowControl/>
                    <w:spacing w:line="520" w:lineRule="exact"/>
                    <w:jc w:val="center"/>
                    <w:rPr>
                      <w:b/>
                      <w:bCs/>
                      <w:color w:val="auto"/>
                      <w:sz w:val="21"/>
                      <w:szCs w:val="21"/>
                      <w:lang w:bidi="zh-CN"/>
                    </w:rPr>
                  </w:pPr>
                  <w:r>
                    <w:rPr>
                      <w:rFonts w:hint="eastAsia"/>
                      <w:b/>
                      <w:bCs/>
                      <w:color w:val="auto"/>
                      <w:sz w:val="21"/>
                      <w:szCs w:val="21"/>
                      <w:lang w:bidi="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9" w:type="dxa"/>
                  <w:vAlign w:val="center"/>
                </w:tcPr>
                <w:p>
                  <w:pPr>
                    <w:widowControl/>
                    <w:spacing w:line="520" w:lineRule="exact"/>
                    <w:jc w:val="center"/>
                    <w:rPr>
                      <w:color w:val="auto"/>
                      <w:sz w:val="21"/>
                      <w:szCs w:val="21"/>
                      <w:lang w:bidi="zh-CN"/>
                    </w:rPr>
                  </w:pPr>
                  <w:r>
                    <w:rPr>
                      <w:rFonts w:hint="eastAsia"/>
                      <w:color w:val="auto"/>
                      <w:sz w:val="21"/>
                      <w:szCs w:val="21"/>
                      <w:lang w:bidi="zh-CN"/>
                    </w:rPr>
                    <w:t>3类</w:t>
                  </w:r>
                </w:p>
              </w:tc>
              <w:tc>
                <w:tcPr>
                  <w:tcW w:w="2381" w:type="dxa"/>
                  <w:vAlign w:val="center"/>
                </w:tcPr>
                <w:p>
                  <w:pPr>
                    <w:widowControl/>
                    <w:spacing w:line="520" w:lineRule="exact"/>
                    <w:jc w:val="center"/>
                    <w:rPr>
                      <w:color w:val="auto"/>
                      <w:sz w:val="21"/>
                      <w:szCs w:val="21"/>
                      <w:lang w:bidi="zh-CN"/>
                    </w:rPr>
                  </w:pPr>
                  <w:r>
                    <w:rPr>
                      <w:rFonts w:hint="eastAsia"/>
                      <w:color w:val="auto"/>
                      <w:sz w:val="21"/>
                      <w:szCs w:val="21"/>
                      <w:lang w:bidi="zh-CN"/>
                    </w:rPr>
                    <w:t>65</w:t>
                  </w:r>
                </w:p>
              </w:tc>
              <w:tc>
                <w:tcPr>
                  <w:tcW w:w="3950" w:type="dxa"/>
                  <w:vAlign w:val="center"/>
                </w:tcPr>
                <w:p>
                  <w:pPr>
                    <w:widowControl/>
                    <w:spacing w:line="520" w:lineRule="exact"/>
                    <w:jc w:val="center"/>
                    <w:rPr>
                      <w:color w:val="auto"/>
                      <w:sz w:val="21"/>
                      <w:szCs w:val="21"/>
                      <w:lang w:bidi="zh-CN"/>
                    </w:rPr>
                  </w:pPr>
                  <w:r>
                    <w:rPr>
                      <w:rFonts w:hint="eastAsia"/>
                      <w:color w:val="auto"/>
                      <w:sz w:val="21"/>
                      <w:szCs w:val="21"/>
                      <w:lang w:bidi="zh-CN"/>
                    </w:rPr>
                    <w:t>55</w:t>
                  </w:r>
                </w:p>
              </w:tc>
            </w:tr>
          </w:tbl>
          <w:p>
            <w:pPr>
              <w:widowControl/>
              <w:spacing w:line="520" w:lineRule="exact"/>
              <w:jc w:val="left"/>
              <w:rPr>
                <w:b/>
                <w:bCs/>
                <w:color w:val="auto"/>
                <w:lang w:bidi="zh-CN"/>
              </w:rPr>
            </w:pPr>
            <w:r>
              <w:rPr>
                <w:b/>
                <w:bCs/>
                <w:color w:val="auto"/>
                <w:lang w:bidi="zh-CN"/>
              </w:rPr>
              <w:t>4</w:t>
            </w:r>
            <w:r>
              <w:rPr>
                <w:rFonts w:hint="eastAsia"/>
                <w:b/>
                <w:bCs/>
                <w:color w:val="auto"/>
                <w:lang w:bidi="zh-CN"/>
              </w:rPr>
              <w:t>、固废</w:t>
            </w:r>
          </w:p>
          <w:p>
            <w:pPr>
              <w:widowControl/>
              <w:spacing w:line="520" w:lineRule="exact"/>
              <w:ind w:firstLine="480" w:firstLineChars="200"/>
              <w:jc w:val="left"/>
              <w:rPr>
                <w:color w:val="auto"/>
              </w:rPr>
            </w:pPr>
            <w:r>
              <w:rPr>
                <w:rFonts w:hint="eastAsia"/>
                <w:color w:val="auto"/>
                <w:lang w:bidi="zh-CN"/>
              </w:rPr>
              <w:t>一般固废执行《一般工业固体废物贮存和填埋污染控制标准》（</w:t>
            </w:r>
            <w:r>
              <w:rPr>
                <w:color w:val="auto"/>
                <w:lang w:bidi="zh-CN"/>
              </w:rPr>
              <w:t>GB18599-2020</w:t>
            </w:r>
            <w:r>
              <w:rPr>
                <w:rFonts w:hint="eastAsia"/>
                <w:color w:val="auto"/>
                <w:lang w:bidi="zh-CN"/>
              </w:rPr>
              <w:t>）；危险废物执行《危险废物贮存污染控制标准》（</w:t>
            </w:r>
            <w:r>
              <w:rPr>
                <w:color w:val="auto"/>
                <w:lang w:bidi="zh-CN"/>
              </w:rPr>
              <w:t>GB18597-2023</w:t>
            </w:r>
            <w:r>
              <w:rPr>
                <w:rFonts w:hint="eastAsia"/>
                <w:color w:val="auto"/>
                <w:lang w:bidi="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797" w:hRule="atLeast"/>
          <w:jc w:val="center"/>
        </w:trPr>
        <w:tc>
          <w:tcPr>
            <w:tcW w:w="700" w:type="dxa"/>
            <w:tcBorders>
              <w:tl2br w:val="nil"/>
              <w:tr2bl w:val="nil"/>
            </w:tcBorders>
            <w:vAlign w:val="center"/>
          </w:tcPr>
          <w:p>
            <w:pPr>
              <w:adjustRightInd w:val="0"/>
              <w:snapToGrid w:val="0"/>
              <w:jc w:val="center"/>
              <w:rPr>
                <w:color w:val="auto"/>
              </w:rPr>
            </w:pPr>
            <w:r>
              <w:rPr>
                <w:rFonts w:hint="eastAsia" w:ascii="宋体" w:hAnsi="宋体" w:cs="宋体"/>
                <w:b/>
                <w:bCs/>
                <w:color w:val="auto"/>
                <w:kern w:val="21"/>
                <w:szCs w:val="21"/>
              </w:rPr>
              <w:t>总量控制指标</w:t>
            </w:r>
          </w:p>
        </w:tc>
        <w:tc>
          <w:tcPr>
            <w:tcW w:w="9565" w:type="dxa"/>
            <w:tcBorders>
              <w:tl2br w:val="nil"/>
              <w:tr2bl w:val="nil"/>
            </w:tcBorders>
          </w:tcPr>
          <w:p>
            <w:pPr>
              <w:widowControl/>
              <w:spacing w:line="520" w:lineRule="exact"/>
              <w:ind w:firstLine="482" w:firstLineChars="200"/>
              <w:jc w:val="left"/>
              <w:rPr>
                <w:b/>
                <w:bCs/>
                <w:color w:val="auto"/>
                <w:u w:val="single"/>
                <w:lang w:bidi="zh-CN"/>
              </w:rPr>
            </w:pPr>
            <w:r>
              <w:rPr>
                <w:rFonts w:hint="eastAsia"/>
                <w:b/>
                <w:bCs/>
                <w:color w:val="auto"/>
                <w:u w:val="single"/>
                <w:lang w:bidi="zh-CN"/>
              </w:rPr>
              <w:t>评价按照国家及地方环保部门总量控制的要求，提出项目完成后污染物总量控制建议指标，作为地方环境管理的依据。</w:t>
            </w:r>
          </w:p>
          <w:p>
            <w:pPr>
              <w:widowControl/>
              <w:spacing w:line="520" w:lineRule="exact"/>
              <w:ind w:firstLine="482" w:firstLineChars="200"/>
              <w:jc w:val="left"/>
              <w:rPr>
                <w:b/>
                <w:bCs/>
                <w:color w:val="auto"/>
                <w:u w:val="single"/>
                <w:lang w:bidi="zh-CN"/>
              </w:rPr>
            </w:pPr>
            <w:r>
              <w:rPr>
                <w:rFonts w:hint="eastAsia"/>
                <w:b/>
                <w:bCs/>
                <w:color w:val="auto"/>
                <w:u w:val="single"/>
                <w:lang w:bidi="zh-CN"/>
              </w:rPr>
              <w:t>根据建设项目工程分析，建议项目申请总量为：</w:t>
            </w:r>
          </w:p>
          <w:p>
            <w:pPr>
              <w:widowControl/>
              <w:spacing w:line="520" w:lineRule="exact"/>
              <w:ind w:firstLine="482" w:firstLineChars="200"/>
              <w:jc w:val="left"/>
              <w:rPr>
                <w:b/>
                <w:bCs/>
                <w:color w:val="auto"/>
                <w:u w:val="single"/>
                <w:lang w:bidi="zh-CN"/>
              </w:rPr>
            </w:pPr>
            <w:r>
              <w:rPr>
                <w:rFonts w:hint="eastAsia"/>
                <w:b/>
                <w:bCs/>
                <w:color w:val="auto"/>
                <w:u w:val="single"/>
                <w:lang w:bidi="zh-CN"/>
              </w:rPr>
              <w:t>厂区预处理后：</w:t>
            </w:r>
            <w:r>
              <w:rPr>
                <w:b/>
                <w:bCs/>
                <w:color w:val="auto"/>
                <w:u w:val="single"/>
                <w:lang w:bidi="zh-CN"/>
              </w:rPr>
              <w:t>COD</w:t>
            </w:r>
            <w:r>
              <w:rPr>
                <w:rFonts w:hint="eastAsia"/>
                <w:b/>
                <w:bCs/>
                <w:color w:val="auto"/>
                <w:u w:val="single"/>
                <w:lang w:bidi="zh-CN"/>
              </w:rPr>
              <w:t>：</w:t>
            </w:r>
            <w:r>
              <w:rPr>
                <w:b/>
                <w:bCs/>
                <w:color w:val="auto"/>
                <w:u w:val="single"/>
                <w:lang w:bidi="zh-CN"/>
              </w:rPr>
              <w:t>0.</w:t>
            </w:r>
            <w:r>
              <w:rPr>
                <w:rFonts w:hint="eastAsia"/>
                <w:b/>
                <w:bCs/>
                <w:color w:val="auto"/>
                <w:u w:val="single"/>
                <w:lang w:val="en-US" w:bidi="zh-CN"/>
              </w:rPr>
              <w:t>1346</w:t>
            </w:r>
            <w:r>
              <w:rPr>
                <w:b/>
                <w:bCs/>
                <w:color w:val="auto"/>
                <w:u w:val="single"/>
                <w:lang w:bidi="zh-CN"/>
              </w:rPr>
              <w:t>t/a</w:t>
            </w:r>
            <w:r>
              <w:rPr>
                <w:rFonts w:hint="eastAsia"/>
                <w:b/>
                <w:bCs/>
                <w:color w:val="auto"/>
                <w:u w:val="single"/>
                <w:lang w:bidi="zh-CN"/>
              </w:rPr>
              <w:t>、</w:t>
            </w:r>
            <w:r>
              <w:rPr>
                <w:b/>
                <w:bCs/>
                <w:color w:val="auto"/>
                <w:u w:val="single"/>
                <w:lang w:bidi="zh-CN"/>
              </w:rPr>
              <w:t>NH</w:t>
            </w:r>
            <w:r>
              <w:rPr>
                <w:b/>
                <w:bCs/>
                <w:color w:val="auto"/>
                <w:u w:val="single"/>
                <w:vertAlign w:val="subscript"/>
                <w:lang w:bidi="zh-CN"/>
              </w:rPr>
              <w:t>3</w:t>
            </w:r>
            <w:r>
              <w:rPr>
                <w:b/>
                <w:bCs/>
                <w:color w:val="auto"/>
                <w:u w:val="single"/>
                <w:lang w:bidi="zh-CN"/>
              </w:rPr>
              <w:t>-N</w:t>
            </w:r>
            <w:r>
              <w:rPr>
                <w:rFonts w:hint="eastAsia"/>
                <w:b/>
                <w:bCs/>
                <w:color w:val="auto"/>
                <w:u w:val="single"/>
                <w:lang w:bidi="zh-CN"/>
              </w:rPr>
              <w:t>：</w:t>
            </w:r>
            <w:r>
              <w:rPr>
                <w:b/>
                <w:bCs/>
                <w:color w:val="auto"/>
                <w:u w:val="single"/>
                <w:lang w:bidi="zh-CN"/>
              </w:rPr>
              <w:t>0.0</w:t>
            </w:r>
            <w:r>
              <w:rPr>
                <w:rFonts w:hint="eastAsia"/>
                <w:b/>
                <w:bCs/>
                <w:color w:val="auto"/>
                <w:u w:val="single"/>
                <w:lang w:val="en-US" w:bidi="zh-CN"/>
              </w:rPr>
              <w:t>154</w:t>
            </w:r>
            <w:r>
              <w:rPr>
                <w:b/>
                <w:bCs/>
                <w:color w:val="auto"/>
                <w:u w:val="single"/>
                <w:lang w:bidi="zh-CN"/>
              </w:rPr>
              <w:t>t/a</w:t>
            </w:r>
            <w:r>
              <w:rPr>
                <w:rFonts w:hint="eastAsia"/>
                <w:b/>
                <w:bCs/>
                <w:color w:val="auto"/>
                <w:u w:val="single"/>
                <w:lang w:bidi="zh-CN"/>
              </w:rPr>
              <w:t>；</w:t>
            </w:r>
          </w:p>
          <w:p>
            <w:pPr>
              <w:widowControl/>
              <w:spacing w:line="520" w:lineRule="exact"/>
              <w:ind w:firstLine="482" w:firstLineChars="200"/>
              <w:jc w:val="left"/>
              <w:rPr>
                <w:b/>
                <w:bCs/>
                <w:color w:val="auto"/>
                <w:u w:val="single"/>
                <w:lang w:bidi="zh-CN"/>
              </w:rPr>
            </w:pPr>
            <w:r>
              <w:rPr>
                <w:rFonts w:hint="eastAsia"/>
                <w:b/>
                <w:bCs/>
                <w:color w:val="auto"/>
                <w:u w:val="single"/>
                <w:lang w:bidi="zh-CN"/>
              </w:rPr>
              <w:t>污水处理厂处理后，排放浓度分别为：</w:t>
            </w:r>
            <w:r>
              <w:rPr>
                <w:b/>
                <w:bCs/>
                <w:color w:val="auto"/>
                <w:u w:val="single"/>
                <w:lang w:bidi="zh-CN"/>
              </w:rPr>
              <w:t>COD</w:t>
            </w:r>
            <w:r>
              <w:rPr>
                <w:rFonts w:hint="eastAsia"/>
                <w:b/>
                <w:bCs/>
                <w:color w:val="auto"/>
                <w:u w:val="single"/>
                <w:lang w:bidi="zh-CN"/>
              </w:rPr>
              <w:t>：</w:t>
            </w:r>
            <w:r>
              <w:rPr>
                <w:b/>
                <w:bCs/>
                <w:color w:val="auto"/>
                <w:u w:val="single"/>
                <w:lang w:bidi="zh-CN"/>
              </w:rPr>
              <w:t>40mg/L</w:t>
            </w:r>
            <w:r>
              <w:rPr>
                <w:rFonts w:hint="eastAsia"/>
                <w:b/>
                <w:bCs/>
                <w:color w:val="auto"/>
                <w:u w:val="single"/>
                <w:lang w:bidi="zh-CN"/>
              </w:rPr>
              <w:t>、</w:t>
            </w:r>
            <w:r>
              <w:rPr>
                <w:b/>
                <w:bCs/>
                <w:color w:val="auto"/>
                <w:u w:val="single"/>
                <w:lang w:bidi="zh-CN"/>
              </w:rPr>
              <w:t>NH</w:t>
            </w:r>
            <w:r>
              <w:rPr>
                <w:b/>
                <w:bCs/>
                <w:color w:val="auto"/>
                <w:u w:val="single"/>
                <w:vertAlign w:val="subscript"/>
                <w:lang w:bidi="zh-CN"/>
              </w:rPr>
              <w:t>3</w:t>
            </w:r>
            <w:r>
              <w:rPr>
                <w:b/>
                <w:bCs/>
                <w:color w:val="auto"/>
                <w:u w:val="single"/>
                <w:lang w:bidi="zh-CN"/>
              </w:rPr>
              <w:t>-N</w:t>
            </w:r>
            <w:r>
              <w:rPr>
                <w:rFonts w:hint="eastAsia"/>
                <w:b/>
                <w:bCs/>
                <w:color w:val="auto"/>
                <w:u w:val="single"/>
                <w:lang w:bidi="zh-CN"/>
              </w:rPr>
              <w:t>：</w:t>
            </w:r>
            <w:r>
              <w:rPr>
                <w:b/>
                <w:bCs/>
                <w:color w:val="auto"/>
                <w:u w:val="single"/>
                <w:lang w:bidi="zh-CN"/>
              </w:rPr>
              <w:t>2mg/L</w:t>
            </w:r>
            <w:r>
              <w:rPr>
                <w:rFonts w:hint="eastAsia"/>
                <w:b/>
                <w:bCs/>
                <w:color w:val="auto"/>
                <w:u w:val="single"/>
                <w:lang w:bidi="zh-CN"/>
              </w:rPr>
              <w:t>；排放量分别为</w:t>
            </w:r>
            <w:r>
              <w:rPr>
                <w:b/>
                <w:bCs/>
                <w:color w:val="auto"/>
                <w:u w:val="single"/>
                <w:lang w:bidi="zh-CN"/>
              </w:rPr>
              <w:t>COD</w:t>
            </w:r>
            <w:r>
              <w:rPr>
                <w:rFonts w:hint="eastAsia"/>
                <w:b/>
                <w:bCs/>
                <w:color w:val="auto"/>
                <w:u w:val="single"/>
                <w:lang w:bidi="zh-CN"/>
              </w:rPr>
              <w:t>：</w:t>
            </w:r>
            <w:r>
              <w:rPr>
                <w:b/>
                <w:bCs/>
                <w:color w:val="auto"/>
                <w:u w:val="single"/>
                <w:lang w:bidi="zh-CN"/>
              </w:rPr>
              <w:t>0.0</w:t>
            </w:r>
            <w:r>
              <w:rPr>
                <w:rFonts w:hint="eastAsia"/>
                <w:b/>
                <w:bCs/>
                <w:color w:val="auto"/>
                <w:u w:val="single"/>
                <w:lang w:val="en-US" w:bidi="zh-CN"/>
              </w:rPr>
              <w:t>211</w:t>
            </w:r>
            <w:r>
              <w:rPr>
                <w:b/>
                <w:bCs/>
                <w:color w:val="auto"/>
                <w:u w:val="single"/>
                <w:lang w:bidi="zh-CN"/>
              </w:rPr>
              <w:t>t/a</w:t>
            </w:r>
            <w:r>
              <w:rPr>
                <w:rFonts w:hint="eastAsia"/>
                <w:b/>
                <w:bCs/>
                <w:color w:val="auto"/>
                <w:u w:val="single"/>
                <w:lang w:bidi="zh-CN"/>
              </w:rPr>
              <w:t>、</w:t>
            </w:r>
            <w:r>
              <w:rPr>
                <w:b/>
                <w:bCs/>
                <w:color w:val="auto"/>
                <w:u w:val="single"/>
                <w:lang w:bidi="zh-CN"/>
              </w:rPr>
              <w:t>NH</w:t>
            </w:r>
            <w:r>
              <w:rPr>
                <w:b/>
                <w:bCs/>
                <w:color w:val="auto"/>
                <w:u w:val="single"/>
                <w:vertAlign w:val="subscript"/>
                <w:lang w:bidi="zh-CN"/>
              </w:rPr>
              <w:t>3</w:t>
            </w:r>
            <w:r>
              <w:rPr>
                <w:b/>
                <w:bCs/>
                <w:color w:val="auto"/>
                <w:u w:val="single"/>
                <w:lang w:bidi="zh-CN"/>
              </w:rPr>
              <w:t>-N</w:t>
            </w:r>
            <w:r>
              <w:rPr>
                <w:rFonts w:hint="eastAsia"/>
                <w:b/>
                <w:bCs/>
                <w:color w:val="auto"/>
                <w:u w:val="single"/>
                <w:lang w:bidi="zh-CN"/>
              </w:rPr>
              <w:t>：</w:t>
            </w:r>
            <w:r>
              <w:rPr>
                <w:b/>
                <w:bCs/>
                <w:color w:val="auto"/>
                <w:u w:val="single"/>
                <w:lang w:bidi="zh-CN"/>
              </w:rPr>
              <w:t>0.00</w:t>
            </w:r>
            <w:r>
              <w:rPr>
                <w:rFonts w:hint="eastAsia"/>
                <w:b/>
                <w:bCs/>
                <w:color w:val="auto"/>
                <w:u w:val="single"/>
                <w:lang w:val="en-US" w:bidi="zh-CN"/>
              </w:rPr>
              <w:t>11</w:t>
            </w:r>
            <w:r>
              <w:rPr>
                <w:b/>
                <w:bCs/>
                <w:color w:val="auto"/>
                <w:u w:val="single"/>
                <w:lang w:bidi="zh-CN"/>
              </w:rPr>
              <w:t>t/a</w:t>
            </w:r>
            <w:r>
              <w:rPr>
                <w:rFonts w:hint="eastAsia"/>
                <w:b/>
                <w:bCs/>
                <w:color w:val="auto"/>
                <w:u w:val="single"/>
                <w:lang w:bidi="zh-CN"/>
              </w:rPr>
              <w:t>；</w:t>
            </w:r>
          </w:p>
          <w:p>
            <w:pPr>
              <w:widowControl/>
              <w:spacing w:line="520" w:lineRule="exact"/>
              <w:ind w:firstLine="482" w:firstLineChars="200"/>
              <w:jc w:val="left"/>
              <w:rPr>
                <w:rFonts w:hint="default"/>
                <w:b/>
                <w:bCs/>
                <w:color w:val="auto"/>
                <w:u w:val="single"/>
                <w:lang w:val="en-US" w:bidi="zh-CN"/>
              </w:rPr>
            </w:pPr>
            <w:r>
              <w:rPr>
                <w:rFonts w:hint="eastAsia"/>
                <w:b/>
                <w:bCs/>
                <w:color w:val="auto"/>
                <w:u w:val="single"/>
                <w:lang w:val="en-US" w:bidi="zh-CN"/>
              </w:rPr>
              <w:t>有组织粉尘排放量为0.0061t/a，无组织粉尘排放量为0.0338t/a；有组织非甲烷总烃排放量为0.0239t/a，无组织非甲烷总烃排放量为0.0177t/a。</w:t>
            </w:r>
          </w:p>
          <w:p>
            <w:pPr>
              <w:widowControl/>
              <w:spacing w:line="520" w:lineRule="exact"/>
              <w:ind w:firstLine="482" w:firstLineChars="200"/>
              <w:jc w:val="left"/>
              <w:rPr>
                <w:color w:val="auto"/>
              </w:rPr>
            </w:pPr>
            <w:r>
              <w:rPr>
                <w:rFonts w:hint="eastAsia"/>
                <w:b/>
                <w:bCs/>
                <w:color w:val="auto"/>
                <w:u w:val="single"/>
                <w:lang w:bidi="zh-CN"/>
              </w:rPr>
              <w:t>建议项目申请总量为：</w:t>
            </w:r>
            <w:r>
              <w:rPr>
                <w:b/>
                <w:bCs/>
                <w:color w:val="auto"/>
                <w:u w:val="single"/>
                <w:lang w:bidi="zh-CN"/>
              </w:rPr>
              <w:t>VOCs</w:t>
            </w:r>
            <w:r>
              <w:rPr>
                <w:rFonts w:hint="eastAsia"/>
                <w:b/>
                <w:bCs/>
                <w:color w:val="auto"/>
                <w:u w:val="single"/>
                <w:lang w:bidi="zh-CN"/>
              </w:rPr>
              <w:t>：0.</w:t>
            </w:r>
            <w:r>
              <w:rPr>
                <w:rFonts w:hint="eastAsia"/>
                <w:b/>
                <w:bCs/>
                <w:color w:val="auto"/>
                <w:u w:val="single"/>
                <w:lang w:val="en-US" w:bidi="zh-CN"/>
              </w:rPr>
              <w:t>0416</w:t>
            </w:r>
            <w:r>
              <w:rPr>
                <w:rFonts w:hint="eastAsia"/>
                <w:b/>
                <w:bCs/>
                <w:color w:val="auto"/>
                <w:u w:val="single"/>
                <w:lang w:bidi="zh-CN"/>
              </w:rPr>
              <w:t>t</w:t>
            </w:r>
            <w:r>
              <w:rPr>
                <w:b/>
                <w:bCs/>
                <w:color w:val="auto"/>
                <w:u w:val="single"/>
                <w:lang w:bidi="zh-CN"/>
              </w:rPr>
              <w:t>/a</w:t>
            </w:r>
            <w:r>
              <w:rPr>
                <w:rFonts w:hint="eastAsia"/>
                <w:b/>
                <w:bCs/>
                <w:color w:val="auto"/>
                <w:u w:val="single"/>
                <w:lang w:bidi="zh-CN"/>
              </w:rPr>
              <w:t>，颗粒物0.</w:t>
            </w:r>
            <w:r>
              <w:rPr>
                <w:rFonts w:hint="eastAsia"/>
                <w:b/>
                <w:bCs/>
                <w:color w:val="auto"/>
                <w:u w:val="single"/>
                <w:lang w:val="en-US" w:bidi="zh-CN"/>
              </w:rPr>
              <w:t>0399</w:t>
            </w:r>
            <w:r>
              <w:rPr>
                <w:b/>
                <w:bCs/>
                <w:color w:val="auto"/>
                <w:u w:val="single"/>
                <w:lang w:bidi="zh-CN"/>
              </w:rPr>
              <w:t>t/a</w:t>
            </w:r>
            <w:r>
              <w:rPr>
                <w:rFonts w:hint="eastAsia"/>
                <w:b/>
                <w:bCs/>
                <w:color w:val="auto"/>
                <w:u w:val="single"/>
                <w:lang w:bidi="zh-CN"/>
              </w:rPr>
              <w:t>；</w:t>
            </w:r>
            <w:r>
              <w:rPr>
                <w:b/>
                <w:bCs/>
                <w:color w:val="auto"/>
                <w:u w:val="single"/>
                <w:lang w:bidi="zh-CN"/>
              </w:rPr>
              <w:t>COD</w:t>
            </w:r>
            <w:r>
              <w:rPr>
                <w:rFonts w:hint="eastAsia"/>
                <w:b/>
                <w:bCs/>
                <w:color w:val="auto"/>
                <w:u w:val="single"/>
                <w:lang w:bidi="zh-CN"/>
              </w:rPr>
              <w:t>：</w:t>
            </w:r>
            <w:r>
              <w:rPr>
                <w:b/>
                <w:bCs/>
                <w:color w:val="auto"/>
                <w:u w:val="single"/>
                <w:lang w:bidi="zh-CN"/>
              </w:rPr>
              <w:t>0.</w:t>
            </w:r>
            <w:r>
              <w:rPr>
                <w:rFonts w:hint="eastAsia"/>
                <w:b/>
                <w:bCs/>
                <w:color w:val="auto"/>
                <w:u w:val="single"/>
                <w:lang w:bidi="zh-CN"/>
              </w:rPr>
              <w:t>0</w:t>
            </w:r>
            <w:r>
              <w:rPr>
                <w:rFonts w:hint="eastAsia"/>
                <w:b/>
                <w:bCs/>
                <w:color w:val="auto"/>
                <w:u w:val="single"/>
                <w:lang w:val="en-US" w:bidi="zh-CN"/>
              </w:rPr>
              <w:t>211</w:t>
            </w:r>
            <w:r>
              <w:rPr>
                <w:b/>
                <w:bCs/>
                <w:color w:val="auto"/>
                <w:u w:val="single"/>
                <w:lang w:bidi="zh-CN"/>
              </w:rPr>
              <w:t>t/a</w:t>
            </w:r>
            <w:r>
              <w:rPr>
                <w:rFonts w:hint="eastAsia"/>
                <w:b/>
                <w:bCs/>
                <w:color w:val="auto"/>
                <w:u w:val="single"/>
                <w:lang w:bidi="zh-CN"/>
              </w:rPr>
              <w:t>、</w:t>
            </w:r>
            <w:r>
              <w:rPr>
                <w:b/>
                <w:bCs/>
                <w:color w:val="auto"/>
                <w:u w:val="single"/>
                <w:lang w:bidi="zh-CN"/>
              </w:rPr>
              <w:t>NH</w:t>
            </w:r>
            <w:r>
              <w:rPr>
                <w:b/>
                <w:bCs/>
                <w:color w:val="auto"/>
                <w:u w:val="single"/>
                <w:vertAlign w:val="subscript"/>
                <w:lang w:bidi="zh-CN"/>
              </w:rPr>
              <w:t>3</w:t>
            </w:r>
            <w:r>
              <w:rPr>
                <w:b/>
                <w:bCs/>
                <w:color w:val="auto"/>
                <w:u w:val="single"/>
                <w:lang w:bidi="zh-CN"/>
              </w:rPr>
              <w:t>-N</w:t>
            </w:r>
            <w:r>
              <w:rPr>
                <w:rFonts w:hint="eastAsia"/>
                <w:b/>
                <w:bCs/>
                <w:color w:val="auto"/>
                <w:u w:val="single"/>
                <w:lang w:bidi="zh-CN"/>
              </w:rPr>
              <w:t>：</w:t>
            </w:r>
            <w:r>
              <w:rPr>
                <w:b/>
                <w:bCs/>
                <w:color w:val="auto"/>
                <w:u w:val="single"/>
                <w:lang w:bidi="zh-CN"/>
              </w:rPr>
              <w:t>0.0</w:t>
            </w:r>
            <w:r>
              <w:rPr>
                <w:rFonts w:hint="eastAsia"/>
                <w:b/>
                <w:bCs/>
                <w:color w:val="auto"/>
                <w:u w:val="single"/>
                <w:lang w:bidi="zh-CN"/>
              </w:rPr>
              <w:t>0</w:t>
            </w:r>
            <w:r>
              <w:rPr>
                <w:rFonts w:hint="eastAsia"/>
                <w:b/>
                <w:bCs/>
                <w:color w:val="auto"/>
                <w:u w:val="single"/>
                <w:lang w:val="en-US" w:bidi="zh-CN"/>
              </w:rPr>
              <w:t>11</w:t>
            </w:r>
            <w:r>
              <w:rPr>
                <w:b/>
                <w:bCs/>
                <w:color w:val="auto"/>
                <w:u w:val="single"/>
                <w:lang w:bidi="zh-CN"/>
              </w:rPr>
              <w:t>t/a</w:t>
            </w:r>
            <w:r>
              <w:rPr>
                <w:rFonts w:hint="eastAsia"/>
                <w:b/>
                <w:bCs/>
                <w:color w:val="auto"/>
                <w:u w:val="single"/>
                <w:lang w:bidi="zh-CN"/>
              </w:rPr>
              <w:t>。</w:t>
            </w:r>
          </w:p>
        </w:tc>
      </w:tr>
    </w:tbl>
    <w:p>
      <w:pPr>
        <w:rPr>
          <w:color w:val="auto"/>
        </w:rPr>
      </w:pPr>
      <w:r>
        <w:rPr>
          <w:color w:val="auto"/>
        </w:rPr>
        <w:br w:type="page"/>
      </w:r>
    </w:p>
    <w:p>
      <w:pPr>
        <w:pStyle w:val="3"/>
        <w:spacing w:before="0" w:after="0" w:line="360" w:lineRule="auto"/>
        <w:jc w:val="center"/>
        <w:rPr>
          <w:color w:val="auto"/>
        </w:rPr>
      </w:pPr>
      <w:bookmarkStart w:id="8" w:name="_Toc15293"/>
      <w:r>
        <w:rPr>
          <w:rFonts w:hint="eastAsia"/>
          <w:color w:val="auto"/>
        </w:rPr>
        <w:t>四、主要环境影响和保护措施</w:t>
      </w:r>
      <w:bookmarkEnd w:id="8"/>
    </w:p>
    <w:tbl>
      <w:tblPr>
        <w:tblStyle w:val="23"/>
        <w:tblW w:w="10125"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43"/>
        <w:gridCol w:w="958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709" w:hRule="atLeast"/>
          <w:jc w:val="center"/>
        </w:trPr>
        <w:tc>
          <w:tcPr>
            <w:tcW w:w="543" w:type="dxa"/>
            <w:tcBorders>
              <w:tl2br w:val="nil"/>
              <w:tr2bl w:val="nil"/>
            </w:tcBorders>
            <w:vAlign w:val="center"/>
          </w:tcPr>
          <w:p>
            <w:pPr>
              <w:keepNext w:val="0"/>
              <w:pageBreakBefore w:val="0"/>
              <w:kinsoku/>
              <w:wordWrap/>
              <w:overflowPunct/>
              <w:topLinePunct w:val="0"/>
              <w:bidi w:val="0"/>
              <w:jc w:val="center"/>
              <w:rPr>
                <w:rFonts w:eastAsia="黑体"/>
                <w:color w:val="auto"/>
              </w:rPr>
            </w:pPr>
            <w:r>
              <w:rPr>
                <w:rFonts w:hint="eastAsia" w:ascii="宋体" w:hAnsi="宋体" w:cs="宋体"/>
                <w:b/>
                <w:bCs/>
                <w:color w:val="auto"/>
                <w:kern w:val="21"/>
                <w:szCs w:val="21"/>
              </w:rPr>
              <w:t>施工期环境保护措施</w:t>
            </w:r>
          </w:p>
        </w:tc>
        <w:tc>
          <w:tcPr>
            <w:tcW w:w="9582" w:type="dxa"/>
            <w:tcBorders>
              <w:tl2br w:val="nil"/>
              <w:tr2bl w:val="nil"/>
            </w:tcBorders>
          </w:tcPr>
          <w:p>
            <w:pPr>
              <w:keepNext w:val="0"/>
              <w:pageBreakBefore w:val="0"/>
              <w:widowControl/>
              <w:kinsoku/>
              <w:wordWrap/>
              <w:overflowPunct/>
              <w:topLinePunct w:val="0"/>
              <w:bidi w:val="0"/>
              <w:spacing w:line="520" w:lineRule="exact"/>
              <w:jc w:val="left"/>
              <w:rPr>
                <w:b/>
                <w:bCs/>
                <w:color w:val="auto"/>
                <w:lang w:bidi="zh-CN"/>
              </w:rPr>
            </w:pPr>
            <w:r>
              <w:rPr>
                <w:rFonts w:hint="eastAsia"/>
                <w:b/>
                <w:bCs/>
                <w:color w:val="auto"/>
                <w:lang w:bidi="zh-CN"/>
              </w:rPr>
              <w:t>一、施工期环境保护措施</w:t>
            </w:r>
          </w:p>
          <w:p>
            <w:pPr>
              <w:keepNext w:val="0"/>
              <w:pageBreakBefore w:val="0"/>
              <w:widowControl/>
              <w:kinsoku/>
              <w:wordWrap/>
              <w:overflowPunct/>
              <w:topLinePunct w:val="0"/>
              <w:bidi w:val="0"/>
              <w:spacing w:line="520" w:lineRule="exact"/>
              <w:ind w:firstLine="480" w:firstLineChars="200"/>
              <w:jc w:val="left"/>
              <w:rPr>
                <w:color w:val="auto"/>
              </w:rPr>
            </w:pPr>
            <w:r>
              <w:rPr>
                <w:rFonts w:hint="eastAsia"/>
                <w:color w:val="auto"/>
                <w:sz w:val="24"/>
                <w:szCs w:val="24"/>
                <w:lang w:bidi="zh-CN"/>
              </w:rPr>
              <w:t>本项目租赁</w:t>
            </w:r>
            <w:r>
              <w:rPr>
                <w:rFonts w:hint="eastAsia"/>
                <w:color w:val="auto"/>
                <w:sz w:val="24"/>
                <w:szCs w:val="24"/>
                <w:lang w:val="en-US" w:eastAsia="zh-CN" w:bidi="zh-CN"/>
              </w:rPr>
              <w:t>冠美（清丰县）家具</w:t>
            </w:r>
            <w:r>
              <w:rPr>
                <w:rFonts w:hint="eastAsia"/>
                <w:color w:val="auto"/>
                <w:sz w:val="24"/>
                <w:szCs w:val="24"/>
                <w:lang w:val="en-US" w:bidi="zh-CN"/>
              </w:rPr>
              <w:t>有限公司闲置的</w:t>
            </w:r>
            <w:r>
              <w:rPr>
                <w:rFonts w:hint="eastAsia"/>
                <w:color w:val="auto"/>
                <w:sz w:val="24"/>
                <w:szCs w:val="24"/>
                <w:lang w:val="en-US" w:eastAsia="zh-CN" w:bidi="zh-CN"/>
              </w:rPr>
              <w:t>2号</w:t>
            </w:r>
            <w:r>
              <w:rPr>
                <w:rFonts w:hint="eastAsia"/>
                <w:color w:val="auto"/>
                <w:sz w:val="24"/>
                <w:szCs w:val="24"/>
                <w:lang w:val="en-US" w:bidi="zh-CN"/>
              </w:rPr>
              <w:t>厂房进行建设</w:t>
            </w:r>
            <w:r>
              <w:rPr>
                <w:rFonts w:hint="eastAsia"/>
                <w:color w:val="auto"/>
                <w:sz w:val="24"/>
                <w:szCs w:val="24"/>
                <w:lang w:bidi="zh-CN"/>
              </w:rPr>
              <w:t>，工程内容主要为购置生产设备、安装、调试。施工期较短，且主要在厂房内施工，不会对周围环境产生影响。因此本次评价施工期不再进行分析。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88" w:hRule="atLeast"/>
          <w:jc w:val="center"/>
        </w:trPr>
        <w:tc>
          <w:tcPr>
            <w:tcW w:w="543" w:type="dxa"/>
            <w:tcBorders>
              <w:tl2br w:val="nil"/>
              <w:tr2bl w:val="nil"/>
            </w:tcBorders>
            <w:vAlign w:val="center"/>
          </w:tcPr>
          <w:p>
            <w:pPr>
              <w:keepNext w:val="0"/>
              <w:pageBreakBefore w:val="0"/>
              <w:kinsoku/>
              <w:wordWrap/>
              <w:overflowPunct/>
              <w:topLinePunct w:val="0"/>
              <w:bidi w:val="0"/>
              <w:jc w:val="center"/>
              <w:rPr>
                <w:rFonts w:ascii="宋体" w:hAnsi="宋体" w:cs="宋体"/>
                <w:b/>
                <w:bCs/>
                <w:color w:val="auto"/>
                <w:kern w:val="21"/>
                <w:szCs w:val="21"/>
              </w:rPr>
            </w:pPr>
            <w:r>
              <w:rPr>
                <w:rFonts w:hint="eastAsia" w:ascii="宋体" w:hAnsi="宋体" w:cs="宋体"/>
                <w:b/>
                <w:bCs/>
                <w:color w:val="auto"/>
                <w:kern w:val="21"/>
                <w:szCs w:val="21"/>
              </w:rPr>
              <w:t>运营期环境影响和保护措施</w:t>
            </w:r>
          </w:p>
        </w:tc>
        <w:tc>
          <w:tcPr>
            <w:tcW w:w="9582" w:type="dxa"/>
            <w:tcBorders>
              <w:tl2br w:val="nil"/>
              <w:tr2bl w:val="nil"/>
            </w:tcBorders>
          </w:tcPr>
          <w:p>
            <w:pPr>
              <w:keepNext w:val="0"/>
              <w:pageBreakBefore w:val="0"/>
              <w:widowControl/>
              <w:kinsoku/>
              <w:wordWrap/>
              <w:overflowPunct/>
              <w:topLinePunct w:val="0"/>
              <w:bidi w:val="0"/>
              <w:spacing w:line="520" w:lineRule="exact"/>
              <w:ind w:firstLine="480" w:firstLineChars="200"/>
              <w:jc w:val="left"/>
              <w:rPr>
                <w:color w:val="auto"/>
                <w:lang w:bidi="zh-CN"/>
              </w:rPr>
            </w:pPr>
            <w:r>
              <w:rPr>
                <w:rFonts w:hint="eastAsia"/>
                <w:color w:val="auto"/>
                <w:lang w:bidi="zh-CN"/>
              </w:rPr>
              <w:t>一、废气环境影响及治理措施</w:t>
            </w:r>
          </w:p>
          <w:p>
            <w:pPr>
              <w:keepNext w:val="0"/>
              <w:pageBreakBefore w:val="0"/>
              <w:widowControl/>
              <w:kinsoku/>
              <w:wordWrap/>
              <w:overflowPunct/>
              <w:topLinePunct w:val="0"/>
              <w:bidi w:val="0"/>
              <w:spacing w:line="520" w:lineRule="exact"/>
              <w:ind w:firstLine="480" w:firstLineChars="200"/>
              <w:jc w:val="left"/>
              <w:rPr>
                <w:color w:val="auto"/>
                <w:lang w:bidi="zh-CN"/>
              </w:rPr>
            </w:pPr>
            <w:r>
              <w:rPr>
                <w:color w:val="auto"/>
                <w:lang w:bidi="zh-CN"/>
              </w:rPr>
              <w:t>1</w:t>
            </w:r>
            <w:r>
              <w:rPr>
                <w:rFonts w:hint="eastAsia"/>
                <w:color w:val="auto"/>
                <w:lang w:bidi="zh-CN"/>
              </w:rPr>
              <w:t>、废气</w:t>
            </w:r>
          </w:p>
          <w:p>
            <w:pPr>
              <w:keepNext w:val="0"/>
              <w:pageBreakBefore w:val="0"/>
              <w:widowControl/>
              <w:kinsoku/>
              <w:wordWrap/>
              <w:overflowPunct/>
              <w:topLinePunct w:val="0"/>
              <w:bidi w:val="0"/>
              <w:spacing w:line="520" w:lineRule="exact"/>
              <w:ind w:firstLine="480" w:firstLineChars="200"/>
              <w:jc w:val="left"/>
              <w:rPr>
                <w:color w:val="auto"/>
                <w:lang w:bidi="zh-CN"/>
              </w:rPr>
            </w:pPr>
            <w:r>
              <w:rPr>
                <w:rFonts w:hint="eastAsia"/>
                <w:color w:val="auto"/>
                <w:lang w:bidi="zh-CN"/>
              </w:rPr>
              <w:t>项目运营过程中产生的废气有</w:t>
            </w:r>
            <w:r>
              <w:rPr>
                <w:rFonts w:hint="eastAsia"/>
                <w:color w:val="auto"/>
                <w:lang w:val="en-US" w:bidi="zh-CN"/>
              </w:rPr>
              <w:t>木加工开料和打孔等过程产生的</w:t>
            </w:r>
            <w:r>
              <w:rPr>
                <w:rFonts w:hint="eastAsia"/>
                <w:color w:val="auto"/>
                <w:lang w:bidi="zh-CN"/>
              </w:rPr>
              <w:t>粉尘、</w:t>
            </w:r>
            <w:r>
              <w:rPr>
                <w:rFonts w:hint="eastAsia"/>
                <w:color w:val="auto"/>
                <w:lang w:val="en-US" w:bidi="zh-CN"/>
              </w:rPr>
              <w:t>封边和粘贴工序产生的有机废气</w:t>
            </w:r>
            <w:r>
              <w:rPr>
                <w:rFonts w:hint="eastAsia"/>
                <w:color w:val="auto"/>
                <w:lang w:bidi="zh-CN"/>
              </w:rPr>
              <w:t>。</w:t>
            </w:r>
          </w:p>
          <w:p>
            <w:pPr>
              <w:keepNext w:val="0"/>
              <w:pageBreakBefore w:val="0"/>
              <w:widowControl/>
              <w:kinsoku/>
              <w:wordWrap/>
              <w:overflowPunct/>
              <w:topLinePunct w:val="0"/>
              <w:bidi w:val="0"/>
              <w:spacing w:line="520" w:lineRule="exact"/>
              <w:ind w:firstLine="480" w:firstLineChars="200"/>
              <w:jc w:val="left"/>
              <w:rPr>
                <w:rFonts w:hint="default"/>
                <w:color w:val="auto"/>
                <w:lang w:val="en-US" w:bidi="zh-CN"/>
              </w:rPr>
            </w:pPr>
            <w:r>
              <w:rPr>
                <w:rFonts w:hint="eastAsia"/>
                <w:color w:val="auto"/>
                <w:lang w:bidi="zh-CN"/>
              </w:rPr>
              <w:t>（</w:t>
            </w:r>
            <w:r>
              <w:rPr>
                <w:rFonts w:hint="eastAsia"/>
                <w:color w:val="auto"/>
                <w:lang w:val="en-US" w:bidi="zh-CN"/>
              </w:rPr>
              <w:t>1</w:t>
            </w:r>
            <w:r>
              <w:rPr>
                <w:rFonts w:hint="eastAsia"/>
                <w:color w:val="auto"/>
                <w:lang w:bidi="zh-CN"/>
              </w:rPr>
              <w:t>）</w:t>
            </w:r>
            <w:r>
              <w:rPr>
                <w:rFonts w:hint="eastAsia"/>
                <w:color w:val="auto"/>
                <w:lang w:val="en-US" w:bidi="zh-CN"/>
              </w:rPr>
              <w:t>废气产生源强及处置措施</w:t>
            </w:r>
          </w:p>
          <w:p>
            <w:pPr>
              <w:keepNext w:val="0"/>
              <w:pageBreakBefore w:val="0"/>
              <w:widowControl/>
              <w:kinsoku/>
              <w:wordWrap/>
              <w:overflowPunct/>
              <w:topLinePunct w:val="0"/>
              <w:bidi w:val="0"/>
              <w:spacing w:line="520" w:lineRule="exact"/>
              <w:ind w:firstLine="480" w:firstLineChars="200"/>
              <w:jc w:val="left"/>
              <w:rPr>
                <w:color w:val="auto"/>
                <w:lang w:bidi="zh-CN"/>
              </w:rPr>
            </w:pPr>
            <w:r>
              <w:rPr>
                <w:rFonts w:hint="eastAsia"/>
                <w:color w:val="auto"/>
                <w:lang w:val="en-US" w:bidi="zh-CN"/>
              </w:rPr>
              <w:t>1）</w:t>
            </w:r>
            <w:r>
              <w:rPr>
                <w:rFonts w:hint="eastAsia"/>
                <w:color w:val="auto"/>
                <w:lang w:bidi="zh-CN"/>
              </w:rPr>
              <w:t>木加工粉尘</w:t>
            </w:r>
          </w:p>
          <w:p>
            <w:pPr>
              <w:keepNext w:val="0"/>
              <w:pageBreakBefore w:val="0"/>
              <w:widowControl/>
              <w:kinsoku/>
              <w:wordWrap/>
              <w:overflowPunct/>
              <w:topLinePunct w:val="0"/>
              <w:bidi w:val="0"/>
              <w:spacing w:line="520" w:lineRule="exact"/>
              <w:ind w:firstLine="480" w:firstLineChars="200"/>
              <w:rPr>
                <w:color w:val="auto"/>
                <w:lang w:bidi="zh-CN"/>
              </w:rPr>
            </w:pPr>
            <w:r>
              <w:rPr>
                <w:rFonts w:hint="eastAsia"/>
                <w:color w:val="auto"/>
                <w:lang w:bidi="zh-CN"/>
              </w:rPr>
              <w:t>根据项目各生产工序特点，木料加工粉尘整合为开料、断料、定长及定宽、</w:t>
            </w:r>
            <w:r>
              <w:rPr>
                <w:rFonts w:hint="eastAsia"/>
                <w:color w:val="auto"/>
                <w:lang w:val="en-US" w:bidi="zh-CN"/>
              </w:rPr>
              <w:t>打孔、开锁等</w:t>
            </w:r>
            <w:r>
              <w:rPr>
                <w:rFonts w:hint="eastAsia"/>
                <w:color w:val="auto"/>
                <w:lang w:bidi="zh-CN"/>
              </w:rPr>
              <w:t>环节，根据项目生产规模，项目生产过程中木材加工量约</w:t>
            </w:r>
            <w:r>
              <w:rPr>
                <w:rFonts w:hint="eastAsia"/>
                <w:color w:val="auto"/>
                <w:lang w:val="en-US" w:bidi="zh-CN"/>
              </w:rPr>
              <w:t>450</w:t>
            </w:r>
            <w:r>
              <w:rPr>
                <w:color w:val="auto"/>
                <w:lang w:bidi="zh-CN"/>
              </w:rPr>
              <w:t>m</w:t>
            </w:r>
            <w:r>
              <w:rPr>
                <w:color w:val="auto"/>
                <w:vertAlign w:val="superscript"/>
                <w:lang w:bidi="zh-CN"/>
              </w:rPr>
              <w:t>3</w:t>
            </w:r>
            <w:r>
              <w:rPr>
                <w:rFonts w:hint="eastAsia"/>
                <w:color w:val="auto"/>
                <w:lang w:bidi="zh-CN"/>
              </w:rPr>
              <w:t>。参照《</w:t>
            </w:r>
            <w:r>
              <w:rPr>
                <w:color w:val="auto"/>
                <w:lang w:bidi="zh-CN"/>
              </w:rPr>
              <w:t>211</w:t>
            </w:r>
            <w:r>
              <w:rPr>
                <w:rFonts w:hint="eastAsia"/>
                <w:color w:val="auto"/>
                <w:lang w:bidi="zh-CN"/>
              </w:rPr>
              <w:t>木质家具制造行业系数手册》（第二次全国污染源普查系数手册），每个工段粉尘排放因子以</w:t>
            </w:r>
            <w:r>
              <w:rPr>
                <w:rFonts w:hint="eastAsia"/>
                <w:color w:val="auto"/>
                <w:lang w:val="en-US" w:bidi="zh-CN"/>
              </w:rPr>
              <w:t>150</w:t>
            </w:r>
            <w:r>
              <w:rPr>
                <w:color w:val="auto"/>
                <w:lang w:bidi="zh-CN"/>
              </w:rPr>
              <w:t>g/</w:t>
            </w:r>
            <w:r>
              <w:rPr>
                <w:rFonts w:hint="eastAsia"/>
                <w:color w:val="auto"/>
                <w:lang w:val="en-US" w:bidi="zh-CN"/>
              </w:rPr>
              <w:t>m</w:t>
            </w:r>
            <w:r>
              <w:rPr>
                <w:rFonts w:hint="eastAsia"/>
                <w:color w:val="auto"/>
                <w:vertAlign w:val="superscript"/>
                <w:lang w:val="en-US" w:bidi="zh-CN"/>
              </w:rPr>
              <w:t>3</w:t>
            </w:r>
            <w:r>
              <w:rPr>
                <w:color w:val="auto"/>
                <w:lang w:bidi="zh-CN"/>
              </w:rPr>
              <w:t>-</w:t>
            </w:r>
            <w:r>
              <w:rPr>
                <w:rFonts w:hint="eastAsia"/>
                <w:color w:val="auto"/>
                <w:lang w:bidi="zh-CN"/>
              </w:rPr>
              <w:t>原料计。项目涉及开料、</w:t>
            </w:r>
            <w:r>
              <w:rPr>
                <w:rFonts w:hint="eastAsia"/>
                <w:color w:val="auto"/>
                <w:lang w:val="en-US" w:bidi="zh-CN"/>
              </w:rPr>
              <w:t>锯切、截料、开锁、打</w:t>
            </w:r>
            <w:r>
              <w:rPr>
                <w:rFonts w:hint="eastAsia"/>
                <w:color w:val="auto"/>
                <w:lang w:bidi="zh-CN"/>
              </w:rPr>
              <w:t>钻等主要工序，因此，木加工综合产尘系数为0.</w:t>
            </w:r>
            <w:r>
              <w:rPr>
                <w:rFonts w:hint="eastAsia"/>
                <w:color w:val="auto"/>
                <w:lang w:val="en-US" w:bidi="zh-CN"/>
              </w:rPr>
              <w:t>75</w:t>
            </w:r>
            <w:r>
              <w:rPr>
                <w:rFonts w:hint="eastAsia"/>
                <w:color w:val="auto"/>
                <w:lang w:bidi="zh-CN"/>
              </w:rPr>
              <w:t>kg/m</w:t>
            </w:r>
            <w:r>
              <w:rPr>
                <w:rFonts w:hint="eastAsia"/>
                <w:color w:val="auto"/>
                <w:vertAlign w:val="superscript"/>
                <w:lang w:bidi="zh-CN"/>
              </w:rPr>
              <w:t>3</w:t>
            </w:r>
            <w:r>
              <w:rPr>
                <w:rFonts w:hint="eastAsia"/>
                <w:color w:val="auto"/>
                <w:lang w:bidi="zh-CN"/>
              </w:rPr>
              <w:t>原料（按</w:t>
            </w:r>
            <w:r>
              <w:rPr>
                <w:rFonts w:hint="eastAsia"/>
                <w:color w:val="auto"/>
                <w:lang w:val="en-US" w:bidi="zh-CN"/>
              </w:rPr>
              <w:t>5</w:t>
            </w:r>
            <w:r>
              <w:rPr>
                <w:rFonts w:hint="eastAsia"/>
                <w:color w:val="auto"/>
                <w:lang w:bidi="zh-CN"/>
              </w:rPr>
              <w:t>道工序计算），工作时间：</w:t>
            </w:r>
            <w:r>
              <w:rPr>
                <w:color w:val="auto"/>
                <w:lang w:bidi="zh-CN"/>
              </w:rPr>
              <w:t>300d/a</w:t>
            </w:r>
            <w:r>
              <w:rPr>
                <w:rFonts w:hint="eastAsia"/>
                <w:color w:val="auto"/>
                <w:lang w:bidi="zh-CN"/>
              </w:rPr>
              <w:t>、</w:t>
            </w:r>
            <w:r>
              <w:rPr>
                <w:color w:val="auto"/>
                <w:lang w:bidi="zh-CN"/>
              </w:rPr>
              <w:t>8h/d</w:t>
            </w:r>
            <w:r>
              <w:rPr>
                <w:rFonts w:hint="eastAsia"/>
                <w:color w:val="auto"/>
                <w:lang w:bidi="zh-CN"/>
              </w:rPr>
              <w:t>，颗粒物产生量0.</w:t>
            </w:r>
            <w:r>
              <w:rPr>
                <w:rFonts w:hint="eastAsia"/>
                <w:color w:val="auto"/>
                <w:lang w:val="en-US" w:bidi="zh-CN"/>
              </w:rPr>
              <w:t>3375</w:t>
            </w:r>
            <w:r>
              <w:rPr>
                <w:color w:val="auto"/>
                <w:lang w:bidi="zh-CN"/>
              </w:rPr>
              <w:t>t/a</w:t>
            </w:r>
            <w:r>
              <w:rPr>
                <w:rFonts w:hint="eastAsia"/>
                <w:color w:val="auto"/>
                <w:lang w:bidi="zh-CN"/>
              </w:rPr>
              <w:t>。为降低车间粉尘无组织排放量，评价要求建设单位在每处产尘设备处设置集气罩，集尘后经负压引风通道引至车间外</w:t>
            </w:r>
            <w:r>
              <w:rPr>
                <w:rFonts w:hint="eastAsia"/>
                <w:color w:val="auto"/>
                <w:lang w:val="en-US" w:bidi="zh-CN"/>
              </w:rPr>
              <w:t>中央</w:t>
            </w:r>
            <w:r>
              <w:rPr>
                <w:rFonts w:hint="eastAsia"/>
                <w:color w:val="auto"/>
                <w:lang w:bidi="zh-CN"/>
              </w:rPr>
              <w:t>除尘器处理后通过</w:t>
            </w:r>
            <w:r>
              <w:rPr>
                <w:color w:val="auto"/>
                <w:lang w:bidi="zh-CN"/>
              </w:rPr>
              <w:t>15m</w:t>
            </w:r>
            <w:r>
              <w:rPr>
                <w:rFonts w:hint="eastAsia"/>
                <w:color w:val="auto"/>
                <w:lang w:bidi="zh-CN"/>
              </w:rPr>
              <w:t>高排气筒排放。</w:t>
            </w:r>
            <w:r>
              <w:rPr>
                <w:rFonts w:hint="eastAsia"/>
                <w:color w:val="auto"/>
                <w:lang w:val="en-US" w:bidi="zh-CN"/>
              </w:rPr>
              <w:t>车间内</w:t>
            </w:r>
            <w:r>
              <w:rPr>
                <w:rFonts w:hint="eastAsia"/>
                <w:color w:val="auto"/>
                <w:lang w:bidi="zh-CN"/>
              </w:rPr>
              <w:t>集气罩收集效率以</w:t>
            </w:r>
            <w:r>
              <w:rPr>
                <w:color w:val="auto"/>
                <w:lang w:bidi="zh-CN"/>
              </w:rPr>
              <w:t>90%</w:t>
            </w:r>
            <w:r>
              <w:rPr>
                <w:rFonts w:hint="eastAsia"/>
                <w:color w:val="auto"/>
                <w:lang w:bidi="zh-CN"/>
              </w:rPr>
              <w:t>计（</w:t>
            </w:r>
            <w:r>
              <w:rPr>
                <w:rFonts w:hint="eastAsia"/>
                <w:color w:val="auto"/>
                <w:lang w:val="en-US" w:bidi="zh-CN"/>
              </w:rPr>
              <w:t>依据《</w:t>
            </w:r>
            <w:r>
              <w:rPr>
                <w:rFonts w:hint="eastAsia"/>
                <w:color w:val="auto"/>
                <w:u w:val="none"/>
                <w:lang w:bidi="zh-CN"/>
              </w:rPr>
              <w:t>袋式除尘工程通用技术规范</w:t>
            </w:r>
            <w:r>
              <w:rPr>
                <w:rFonts w:hint="eastAsia"/>
                <w:color w:val="auto"/>
                <w:u w:val="none"/>
                <w:lang w:val="en-US" w:bidi="zh-CN"/>
              </w:rPr>
              <w:t>》</w:t>
            </w:r>
            <w:r>
              <w:rPr>
                <w:rFonts w:hint="eastAsia"/>
                <w:color w:val="auto"/>
                <w:u w:val="none"/>
                <w:lang w:bidi="zh-CN"/>
              </w:rPr>
              <w:t>(HJ 2020-2012)</w:t>
            </w:r>
            <w:r>
              <w:rPr>
                <w:rFonts w:hint="eastAsia"/>
                <w:color w:val="auto"/>
                <w:lang w:val="en-US" w:bidi="zh-CN"/>
              </w:rPr>
              <w:t>6.2.8</w:t>
            </w:r>
            <w:r>
              <w:rPr>
                <w:rFonts w:hint="eastAsia"/>
                <w:color w:val="auto"/>
                <w:lang w:bidi="zh-CN"/>
              </w:rPr>
              <w:t>），除尘效率以</w:t>
            </w:r>
            <w:r>
              <w:rPr>
                <w:color w:val="auto"/>
                <w:lang w:bidi="zh-CN"/>
              </w:rPr>
              <w:t>9</w:t>
            </w:r>
            <w:r>
              <w:rPr>
                <w:rFonts w:hint="eastAsia"/>
                <w:color w:val="auto"/>
                <w:lang w:val="en-US" w:bidi="zh-CN"/>
              </w:rPr>
              <w:t>8</w:t>
            </w:r>
            <w:r>
              <w:rPr>
                <w:color w:val="auto"/>
                <w:lang w:bidi="zh-CN"/>
              </w:rPr>
              <w:t>%</w:t>
            </w:r>
            <w:r>
              <w:rPr>
                <w:rFonts w:hint="eastAsia"/>
                <w:color w:val="auto"/>
                <w:lang w:bidi="zh-CN"/>
              </w:rPr>
              <w:t>计（根据《废气处理工程技术手册》</w:t>
            </w:r>
            <w:r>
              <w:rPr>
                <w:color w:val="auto"/>
                <w:lang w:bidi="zh-CN"/>
              </w:rPr>
              <w:t>P201</w:t>
            </w:r>
            <w:r>
              <w:rPr>
                <w:rFonts w:hint="eastAsia"/>
                <w:color w:val="auto"/>
                <w:lang w:bidi="zh-CN"/>
              </w:rPr>
              <w:t>），</w:t>
            </w:r>
            <w:r>
              <w:rPr>
                <w:rFonts w:hint="eastAsia"/>
                <w:color w:val="auto"/>
                <w:lang w:val="en-US" w:bidi="zh-CN"/>
              </w:rPr>
              <w:t>风机风量10000m</w:t>
            </w:r>
            <w:r>
              <w:rPr>
                <w:rFonts w:hint="eastAsia"/>
                <w:color w:val="auto"/>
                <w:vertAlign w:val="superscript"/>
                <w:lang w:val="en-US" w:bidi="zh-CN"/>
              </w:rPr>
              <w:t>3</w:t>
            </w:r>
            <w:r>
              <w:rPr>
                <w:rFonts w:hint="eastAsia"/>
                <w:color w:val="auto"/>
                <w:lang w:val="en-US" w:bidi="zh-CN"/>
              </w:rPr>
              <w:t>，则车间</w:t>
            </w:r>
            <w:r>
              <w:rPr>
                <w:rFonts w:hint="eastAsia"/>
                <w:color w:val="auto"/>
                <w:lang w:bidi="zh-CN"/>
              </w:rPr>
              <w:t>有组织粉尘</w:t>
            </w:r>
            <w:r>
              <w:rPr>
                <w:rFonts w:hint="eastAsia"/>
                <w:color w:val="auto"/>
                <w:lang w:val="en-US" w:bidi="zh-CN"/>
              </w:rPr>
              <w:t>产生</w:t>
            </w:r>
            <w:r>
              <w:rPr>
                <w:rFonts w:hint="eastAsia"/>
                <w:color w:val="auto"/>
                <w:lang w:bidi="zh-CN"/>
              </w:rPr>
              <w:t>量</w:t>
            </w:r>
            <w:r>
              <w:rPr>
                <w:color w:val="auto"/>
                <w:lang w:bidi="zh-CN"/>
              </w:rPr>
              <w:t>0.</w:t>
            </w:r>
            <w:r>
              <w:rPr>
                <w:rFonts w:hint="eastAsia"/>
                <w:color w:val="auto"/>
                <w:lang w:val="en-US" w:bidi="zh-CN"/>
              </w:rPr>
              <w:t>3038</w:t>
            </w:r>
            <w:r>
              <w:rPr>
                <w:color w:val="auto"/>
                <w:lang w:bidi="zh-CN"/>
              </w:rPr>
              <w:t>t/a</w:t>
            </w:r>
            <w:r>
              <w:rPr>
                <w:rFonts w:hint="eastAsia"/>
                <w:color w:val="auto"/>
                <w:lang w:bidi="zh-CN"/>
              </w:rPr>
              <w:t>，</w:t>
            </w:r>
            <w:r>
              <w:rPr>
                <w:rFonts w:hint="eastAsia"/>
                <w:color w:val="auto"/>
                <w:lang w:val="en-US" w:bidi="zh-CN"/>
              </w:rPr>
              <w:t>产生速率</w:t>
            </w:r>
            <w:r>
              <w:rPr>
                <w:color w:val="auto"/>
                <w:lang w:bidi="zh-CN"/>
              </w:rPr>
              <w:t>0.</w:t>
            </w:r>
            <w:r>
              <w:rPr>
                <w:rFonts w:hint="eastAsia"/>
                <w:color w:val="auto"/>
                <w:lang w:val="en-US" w:bidi="zh-CN"/>
              </w:rPr>
              <w:t>1266</w:t>
            </w:r>
            <w:r>
              <w:rPr>
                <w:color w:val="auto"/>
                <w:lang w:bidi="zh-CN"/>
              </w:rPr>
              <w:t>kg/h</w:t>
            </w:r>
            <w:r>
              <w:rPr>
                <w:rFonts w:hint="eastAsia"/>
                <w:color w:val="auto"/>
                <w:lang w:bidi="zh-CN"/>
              </w:rPr>
              <w:t>，有组织粉尘排放量</w:t>
            </w:r>
            <w:r>
              <w:rPr>
                <w:color w:val="auto"/>
                <w:lang w:bidi="zh-CN"/>
              </w:rPr>
              <w:t>0.0</w:t>
            </w:r>
            <w:r>
              <w:rPr>
                <w:rFonts w:hint="eastAsia"/>
                <w:color w:val="auto"/>
                <w:lang w:bidi="zh-CN"/>
              </w:rPr>
              <w:t>0</w:t>
            </w:r>
            <w:r>
              <w:rPr>
                <w:rFonts w:hint="eastAsia"/>
                <w:color w:val="auto"/>
                <w:lang w:val="en-US" w:bidi="zh-CN"/>
              </w:rPr>
              <w:t>61</w:t>
            </w:r>
            <w:r>
              <w:rPr>
                <w:color w:val="auto"/>
                <w:lang w:bidi="zh-CN"/>
              </w:rPr>
              <w:t>t/a</w:t>
            </w:r>
            <w:r>
              <w:rPr>
                <w:rFonts w:hint="eastAsia"/>
                <w:color w:val="auto"/>
                <w:lang w:bidi="zh-CN"/>
              </w:rPr>
              <w:t>，</w:t>
            </w:r>
            <w:r>
              <w:rPr>
                <w:rFonts w:hint="eastAsia"/>
                <w:color w:val="auto"/>
                <w:lang w:val="en-US" w:bidi="zh-CN"/>
              </w:rPr>
              <w:t>排放速率</w:t>
            </w:r>
            <w:r>
              <w:rPr>
                <w:color w:val="auto"/>
                <w:lang w:bidi="zh-CN"/>
              </w:rPr>
              <w:t>0.0</w:t>
            </w:r>
            <w:r>
              <w:rPr>
                <w:rFonts w:hint="eastAsia"/>
                <w:color w:val="auto"/>
                <w:lang w:bidi="zh-CN"/>
              </w:rPr>
              <w:t>0</w:t>
            </w:r>
            <w:r>
              <w:rPr>
                <w:rFonts w:hint="eastAsia"/>
                <w:color w:val="auto"/>
                <w:lang w:val="en-US" w:bidi="zh-CN"/>
              </w:rPr>
              <w:t>25</w:t>
            </w:r>
            <w:r>
              <w:rPr>
                <w:color w:val="auto"/>
                <w:lang w:bidi="zh-CN"/>
              </w:rPr>
              <w:t>kg/h</w:t>
            </w:r>
            <w:r>
              <w:rPr>
                <w:rFonts w:hint="eastAsia"/>
                <w:color w:val="auto"/>
                <w:lang w:bidi="zh-CN"/>
              </w:rPr>
              <w:t>，</w:t>
            </w:r>
            <w:r>
              <w:rPr>
                <w:rFonts w:hint="eastAsia"/>
                <w:color w:val="auto"/>
                <w:lang w:val="en-US" w:bidi="zh-CN"/>
              </w:rPr>
              <w:t>排放浓度0.25mg/m</w:t>
            </w:r>
            <w:r>
              <w:rPr>
                <w:rFonts w:hint="eastAsia"/>
                <w:color w:val="auto"/>
                <w:vertAlign w:val="superscript"/>
                <w:lang w:val="en-US" w:bidi="zh-CN"/>
              </w:rPr>
              <w:t>3</w:t>
            </w:r>
            <w:r>
              <w:rPr>
                <w:rFonts w:hint="eastAsia"/>
                <w:color w:val="auto"/>
                <w:lang w:bidi="zh-CN"/>
              </w:rPr>
              <w:t>；无组织粉尘排放量约</w:t>
            </w:r>
            <w:r>
              <w:rPr>
                <w:color w:val="auto"/>
                <w:lang w:bidi="zh-CN"/>
              </w:rPr>
              <w:t>0.</w:t>
            </w:r>
            <w:r>
              <w:rPr>
                <w:rFonts w:hint="eastAsia"/>
                <w:color w:val="auto"/>
                <w:lang w:bidi="zh-CN"/>
              </w:rPr>
              <w:t>0</w:t>
            </w:r>
            <w:r>
              <w:rPr>
                <w:rFonts w:hint="eastAsia"/>
                <w:color w:val="auto"/>
                <w:lang w:val="en-US" w:bidi="zh-CN"/>
              </w:rPr>
              <w:t>338</w:t>
            </w:r>
            <w:r>
              <w:rPr>
                <w:color w:val="auto"/>
                <w:lang w:bidi="zh-CN"/>
              </w:rPr>
              <w:t>t/a</w:t>
            </w:r>
            <w:r>
              <w:rPr>
                <w:rFonts w:hint="eastAsia"/>
                <w:color w:val="auto"/>
                <w:lang w:bidi="zh-CN"/>
              </w:rPr>
              <w:t>，</w:t>
            </w:r>
            <w:r>
              <w:rPr>
                <w:rFonts w:hint="eastAsia"/>
                <w:color w:val="auto"/>
                <w:lang w:val="en-US" w:bidi="zh-CN"/>
              </w:rPr>
              <w:t>排放速率</w:t>
            </w:r>
            <w:r>
              <w:rPr>
                <w:color w:val="auto"/>
                <w:lang w:bidi="zh-CN"/>
              </w:rPr>
              <w:t>0.0</w:t>
            </w:r>
            <w:r>
              <w:rPr>
                <w:rFonts w:hint="eastAsia"/>
                <w:color w:val="auto"/>
                <w:lang w:val="en-US" w:bidi="zh-CN"/>
              </w:rPr>
              <w:t>141</w:t>
            </w:r>
            <w:r>
              <w:rPr>
                <w:color w:val="auto"/>
                <w:lang w:bidi="zh-CN"/>
              </w:rPr>
              <w:t>kg/h</w:t>
            </w:r>
            <w:r>
              <w:rPr>
                <w:rFonts w:hint="eastAsia"/>
                <w:color w:val="auto"/>
                <w:lang w:bidi="zh-CN"/>
              </w:rPr>
              <w:t>。</w:t>
            </w:r>
          </w:p>
          <w:p>
            <w:pPr>
              <w:keepNext w:val="0"/>
              <w:pageBreakBefore w:val="0"/>
              <w:widowControl/>
              <w:kinsoku/>
              <w:wordWrap/>
              <w:overflowPunct/>
              <w:topLinePunct w:val="0"/>
              <w:bidi w:val="0"/>
              <w:spacing w:line="520" w:lineRule="exact"/>
              <w:ind w:firstLine="480" w:firstLineChars="200"/>
              <w:jc w:val="left"/>
              <w:rPr>
                <w:color w:val="auto"/>
                <w:lang w:bidi="zh-CN"/>
              </w:rPr>
            </w:pPr>
            <w:r>
              <w:rPr>
                <w:rFonts w:hint="eastAsia"/>
                <w:color w:val="auto"/>
                <w:lang w:val="en-US" w:bidi="zh-CN"/>
              </w:rPr>
              <w:t>2）</w:t>
            </w:r>
            <w:r>
              <w:rPr>
                <w:rFonts w:hint="eastAsia"/>
                <w:color w:val="auto"/>
                <w:lang w:bidi="zh-CN"/>
              </w:rPr>
              <w:t>有机废气</w:t>
            </w:r>
          </w:p>
          <w:p>
            <w:pPr>
              <w:keepNext w:val="0"/>
              <w:pageBreakBefore w:val="0"/>
              <w:widowControl/>
              <w:kinsoku/>
              <w:wordWrap/>
              <w:overflowPunct/>
              <w:topLinePunct w:val="0"/>
              <w:bidi w:val="0"/>
              <w:spacing w:line="520" w:lineRule="exact"/>
              <w:ind w:firstLine="480" w:firstLineChars="200"/>
              <w:jc w:val="left"/>
              <w:rPr>
                <w:b/>
                <w:bCs/>
                <w:color w:val="auto"/>
                <w:u w:val="single"/>
                <w:lang w:bidi="zh-CN"/>
              </w:rPr>
            </w:pPr>
            <w:r>
              <w:rPr>
                <w:rFonts w:hint="eastAsia"/>
                <w:color w:val="auto"/>
                <w:lang w:bidi="zh-CN"/>
              </w:rPr>
              <w:t>本项目有机废气主要为封边工序、</w:t>
            </w:r>
            <w:r>
              <w:rPr>
                <w:rFonts w:hint="eastAsia"/>
                <w:color w:val="auto"/>
                <w:lang w:val="en-US" w:bidi="zh-CN"/>
              </w:rPr>
              <w:t>粘贴工序</w:t>
            </w:r>
            <w:r>
              <w:rPr>
                <w:rFonts w:hint="eastAsia"/>
                <w:color w:val="auto"/>
                <w:lang w:bidi="zh-CN"/>
              </w:rPr>
              <w:t>有机废气、危废间废气，主要污染因子为非甲烷总烃。</w:t>
            </w:r>
          </w:p>
          <w:p>
            <w:pPr>
              <w:keepNext w:val="0"/>
              <w:pageBreakBefore w:val="0"/>
              <w:widowControl/>
              <w:kinsoku/>
              <w:wordWrap/>
              <w:overflowPunct/>
              <w:topLinePunct w:val="0"/>
              <w:bidi w:val="0"/>
              <w:spacing w:line="520" w:lineRule="exact"/>
              <w:ind w:firstLine="480" w:firstLineChars="200"/>
              <w:jc w:val="left"/>
              <w:rPr>
                <w:color w:val="auto"/>
                <w:lang w:bidi="zh-CN"/>
              </w:rPr>
            </w:pPr>
            <w:r>
              <w:rPr>
                <w:rFonts w:hint="eastAsia"/>
                <w:color w:val="auto"/>
                <w:lang w:bidi="zh-CN"/>
              </w:rPr>
              <w:t>①</w:t>
            </w:r>
            <w:r>
              <w:rPr>
                <w:rFonts w:hint="eastAsia"/>
                <w:color w:val="auto"/>
                <w:lang w:val="en-US" w:bidi="zh-CN"/>
              </w:rPr>
              <w:t>粘贴</w:t>
            </w:r>
            <w:r>
              <w:rPr>
                <w:rFonts w:hint="eastAsia"/>
                <w:color w:val="auto"/>
                <w:lang w:bidi="zh-CN"/>
              </w:rPr>
              <w:t>废气</w:t>
            </w:r>
          </w:p>
          <w:p>
            <w:pPr>
              <w:keepNext w:val="0"/>
              <w:pageBreakBefore w:val="0"/>
              <w:widowControl/>
              <w:kinsoku/>
              <w:wordWrap/>
              <w:overflowPunct/>
              <w:topLinePunct w:val="0"/>
              <w:bidi w:val="0"/>
              <w:spacing w:line="520" w:lineRule="exact"/>
              <w:ind w:firstLine="480" w:firstLineChars="200"/>
              <w:jc w:val="left"/>
              <w:rPr>
                <w:rFonts w:hint="eastAsia"/>
                <w:color w:val="auto"/>
                <w:lang w:bidi="zh-CN"/>
              </w:rPr>
            </w:pPr>
            <w:r>
              <w:rPr>
                <w:rFonts w:hint="eastAsia"/>
                <w:color w:val="auto"/>
                <w:lang w:bidi="zh-CN"/>
              </w:rPr>
              <w:t>项目</w:t>
            </w:r>
            <w:r>
              <w:rPr>
                <w:rFonts w:hint="eastAsia"/>
                <w:color w:val="auto"/>
                <w:lang w:val="en-US" w:bidi="zh-CN"/>
              </w:rPr>
              <w:t>软包沙发</w:t>
            </w:r>
            <w:r>
              <w:rPr>
                <w:rFonts w:hint="eastAsia"/>
                <w:color w:val="auto"/>
                <w:lang w:bidi="zh-CN"/>
              </w:rPr>
              <w:t>需要</w:t>
            </w:r>
            <w:r>
              <w:rPr>
                <w:rFonts w:hint="eastAsia"/>
                <w:color w:val="auto"/>
                <w:lang w:val="en-US" w:bidi="zh-CN"/>
              </w:rPr>
              <w:t>海绵胶</w:t>
            </w:r>
            <w:r>
              <w:rPr>
                <w:rFonts w:hint="eastAsia"/>
                <w:color w:val="auto"/>
                <w:lang w:bidi="zh-CN"/>
              </w:rPr>
              <w:t>将不同的工件粘合到一起。加工过程中产生的废气很少，参考《211木质家具制造行业系数手册》（2019年4月）中涂胶环节挥发性有机物产污系数52.4g/kg-胶黏剂，项目</w:t>
            </w:r>
            <w:r>
              <w:rPr>
                <w:rFonts w:hint="eastAsia"/>
                <w:color w:val="auto"/>
                <w:lang w:val="en-US" w:bidi="zh-CN"/>
              </w:rPr>
              <w:t>海绵</w:t>
            </w:r>
            <w:r>
              <w:rPr>
                <w:rFonts w:hint="eastAsia"/>
                <w:color w:val="auto"/>
                <w:lang w:bidi="zh-CN"/>
              </w:rPr>
              <w:t>胶使用量为</w:t>
            </w:r>
            <w:r>
              <w:rPr>
                <w:rFonts w:hint="eastAsia"/>
                <w:color w:val="auto"/>
                <w:lang w:val="en-US" w:bidi="zh-CN"/>
              </w:rPr>
              <w:t>1</w:t>
            </w:r>
            <w:r>
              <w:rPr>
                <w:rFonts w:hint="eastAsia"/>
                <w:color w:val="auto"/>
                <w:lang w:bidi="zh-CN"/>
              </w:rPr>
              <w:t>t/a，工作时间：</w:t>
            </w:r>
            <w:r>
              <w:rPr>
                <w:color w:val="auto"/>
                <w:lang w:bidi="zh-CN"/>
              </w:rPr>
              <w:t>300d/a</w:t>
            </w:r>
            <w:r>
              <w:rPr>
                <w:rFonts w:hint="eastAsia"/>
                <w:color w:val="auto"/>
                <w:lang w:bidi="zh-CN"/>
              </w:rPr>
              <w:t>、</w:t>
            </w:r>
            <w:r>
              <w:rPr>
                <w:color w:val="auto"/>
                <w:lang w:bidi="zh-CN"/>
              </w:rPr>
              <w:t>8h/d</w:t>
            </w:r>
            <w:r>
              <w:rPr>
                <w:rFonts w:hint="eastAsia"/>
                <w:color w:val="auto"/>
                <w:lang w:bidi="zh-CN"/>
              </w:rPr>
              <w:t>，非甲烷总烃产生量</w:t>
            </w:r>
            <w:r>
              <w:rPr>
                <w:color w:val="auto"/>
                <w:lang w:bidi="zh-CN"/>
              </w:rPr>
              <w:t>0.</w:t>
            </w:r>
            <w:r>
              <w:rPr>
                <w:rFonts w:hint="eastAsia"/>
                <w:color w:val="auto"/>
                <w:lang w:val="en-US" w:bidi="zh-CN"/>
              </w:rPr>
              <w:t>0524</w:t>
            </w:r>
            <w:r>
              <w:rPr>
                <w:color w:val="auto"/>
                <w:lang w:bidi="zh-CN"/>
              </w:rPr>
              <w:t>t/a</w:t>
            </w:r>
            <w:r>
              <w:rPr>
                <w:rFonts w:hint="eastAsia"/>
                <w:color w:val="auto"/>
                <w:lang w:bidi="zh-CN"/>
              </w:rPr>
              <w:t>。</w:t>
            </w:r>
          </w:p>
          <w:p>
            <w:pPr>
              <w:keepNext w:val="0"/>
              <w:pageBreakBefore w:val="0"/>
              <w:widowControl/>
              <w:kinsoku/>
              <w:wordWrap/>
              <w:overflowPunct/>
              <w:topLinePunct w:val="0"/>
              <w:bidi w:val="0"/>
              <w:spacing w:line="520" w:lineRule="exact"/>
              <w:ind w:firstLine="480" w:firstLineChars="200"/>
              <w:jc w:val="left"/>
              <w:rPr>
                <w:b w:val="0"/>
                <w:bCs w:val="0"/>
                <w:color w:val="auto"/>
                <w:u w:val="none"/>
                <w:lang w:bidi="zh-CN"/>
              </w:rPr>
            </w:pPr>
            <w:r>
              <w:rPr>
                <w:rFonts w:hint="eastAsia"/>
                <w:b w:val="0"/>
                <w:bCs w:val="0"/>
                <w:color w:val="auto"/>
                <w:u w:val="none"/>
                <w:lang w:bidi="zh-CN"/>
              </w:rPr>
              <w:t>②</w:t>
            </w:r>
            <w:r>
              <w:rPr>
                <w:rFonts w:hint="eastAsia"/>
                <w:b w:val="0"/>
                <w:bCs w:val="0"/>
                <w:color w:val="auto"/>
                <w:u w:val="none"/>
                <w:lang w:val="en-US" w:bidi="zh-CN"/>
              </w:rPr>
              <w:t>封边</w:t>
            </w:r>
            <w:r>
              <w:rPr>
                <w:rFonts w:hint="eastAsia"/>
                <w:b w:val="0"/>
                <w:bCs w:val="0"/>
                <w:color w:val="auto"/>
                <w:u w:val="none"/>
                <w:lang w:bidi="zh-CN"/>
              </w:rPr>
              <w:t>废气</w:t>
            </w:r>
          </w:p>
          <w:p>
            <w:pPr>
              <w:keepNext w:val="0"/>
              <w:pageBreakBefore w:val="0"/>
              <w:widowControl/>
              <w:kinsoku/>
              <w:wordWrap/>
              <w:overflowPunct/>
              <w:topLinePunct w:val="0"/>
              <w:bidi w:val="0"/>
              <w:spacing w:line="520" w:lineRule="exact"/>
              <w:ind w:firstLine="480" w:firstLineChars="200"/>
              <w:jc w:val="left"/>
              <w:rPr>
                <w:rFonts w:hint="eastAsia"/>
                <w:b/>
                <w:bCs/>
                <w:color w:val="auto"/>
                <w:u w:val="single"/>
                <w:lang w:bidi="zh-CN"/>
              </w:rPr>
            </w:pPr>
            <w:r>
              <w:rPr>
                <w:rFonts w:hint="eastAsia"/>
                <w:b w:val="0"/>
                <w:bCs w:val="0"/>
                <w:color w:val="auto"/>
                <w:u w:val="none"/>
                <w:lang w:bidi="zh-CN"/>
              </w:rPr>
              <w:t>项目家具生产工艺有机废气主要产生于封边过程。本项目使用的为EVA热熔胶，EVA热熔胶是乙烯-醋酸乙烯共聚物，是一种环保型、不含溶剂、安全性较高的热塑性胶。热熔胶加热到一定温度时，即由固态转变为熔融态，当涂布到封边材料表面后，冷却变成固态，将PVC封边条与板材粘接在一起。在热熔胶熔融状态时，封边机将PVC封边条自动粘合在木板的板边上，1~2s左右熔融状态热熔胶马上冷却下来，且本项目加热温度为80~120℃，因此封边工序PVC封边条产生有机废气甚少，仅在加热过程中热熔胶内的少量乙烯和醋酸乙烯单体挥发，其分解温度为230℃，因此热熔胶不会分解，本项目采用封边胶加热熔融后将封边条粘贴在木板边上。</w:t>
            </w:r>
            <w:r>
              <w:rPr>
                <w:rFonts w:hint="eastAsia"/>
                <w:b/>
                <w:bCs/>
                <w:color w:val="auto"/>
                <w:u w:val="single"/>
                <w:lang w:bidi="zh-CN"/>
              </w:rPr>
              <w:t>本次评价按最不利影响，即封边胶中的挥发性有机物全部挥发进行计算。按《胶粘剂挥发性有机化合物限量》(GB33372-2020)表3中本体型热塑类胶粘剂VOC含量限值50g/kg全部挥发进行计算，根据建设单位提供资料，本项目家具生产工艺热熔胶使用量约为</w:t>
            </w:r>
            <w:r>
              <w:rPr>
                <w:rFonts w:hint="eastAsia"/>
                <w:b/>
                <w:bCs/>
                <w:color w:val="auto"/>
                <w:u w:val="single"/>
                <w:lang w:val="en-US" w:bidi="zh-CN"/>
              </w:rPr>
              <w:t>2.5t</w:t>
            </w:r>
            <w:r>
              <w:rPr>
                <w:rFonts w:hint="eastAsia"/>
                <w:b/>
                <w:bCs/>
                <w:color w:val="auto"/>
                <w:u w:val="single"/>
                <w:lang w:bidi="zh-CN"/>
              </w:rPr>
              <w:t>/a，则</w:t>
            </w:r>
            <w:r>
              <w:rPr>
                <w:rFonts w:hint="eastAsia"/>
                <w:b/>
                <w:bCs/>
                <w:color w:val="auto"/>
                <w:u w:val="single"/>
                <w:lang w:val="en-US" w:bidi="zh-CN"/>
              </w:rPr>
              <w:t>封边工序</w:t>
            </w:r>
            <w:r>
              <w:rPr>
                <w:rFonts w:hint="eastAsia"/>
                <w:b/>
                <w:bCs/>
                <w:color w:val="auto"/>
                <w:u w:val="single"/>
                <w:lang w:bidi="zh-CN"/>
              </w:rPr>
              <w:t>有机废气产生量为0.</w:t>
            </w:r>
            <w:r>
              <w:rPr>
                <w:rFonts w:hint="eastAsia"/>
                <w:b/>
                <w:bCs/>
                <w:color w:val="auto"/>
                <w:u w:val="single"/>
                <w:lang w:val="en-US" w:bidi="zh-CN"/>
              </w:rPr>
              <w:t>12</w:t>
            </w:r>
            <w:r>
              <w:rPr>
                <w:rFonts w:hint="eastAsia"/>
                <w:b/>
                <w:bCs/>
                <w:color w:val="auto"/>
                <w:u w:val="single"/>
                <w:lang w:bidi="zh-CN"/>
              </w:rPr>
              <w:t>5t</w:t>
            </w:r>
            <w:r>
              <w:rPr>
                <w:rFonts w:hint="eastAsia"/>
                <w:b/>
                <w:bCs/>
                <w:color w:val="auto"/>
                <w:u w:val="single"/>
                <w:lang w:val="en-US" w:bidi="zh-CN"/>
              </w:rPr>
              <w:t>/</w:t>
            </w:r>
            <w:r>
              <w:rPr>
                <w:rFonts w:hint="eastAsia"/>
                <w:b/>
                <w:bCs/>
                <w:color w:val="auto"/>
                <w:u w:val="single"/>
                <w:lang w:bidi="zh-CN"/>
              </w:rPr>
              <w:t>a。</w:t>
            </w:r>
          </w:p>
          <w:p>
            <w:pPr>
              <w:keepNext w:val="0"/>
              <w:pageBreakBefore w:val="0"/>
              <w:widowControl/>
              <w:kinsoku/>
              <w:wordWrap/>
              <w:overflowPunct/>
              <w:topLinePunct w:val="0"/>
              <w:bidi w:val="0"/>
              <w:spacing w:line="520" w:lineRule="exact"/>
              <w:ind w:firstLine="480" w:firstLineChars="200"/>
              <w:jc w:val="left"/>
              <w:rPr>
                <w:rFonts w:hint="default"/>
                <w:color w:val="auto"/>
                <w:lang w:val="en-US" w:bidi="zh-CN"/>
              </w:rPr>
            </w:pPr>
            <w:r>
              <w:rPr>
                <w:rFonts w:hint="eastAsia"/>
                <w:b w:val="0"/>
                <w:bCs w:val="0"/>
                <w:color w:val="auto"/>
                <w:u w:val="none"/>
                <w:lang w:val="en-US" w:bidi="zh-CN"/>
              </w:rPr>
              <w:t>封边和粘贴</w:t>
            </w:r>
            <w:r>
              <w:rPr>
                <w:rFonts w:hint="eastAsia"/>
                <w:b w:val="0"/>
                <w:bCs w:val="0"/>
                <w:color w:val="auto"/>
                <w:u w:val="none"/>
                <w:lang w:bidi="zh-CN"/>
              </w:rPr>
              <w:t>工序</w:t>
            </w:r>
            <w:r>
              <w:rPr>
                <w:rFonts w:hint="eastAsia"/>
                <w:b w:val="0"/>
                <w:bCs w:val="0"/>
                <w:color w:val="auto"/>
                <w:u w:val="none"/>
                <w:lang w:val="en-US" w:bidi="zh-CN"/>
              </w:rPr>
              <w:t>非甲烷总烃合计产生量为0.1774t/a。</w:t>
            </w:r>
          </w:p>
          <w:p>
            <w:pPr>
              <w:keepNext w:val="0"/>
              <w:pageBreakBefore w:val="0"/>
              <w:widowControl/>
              <w:kinsoku/>
              <w:wordWrap/>
              <w:overflowPunct/>
              <w:topLinePunct w:val="0"/>
              <w:bidi w:val="0"/>
              <w:spacing w:line="520" w:lineRule="exact"/>
              <w:ind w:firstLine="480" w:firstLineChars="200"/>
              <w:jc w:val="left"/>
              <w:rPr>
                <w:b w:val="0"/>
                <w:bCs w:val="0"/>
                <w:color w:val="auto"/>
                <w:u w:val="none"/>
                <w:lang w:bidi="zh-CN"/>
              </w:rPr>
            </w:pPr>
            <w:r>
              <w:rPr>
                <w:rFonts w:hint="eastAsia"/>
                <w:color w:val="auto"/>
                <w:lang w:bidi="zh-CN"/>
              </w:rPr>
              <w:t>为降低挥发性有机废气无组织排放量，评价要求建设单位在</w:t>
            </w:r>
            <w:r>
              <w:rPr>
                <w:rFonts w:hint="eastAsia"/>
                <w:color w:val="auto"/>
                <w:lang w:val="en-US" w:bidi="zh-CN"/>
              </w:rPr>
              <w:t>封边</w:t>
            </w:r>
            <w:r>
              <w:rPr>
                <w:rFonts w:hint="eastAsia"/>
                <w:color w:val="auto"/>
                <w:lang w:bidi="zh-CN"/>
              </w:rPr>
              <w:t>设备、</w:t>
            </w:r>
            <w:r>
              <w:rPr>
                <w:rFonts w:hint="eastAsia"/>
                <w:color w:val="auto"/>
                <w:lang w:val="en-US" w:bidi="zh-CN"/>
              </w:rPr>
              <w:t>人工刷胶</w:t>
            </w:r>
            <w:r>
              <w:rPr>
                <w:rFonts w:hint="eastAsia"/>
                <w:color w:val="auto"/>
                <w:lang w:bidi="zh-CN"/>
              </w:rPr>
              <w:t>上部设置集气罩，经负压引风通道引至两级活性炭吸附系统处理后通过</w:t>
            </w:r>
            <w:r>
              <w:rPr>
                <w:color w:val="auto"/>
                <w:lang w:bidi="zh-CN"/>
              </w:rPr>
              <w:t>15m</w:t>
            </w:r>
            <w:r>
              <w:rPr>
                <w:rFonts w:hint="eastAsia"/>
                <w:color w:val="auto"/>
                <w:lang w:bidi="zh-CN"/>
              </w:rPr>
              <w:t>高排气筒排放。</w:t>
            </w:r>
            <w:r>
              <w:rPr>
                <w:rFonts w:hint="eastAsia"/>
                <w:b/>
                <w:bCs/>
                <w:color w:val="auto"/>
                <w:u w:val="single"/>
                <w:lang w:val="en-US" w:bidi="zh-CN"/>
              </w:rPr>
              <w:t>根据</w:t>
            </w:r>
            <w:r>
              <w:rPr>
                <w:rFonts w:hint="eastAsia"/>
                <w:b/>
                <w:bCs/>
                <w:color w:val="auto"/>
                <w:u w:val="single"/>
                <w:lang w:bidi="zh-CN"/>
              </w:rPr>
              <w:t>《环保设备设计手册—大气污染控制设备》（化学工业出版社，2004年版）按密闭计算：密闭车间的换气次数可达20次/h以上，本次以20次/h计，区域尺寸：</w:t>
            </w:r>
            <w:r>
              <w:rPr>
                <w:rFonts w:hint="eastAsia"/>
                <w:b/>
                <w:bCs/>
                <w:color w:val="auto"/>
                <w:u w:val="single"/>
                <w:lang w:val="en-US" w:eastAsia="zh-CN" w:bidi="zh-CN"/>
              </w:rPr>
              <w:t>6</w:t>
            </w:r>
            <w:r>
              <w:rPr>
                <w:rFonts w:hint="eastAsia"/>
                <w:b/>
                <w:bCs/>
                <w:color w:val="auto"/>
                <w:u w:val="single"/>
                <w:lang w:bidi="zh-CN"/>
              </w:rPr>
              <w:t>m×3.</w:t>
            </w:r>
            <w:r>
              <w:rPr>
                <w:rFonts w:hint="eastAsia"/>
                <w:b/>
                <w:bCs/>
                <w:color w:val="auto"/>
                <w:u w:val="single"/>
                <w:lang w:val="en-US" w:eastAsia="zh-CN" w:bidi="zh-CN"/>
              </w:rPr>
              <w:t>2</w:t>
            </w:r>
            <w:r>
              <w:rPr>
                <w:rFonts w:hint="eastAsia"/>
                <w:b/>
                <w:bCs/>
                <w:color w:val="auto"/>
                <w:u w:val="single"/>
                <w:lang w:bidi="zh-CN"/>
              </w:rPr>
              <w:t>m，高约2.</w:t>
            </w:r>
            <w:r>
              <w:rPr>
                <w:rFonts w:hint="eastAsia"/>
                <w:b/>
                <w:bCs/>
                <w:color w:val="auto"/>
                <w:u w:val="single"/>
                <w:lang w:val="en-US" w:eastAsia="zh-CN" w:bidi="zh-CN"/>
              </w:rPr>
              <w:t>4</w:t>
            </w:r>
            <w:r>
              <w:rPr>
                <w:rFonts w:hint="eastAsia"/>
                <w:b/>
                <w:bCs/>
                <w:color w:val="auto"/>
                <w:u w:val="single"/>
                <w:lang w:bidi="zh-CN"/>
              </w:rPr>
              <w:t>m，</w:t>
            </w:r>
            <w:r>
              <w:rPr>
                <w:rFonts w:hint="eastAsia"/>
                <w:b/>
                <w:bCs/>
                <w:color w:val="auto"/>
                <w:u w:val="single"/>
                <w:lang w:val="en-US" w:eastAsia="zh-CN" w:bidi="zh-CN"/>
              </w:rPr>
              <w:t>集气罩处风速不低于0.3m/s，故</w:t>
            </w:r>
            <w:r>
              <w:rPr>
                <w:rFonts w:hint="eastAsia"/>
                <w:b/>
                <w:bCs/>
                <w:color w:val="auto"/>
                <w:u w:val="single"/>
                <w:lang w:bidi="zh-CN"/>
              </w:rPr>
              <w:t>废气处理风量设计为1</w:t>
            </w:r>
            <w:r>
              <w:rPr>
                <w:rFonts w:hint="eastAsia"/>
                <w:b/>
                <w:bCs/>
                <w:color w:val="auto"/>
                <w:u w:val="single"/>
                <w:lang w:val="en-US" w:eastAsia="zh-CN" w:bidi="zh-CN"/>
              </w:rPr>
              <w:t>0</w:t>
            </w:r>
            <w:r>
              <w:rPr>
                <w:rFonts w:hint="eastAsia"/>
                <w:b/>
                <w:bCs/>
                <w:color w:val="auto"/>
                <w:u w:val="single"/>
                <w:lang w:bidi="zh-CN"/>
              </w:rPr>
              <w:t>00m</w:t>
            </w:r>
            <w:r>
              <w:rPr>
                <w:rFonts w:hint="eastAsia"/>
                <w:b/>
                <w:bCs/>
                <w:color w:val="auto"/>
                <w:u w:val="single"/>
                <w:vertAlign w:val="superscript"/>
                <w:lang w:bidi="zh-CN"/>
              </w:rPr>
              <w:t>3</w:t>
            </w:r>
            <w:r>
              <w:rPr>
                <w:rFonts w:hint="eastAsia"/>
                <w:b/>
                <w:bCs/>
                <w:color w:val="auto"/>
                <w:u w:val="single"/>
                <w:lang w:bidi="zh-CN"/>
              </w:rPr>
              <w:t>/h。</w:t>
            </w:r>
            <w:r>
              <w:rPr>
                <w:rFonts w:hint="eastAsia"/>
                <w:b/>
                <w:bCs/>
                <w:color w:val="auto"/>
                <w:u w:val="single"/>
                <w:lang w:val="en-US" w:bidi="zh-CN"/>
              </w:rPr>
              <w:t>车间内</w:t>
            </w:r>
            <w:r>
              <w:rPr>
                <w:rFonts w:hint="eastAsia"/>
                <w:b/>
                <w:bCs/>
                <w:color w:val="auto"/>
                <w:u w:val="single"/>
                <w:lang w:bidi="zh-CN"/>
              </w:rPr>
              <w:t>集气罩收集效率以</w:t>
            </w:r>
            <w:r>
              <w:rPr>
                <w:b/>
                <w:bCs/>
                <w:color w:val="auto"/>
                <w:u w:val="single"/>
                <w:lang w:bidi="zh-CN"/>
              </w:rPr>
              <w:t>90%</w:t>
            </w:r>
            <w:r>
              <w:rPr>
                <w:rFonts w:hint="eastAsia"/>
                <w:b/>
                <w:bCs/>
                <w:color w:val="auto"/>
                <w:u w:val="single"/>
                <w:lang w:bidi="zh-CN"/>
              </w:rPr>
              <w:t>计（</w:t>
            </w:r>
            <w:r>
              <w:rPr>
                <w:rFonts w:hint="eastAsia"/>
                <w:b/>
                <w:bCs/>
                <w:color w:val="auto"/>
                <w:u w:val="single"/>
                <w:lang w:val="en-US" w:bidi="zh-CN"/>
              </w:rPr>
              <w:t>依据《</w:t>
            </w:r>
            <w:r>
              <w:rPr>
                <w:rFonts w:hint="eastAsia"/>
                <w:b/>
                <w:bCs/>
                <w:color w:val="auto"/>
                <w:u w:val="single"/>
                <w:lang w:bidi="zh-CN"/>
              </w:rPr>
              <w:t>袋式除尘工程通用技术规范</w:t>
            </w:r>
            <w:r>
              <w:rPr>
                <w:rFonts w:hint="eastAsia"/>
                <w:b/>
                <w:bCs/>
                <w:color w:val="auto"/>
                <w:u w:val="single"/>
                <w:lang w:val="en-US" w:bidi="zh-CN"/>
              </w:rPr>
              <w:t>》</w:t>
            </w:r>
            <w:r>
              <w:rPr>
                <w:rFonts w:hint="eastAsia"/>
                <w:b/>
                <w:bCs/>
                <w:color w:val="auto"/>
                <w:u w:val="single"/>
                <w:lang w:bidi="zh-CN"/>
              </w:rPr>
              <w:t>(HJ</w:t>
            </w:r>
            <w:r>
              <w:rPr>
                <w:rFonts w:hint="eastAsia"/>
                <w:b/>
                <w:bCs/>
                <w:color w:val="auto"/>
                <w:u w:val="single"/>
                <w:lang w:val="en-US" w:bidi="zh-CN"/>
              </w:rPr>
              <w:t xml:space="preserve"> </w:t>
            </w:r>
            <w:r>
              <w:rPr>
                <w:rFonts w:hint="eastAsia"/>
                <w:b/>
                <w:bCs/>
                <w:color w:val="auto"/>
                <w:u w:val="single"/>
                <w:lang w:bidi="zh-CN"/>
              </w:rPr>
              <w:t>2020-2012)</w:t>
            </w:r>
            <w:r>
              <w:rPr>
                <w:rFonts w:hint="eastAsia"/>
                <w:b/>
                <w:bCs/>
                <w:color w:val="auto"/>
                <w:u w:val="single"/>
                <w:lang w:val="en-US" w:bidi="zh-CN"/>
              </w:rPr>
              <w:t>6.2.8</w:t>
            </w:r>
            <w:r>
              <w:rPr>
                <w:rFonts w:hint="eastAsia"/>
                <w:b/>
                <w:bCs/>
                <w:color w:val="auto"/>
                <w:u w:val="single"/>
                <w:lang w:bidi="zh-CN"/>
              </w:rPr>
              <w:t>），</w:t>
            </w:r>
            <w:r>
              <w:rPr>
                <w:rFonts w:hint="eastAsia"/>
                <w:b/>
                <w:bCs/>
                <w:color w:val="auto"/>
                <w:u w:val="single"/>
                <w:lang w:val="en-US" w:bidi="zh-CN"/>
              </w:rPr>
              <w:t>两次活性炭去除</w:t>
            </w:r>
            <w:r>
              <w:rPr>
                <w:rFonts w:hint="eastAsia"/>
                <w:b/>
                <w:bCs/>
                <w:color w:val="auto"/>
                <w:u w:val="single"/>
                <w:lang w:bidi="zh-CN"/>
              </w:rPr>
              <w:t>效率以</w:t>
            </w:r>
            <w:r>
              <w:rPr>
                <w:rFonts w:hint="eastAsia"/>
                <w:b/>
                <w:bCs/>
                <w:color w:val="auto"/>
                <w:u w:val="single"/>
                <w:lang w:val="en-US" w:bidi="zh-CN"/>
              </w:rPr>
              <w:t>85</w:t>
            </w:r>
            <w:r>
              <w:rPr>
                <w:b/>
                <w:bCs/>
                <w:color w:val="auto"/>
                <w:u w:val="single"/>
                <w:lang w:bidi="zh-CN"/>
              </w:rPr>
              <w:t>%</w:t>
            </w:r>
            <w:r>
              <w:rPr>
                <w:rFonts w:hint="eastAsia"/>
                <w:b/>
                <w:bCs/>
                <w:color w:val="auto"/>
                <w:u w:val="single"/>
                <w:lang w:bidi="zh-CN"/>
              </w:rPr>
              <w:t>计（</w:t>
            </w:r>
            <w:r>
              <w:rPr>
                <w:rFonts w:hint="eastAsia"/>
                <w:b/>
                <w:bCs/>
                <w:color w:val="auto"/>
                <w:u w:val="single"/>
                <w:lang w:val="en-US" w:bidi="zh-CN"/>
              </w:rPr>
              <w:t>依据《</w:t>
            </w:r>
            <w:r>
              <w:rPr>
                <w:rFonts w:hint="eastAsia"/>
                <w:b/>
                <w:bCs/>
                <w:color w:val="auto"/>
                <w:u w:val="single"/>
                <w:lang w:bidi="zh-CN"/>
              </w:rPr>
              <w:fldChar w:fldCharType="begin"/>
            </w:r>
            <w:r>
              <w:rPr>
                <w:rFonts w:hint="eastAsia"/>
                <w:b/>
                <w:bCs/>
                <w:color w:val="auto"/>
                <w:u w:val="single"/>
                <w:lang w:bidi="zh-CN"/>
              </w:rPr>
              <w:instrText xml:space="preserve"> HYPERLINK "http://www.mee.gov.cn/ywgz/fgbz/bz/bzwb/other/hjbhgc/201304/t20130403_250331.htm" </w:instrText>
            </w:r>
            <w:r>
              <w:rPr>
                <w:rFonts w:hint="eastAsia"/>
                <w:b/>
                <w:bCs/>
                <w:color w:val="auto"/>
                <w:u w:val="single"/>
                <w:lang w:bidi="zh-CN"/>
              </w:rPr>
              <w:fldChar w:fldCharType="separate"/>
            </w:r>
            <w:r>
              <w:rPr>
                <w:rFonts w:hint="eastAsia"/>
                <w:b/>
                <w:bCs/>
                <w:color w:val="auto"/>
                <w:u w:val="single"/>
                <w:lang w:bidi="zh-CN"/>
              </w:rPr>
              <w:t>吸附法工业有机废气治理工程技术规范</w:t>
            </w:r>
            <w:r>
              <w:rPr>
                <w:rFonts w:hint="eastAsia"/>
                <w:b/>
                <w:bCs/>
                <w:color w:val="auto"/>
                <w:u w:val="single"/>
                <w:lang w:val="en-US" w:bidi="zh-CN"/>
              </w:rPr>
              <w:t>》</w:t>
            </w:r>
            <w:r>
              <w:rPr>
                <w:rFonts w:hint="eastAsia"/>
                <w:b/>
                <w:bCs/>
                <w:color w:val="auto"/>
                <w:u w:val="single"/>
                <w:lang w:bidi="zh-CN"/>
              </w:rPr>
              <w:t>（HJ 2026-2013）</w:t>
            </w:r>
            <w:r>
              <w:rPr>
                <w:rFonts w:hint="eastAsia"/>
                <w:b/>
                <w:bCs/>
                <w:color w:val="auto"/>
                <w:u w:val="single"/>
                <w:lang w:bidi="zh-CN"/>
              </w:rPr>
              <w:fldChar w:fldCharType="end"/>
            </w:r>
            <w:r>
              <w:rPr>
                <w:rFonts w:hint="eastAsia"/>
                <w:b/>
                <w:bCs/>
                <w:color w:val="auto"/>
                <w:u w:val="single"/>
                <w:lang w:val="en-US" w:bidi="zh-CN"/>
              </w:rPr>
              <w:t>6.1.3</w:t>
            </w:r>
            <w:r>
              <w:rPr>
                <w:rFonts w:hint="eastAsia"/>
                <w:b/>
                <w:bCs/>
                <w:color w:val="auto"/>
                <w:u w:val="single"/>
                <w:lang w:bidi="zh-CN"/>
              </w:rPr>
              <w:t>），</w:t>
            </w:r>
            <w:r>
              <w:rPr>
                <w:rFonts w:hint="eastAsia"/>
                <w:b/>
                <w:bCs/>
                <w:color w:val="auto"/>
                <w:u w:val="single"/>
                <w:lang w:val="en-US" w:bidi="zh-CN"/>
              </w:rPr>
              <w:t>风机风量为10000m</w:t>
            </w:r>
            <w:r>
              <w:rPr>
                <w:rFonts w:hint="eastAsia"/>
                <w:b/>
                <w:bCs/>
                <w:color w:val="auto"/>
                <w:u w:val="single"/>
                <w:vertAlign w:val="superscript"/>
                <w:lang w:val="en-US" w:bidi="zh-CN"/>
              </w:rPr>
              <w:t>3</w:t>
            </w:r>
            <w:r>
              <w:rPr>
                <w:rFonts w:hint="eastAsia"/>
                <w:b/>
                <w:bCs/>
                <w:color w:val="auto"/>
                <w:u w:val="single"/>
                <w:lang w:val="en-US" w:bidi="zh-CN"/>
              </w:rPr>
              <w:t>，则封边和粘贴</w:t>
            </w:r>
            <w:r>
              <w:rPr>
                <w:rFonts w:hint="eastAsia"/>
                <w:b/>
                <w:bCs/>
                <w:color w:val="auto"/>
                <w:u w:val="single"/>
                <w:lang w:bidi="zh-CN"/>
              </w:rPr>
              <w:t>工序</w:t>
            </w:r>
            <w:r>
              <w:rPr>
                <w:rFonts w:hint="eastAsia"/>
                <w:b/>
                <w:bCs/>
                <w:color w:val="auto"/>
                <w:u w:val="single"/>
                <w:lang w:val="en-US" w:bidi="zh-CN"/>
              </w:rPr>
              <w:t>有组织</w:t>
            </w:r>
            <w:r>
              <w:rPr>
                <w:rFonts w:hint="eastAsia"/>
                <w:b/>
                <w:bCs/>
                <w:color w:val="auto"/>
                <w:u w:val="single"/>
                <w:lang w:bidi="zh-CN"/>
              </w:rPr>
              <w:t>产生的</w:t>
            </w:r>
            <w:r>
              <w:rPr>
                <w:rFonts w:hint="eastAsia"/>
                <w:b/>
                <w:bCs/>
                <w:color w:val="auto"/>
                <w:u w:val="single"/>
                <w:lang w:val="en-US" w:bidi="zh-CN"/>
              </w:rPr>
              <w:t>非甲烷总烃产生</w:t>
            </w:r>
            <w:r>
              <w:rPr>
                <w:rFonts w:hint="eastAsia"/>
                <w:b/>
                <w:bCs/>
                <w:color w:val="auto"/>
                <w:u w:val="single"/>
                <w:lang w:bidi="zh-CN"/>
              </w:rPr>
              <w:t>量</w:t>
            </w:r>
            <w:r>
              <w:rPr>
                <w:b/>
                <w:bCs/>
                <w:color w:val="auto"/>
                <w:u w:val="single"/>
                <w:lang w:bidi="zh-CN"/>
              </w:rPr>
              <w:t>0.</w:t>
            </w:r>
            <w:r>
              <w:rPr>
                <w:rFonts w:hint="eastAsia"/>
                <w:b/>
                <w:bCs/>
                <w:color w:val="auto"/>
                <w:u w:val="single"/>
                <w:lang w:val="en-US" w:bidi="zh-CN"/>
              </w:rPr>
              <w:t>1597</w:t>
            </w:r>
            <w:r>
              <w:rPr>
                <w:b/>
                <w:bCs/>
                <w:color w:val="auto"/>
                <w:u w:val="single"/>
                <w:lang w:bidi="zh-CN"/>
              </w:rPr>
              <w:t>t/a</w:t>
            </w:r>
            <w:r>
              <w:rPr>
                <w:rFonts w:hint="eastAsia"/>
                <w:b/>
                <w:bCs/>
                <w:color w:val="auto"/>
                <w:u w:val="single"/>
                <w:lang w:bidi="zh-CN"/>
              </w:rPr>
              <w:t>，</w:t>
            </w:r>
            <w:r>
              <w:rPr>
                <w:rFonts w:hint="eastAsia"/>
                <w:b/>
                <w:bCs/>
                <w:color w:val="auto"/>
                <w:u w:val="single"/>
                <w:lang w:val="en-US" w:bidi="zh-CN"/>
              </w:rPr>
              <w:t>产生速率</w:t>
            </w:r>
            <w:r>
              <w:rPr>
                <w:b/>
                <w:bCs/>
                <w:color w:val="auto"/>
                <w:u w:val="single"/>
                <w:lang w:bidi="zh-CN"/>
              </w:rPr>
              <w:t>0.</w:t>
            </w:r>
            <w:r>
              <w:rPr>
                <w:rFonts w:hint="eastAsia"/>
                <w:b/>
                <w:bCs/>
                <w:color w:val="auto"/>
                <w:u w:val="single"/>
                <w:lang w:val="en-US" w:bidi="zh-CN"/>
              </w:rPr>
              <w:t>0665</w:t>
            </w:r>
            <w:r>
              <w:rPr>
                <w:b/>
                <w:bCs/>
                <w:color w:val="auto"/>
                <w:u w:val="single"/>
                <w:lang w:bidi="zh-CN"/>
              </w:rPr>
              <w:t>kg/h</w:t>
            </w:r>
            <w:r>
              <w:rPr>
                <w:rFonts w:hint="eastAsia"/>
                <w:b/>
                <w:bCs/>
                <w:color w:val="auto"/>
                <w:u w:val="single"/>
                <w:lang w:bidi="zh-CN"/>
              </w:rPr>
              <w:t>，有组织</w:t>
            </w:r>
            <w:r>
              <w:rPr>
                <w:rFonts w:hint="eastAsia"/>
                <w:b/>
                <w:bCs/>
                <w:color w:val="auto"/>
                <w:u w:val="single"/>
                <w:lang w:val="en-US" w:bidi="zh-CN"/>
              </w:rPr>
              <w:t>非甲烷总烃</w:t>
            </w:r>
            <w:r>
              <w:rPr>
                <w:rFonts w:hint="eastAsia"/>
                <w:b/>
                <w:bCs/>
                <w:color w:val="auto"/>
                <w:u w:val="single"/>
                <w:lang w:bidi="zh-CN"/>
              </w:rPr>
              <w:t>排放量</w:t>
            </w:r>
            <w:r>
              <w:rPr>
                <w:b/>
                <w:bCs/>
                <w:color w:val="auto"/>
                <w:u w:val="single"/>
                <w:lang w:bidi="zh-CN"/>
              </w:rPr>
              <w:t>0.0</w:t>
            </w:r>
            <w:r>
              <w:rPr>
                <w:rFonts w:hint="eastAsia"/>
                <w:b/>
                <w:bCs/>
                <w:color w:val="auto"/>
                <w:u w:val="single"/>
                <w:lang w:val="en-US" w:bidi="zh-CN"/>
              </w:rPr>
              <w:t>239</w:t>
            </w:r>
            <w:r>
              <w:rPr>
                <w:b/>
                <w:bCs/>
                <w:color w:val="auto"/>
                <w:u w:val="single"/>
                <w:lang w:bidi="zh-CN"/>
              </w:rPr>
              <w:t>t/a</w:t>
            </w:r>
            <w:r>
              <w:rPr>
                <w:rFonts w:hint="eastAsia"/>
                <w:b/>
                <w:bCs/>
                <w:color w:val="auto"/>
                <w:u w:val="single"/>
                <w:lang w:bidi="zh-CN"/>
              </w:rPr>
              <w:t>，</w:t>
            </w:r>
            <w:r>
              <w:rPr>
                <w:rFonts w:hint="eastAsia"/>
                <w:b/>
                <w:bCs/>
                <w:color w:val="auto"/>
                <w:u w:val="single"/>
                <w:lang w:val="en-US" w:bidi="zh-CN"/>
              </w:rPr>
              <w:t>排放速率</w:t>
            </w:r>
            <w:r>
              <w:rPr>
                <w:b/>
                <w:bCs/>
                <w:color w:val="auto"/>
                <w:u w:val="single"/>
                <w:lang w:bidi="zh-CN"/>
              </w:rPr>
              <w:t>0.0</w:t>
            </w:r>
            <w:r>
              <w:rPr>
                <w:rFonts w:hint="eastAsia"/>
                <w:b/>
                <w:bCs/>
                <w:color w:val="auto"/>
                <w:u w:val="single"/>
                <w:lang w:val="en-US" w:bidi="zh-CN"/>
              </w:rPr>
              <w:t>1</w:t>
            </w:r>
            <w:r>
              <w:rPr>
                <w:b/>
                <w:bCs/>
                <w:color w:val="auto"/>
                <w:u w:val="single"/>
                <w:lang w:bidi="zh-CN"/>
              </w:rPr>
              <w:t>kg/h</w:t>
            </w:r>
            <w:r>
              <w:rPr>
                <w:rFonts w:hint="eastAsia"/>
                <w:b/>
                <w:bCs/>
                <w:color w:val="auto"/>
                <w:u w:val="single"/>
                <w:lang w:bidi="zh-CN"/>
              </w:rPr>
              <w:t>，</w:t>
            </w:r>
            <w:r>
              <w:rPr>
                <w:rFonts w:hint="eastAsia"/>
                <w:b/>
                <w:bCs/>
                <w:color w:val="auto"/>
                <w:u w:val="single"/>
                <w:lang w:val="en-US" w:bidi="zh-CN"/>
              </w:rPr>
              <w:t>排放浓度为1.0mg/m</w:t>
            </w:r>
            <w:r>
              <w:rPr>
                <w:rFonts w:hint="eastAsia"/>
                <w:b/>
                <w:bCs/>
                <w:color w:val="auto"/>
                <w:u w:val="single"/>
                <w:vertAlign w:val="superscript"/>
                <w:lang w:val="en-US" w:bidi="zh-CN"/>
              </w:rPr>
              <w:t>3</w:t>
            </w:r>
            <w:r>
              <w:rPr>
                <w:rFonts w:hint="eastAsia"/>
                <w:b/>
                <w:bCs/>
                <w:color w:val="auto"/>
                <w:u w:val="single"/>
                <w:lang w:bidi="zh-CN"/>
              </w:rPr>
              <w:t>；无组织</w:t>
            </w:r>
            <w:r>
              <w:rPr>
                <w:rFonts w:hint="eastAsia"/>
                <w:b/>
                <w:bCs/>
                <w:color w:val="auto"/>
                <w:u w:val="single"/>
                <w:lang w:val="en-US" w:bidi="zh-CN"/>
              </w:rPr>
              <w:t>非甲烷总烃</w:t>
            </w:r>
            <w:r>
              <w:rPr>
                <w:rFonts w:hint="eastAsia"/>
                <w:b/>
                <w:bCs/>
                <w:color w:val="auto"/>
                <w:u w:val="single"/>
                <w:lang w:bidi="zh-CN"/>
              </w:rPr>
              <w:t>排放量约</w:t>
            </w:r>
            <w:r>
              <w:rPr>
                <w:b/>
                <w:bCs/>
                <w:color w:val="auto"/>
                <w:u w:val="single"/>
                <w:lang w:bidi="zh-CN"/>
              </w:rPr>
              <w:t>0.</w:t>
            </w:r>
            <w:r>
              <w:rPr>
                <w:rFonts w:hint="eastAsia"/>
                <w:b/>
                <w:bCs/>
                <w:color w:val="auto"/>
                <w:u w:val="single"/>
                <w:lang w:bidi="zh-CN"/>
              </w:rPr>
              <w:t>0</w:t>
            </w:r>
            <w:r>
              <w:rPr>
                <w:rFonts w:hint="eastAsia"/>
                <w:b/>
                <w:bCs/>
                <w:color w:val="auto"/>
                <w:u w:val="single"/>
                <w:lang w:val="en-US" w:bidi="zh-CN"/>
              </w:rPr>
              <w:t>177</w:t>
            </w:r>
            <w:r>
              <w:rPr>
                <w:b/>
                <w:bCs/>
                <w:color w:val="auto"/>
                <w:u w:val="single"/>
                <w:lang w:bidi="zh-CN"/>
              </w:rPr>
              <w:t>t/a</w:t>
            </w:r>
            <w:r>
              <w:rPr>
                <w:rFonts w:hint="eastAsia"/>
                <w:b/>
                <w:bCs/>
                <w:color w:val="auto"/>
                <w:u w:val="single"/>
                <w:lang w:bidi="zh-CN"/>
              </w:rPr>
              <w:t>，</w:t>
            </w:r>
            <w:r>
              <w:rPr>
                <w:rFonts w:hint="eastAsia"/>
                <w:b/>
                <w:bCs/>
                <w:color w:val="auto"/>
                <w:u w:val="single"/>
                <w:lang w:val="en-US" w:bidi="zh-CN"/>
              </w:rPr>
              <w:t>排放速率</w:t>
            </w:r>
            <w:r>
              <w:rPr>
                <w:b/>
                <w:bCs/>
                <w:color w:val="auto"/>
                <w:u w:val="single"/>
                <w:lang w:bidi="zh-CN"/>
              </w:rPr>
              <w:t>0.0</w:t>
            </w:r>
            <w:r>
              <w:rPr>
                <w:rFonts w:hint="eastAsia"/>
                <w:b/>
                <w:bCs/>
                <w:color w:val="auto"/>
                <w:u w:val="single"/>
                <w:lang w:val="en-US" w:bidi="zh-CN"/>
              </w:rPr>
              <w:t>074</w:t>
            </w:r>
            <w:r>
              <w:rPr>
                <w:b/>
                <w:bCs/>
                <w:color w:val="auto"/>
                <w:u w:val="single"/>
                <w:lang w:bidi="zh-CN"/>
              </w:rPr>
              <w:t>kg/h</w:t>
            </w:r>
            <w:r>
              <w:rPr>
                <w:rFonts w:hint="eastAsia"/>
                <w:b/>
                <w:bCs/>
                <w:color w:val="auto"/>
                <w:u w:val="single"/>
                <w:lang w:bidi="zh-CN"/>
              </w:rPr>
              <w:t>。</w:t>
            </w:r>
          </w:p>
          <w:p>
            <w:pPr>
              <w:keepNext w:val="0"/>
              <w:pageBreakBefore w:val="0"/>
              <w:widowControl/>
              <w:kinsoku/>
              <w:wordWrap/>
              <w:overflowPunct/>
              <w:topLinePunct w:val="0"/>
              <w:bidi w:val="0"/>
              <w:spacing w:line="520" w:lineRule="exact"/>
              <w:ind w:firstLine="480" w:firstLineChars="200"/>
              <w:jc w:val="left"/>
              <w:rPr>
                <w:b w:val="0"/>
                <w:bCs w:val="0"/>
                <w:color w:val="auto"/>
                <w:u w:val="none"/>
                <w:lang w:bidi="zh-CN"/>
              </w:rPr>
            </w:pPr>
            <w:r>
              <w:rPr>
                <w:rFonts w:hint="eastAsia"/>
                <w:b w:val="0"/>
                <w:bCs w:val="0"/>
                <w:color w:val="auto"/>
                <w:u w:val="none"/>
                <w:lang w:val="en-US" w:bidi="zh-CN"/>
              </w:rPr>
              <w:t>③</w:t>
            </w:r>
            <w:r>
              <w:rPr>
                <w:rFonts w:hint="eastAsia"/>
                <w:b w:val="0"/>
                <w:bCs w:val="0"/>
                <w:color w:val="auto"/>
                <w:u w:val="none"/>
                <w:lang w:bidi="zh-CN"/>
              </w:rPr>
              <w:t>危废间废气</w:t>
            </w:r>
          </w:p>
          <w:p>
            <w:pPr>
              <w:keepNext w:val="0"/>
              <w:pageBreakBefore w:val="0"/>
              <w:widowControl/>
              <w:kinsoku/>
              <w:wordWrap/>
              <w:overflowPunct/>
              <w:topLinePunct w:val="0"/>
              <w:bidi w:val="0"/>
              <w:spacing w:line="520" w:lineRule="exact"/>
              <w:ind w:firstLine="480" w:firstLineChars="200"/>
              <w:jc w:val="left"/>
              <w:rPr>
                <w:b w:val="0"/>
                <w:bCs w:val="0"/>
                <w:color w:val="auto"/>
                <w:u w:val="none"/>
                <w:lang w:bidi="zh-CN"/>
              </w:rPr>
            </w:pPr>
            <w:r>
              <w:rPr>
                <w:rFonts w:hint="eastAsia"/>
                <w:b w:val="0"/>
                <w:bCs w:val="0"/>
                <w:color w:val="auto"/>
                <w:u w:val="none"/>
                <w:lang w:bidi="zh-CN"/>
              </w:rPr>
              <w:t>本项目所储存危险废物采用密闭容器储存，不易挥发有机废气，装卸过程中产生少量有机废气，不做定量分析，危废暂存间每小时换气6次左右，危废间废气通过管道进入“两级活性炭吸附系统”进行处置。</w:t>
            </w:r>
          </w:p>
          <w:p>
            <w:pPr>
              <w:keepNext w:val="0"/>
              <w:pageBreakBefore w:val="0"/>
              <w:widowControl/>
              <w:kinsoku/>
              <w:wordWrap/>
              <w:overflowPunct/>
              <w:topLinePunct w:val="0"/>
              <w:bidi w:val="0"/>
              <w:spacing w:line="520" w:lineRule="exact"/>
              <w:ind w:firstLine="480" w:firstLineChars="200"/>
              <w:jc w:val="left"/>
              <w:rPr>
                <w:color w:val="auto"/>
                <w:lang w:bidi="zh-CN"/>
              </w:rPr>
            </w:pPr>
            <w:r>
              <w:rPr>
                <w:rFonts w:hint="eastAsia"/>
                <w:color w:val="auto"/>
                <w:lang w:val="en-US" w:bidi="zh-CN"/>
              </w:rPr>
              <w:t>各工序</w:t>
            </w:r>
            <w:r>
              <w:rPr>
                <w:rFonts w:hint="eastAsia"/>
                <w:color w:val="auto"/>
                <w:lang w:bidi="zh-CN"/>
              </w:rPr>
              <w:t>产生的有机废气，一起进入“两级活性炭吸附系统”内进行处理，处理后由</w:t>
            </w:r>
            <w:r>
              <w:rPr>
                <w:color w:val="auto"/>
                <w:lang w:bidi="zh-CN"/>
              </w:rPr>
              <w:t>15m</w:t>
            </w:r>
            <w:r>
              <w:rPr>
                <w:rFonts w:hint="eastAsia"/>
                <w:color w:val="auto"/>
                <w:lang w:bidi="zh-CN"/>
              </w:rPr>
              <w:t>排气筒排出。</w:t>
            </w:r>
          </w:p>
          <w:p>
            <w:pPr>
              <w:keepNext w:val="0"/>
              <w:pageBreakBefore w:val="0"/>
              <w:widowControl/>
              <w:kinsoku/>
              <w:wordWrap/>
              <w:overflowPunct/>
              <w:topLinePunct w:val="0"/>
              <w:bidi w:val="0"/>
              <w:spacing w:line="520" w:lineRule="exact"/>
              <w:ind w:firstLine="480" w:firstLineChars="200"/>
              <w:jc w:val="left"/>
              <w:rPr>
                <w:color w:val="auto"/>
                <w:lang w:bidi="zh-CN"/>
              </w:rPr>
            </w:pPr>
            <w:r>
              <w:rPr>
                <w:rFonts w:hint="eastAsia"/>
                <w:color w:val="auto"/>
                <w:lang w:bidi="zh-CN"/>
              </w:rPr>
              <w:t>依据《</w:t>
            </w:r>
            <w:r>
              <w:rPr>
                <w:color w:val="auto"/>
                <w:lang w:bidi="zh-CN"/>
              </w:rPr>
              <w:t>2020</w:t>
            </w:r>
            <w:r>
              <w:rPr>
                <w:rFonts w:hint="eastAsia"/>
                <w:color w:val="auto"/>
                <w:lang w:bidi="zh-CN"/>
              </w:rPr>
              <w:t>年挥发性有机物治理攻坚方案》（环大气〔</w:t>
            </w:r>
            <w:r>
              <w:rPr>
                <w:color w:val="auto"/>
                <w:lang w:bidi="zh-CN"/>
              </w:rPr>
              <w:t>2020</w:t>
            </w:r>
            <w:r>
              <w:rPr>
                <w:rFonts w:hint="eastAsia"/>
                <w:color w:val="auto"/>
                <w:lang w:bidi="zh-CN"/>
              </w:rPr>
              <w:t>〕</w:t>
            </w:r>
            <w:r>
              <w:rPr>
                <w:color w:val="auto"/>
                <w:lang w:bidi="zh-CN"/>
              </w:rPr>
              <w:t>33</w:t>
            </w:r>
            <w:r>
              <w:rPr>
                <w:rFonts w:hint="eastAsia"/>
                <w:color w:val="auto"/>
                <w:lang w:bidi="zh-CN"/>
              </w:rPr>
              <w:t>号），采用活性炭吸附技术的，应选择碘值不低于</w:t>
            </w:r>
            <w:r>
              <w:rPr>
                <w:color w:val="auto"/>
                <w:lang w:bidi="zh-CN"/>
              </w:rPr>
              <w:t>800</w:t>
            </w:r>
            <w:r>
              <w:rPr>
                <w:rFonts w:hint="eastAsia"/>
                <w:color w:val="auto"/>
                <w:lang w:bidi="zh-CN"/>
              </w:rPr>
              <w:t>毫克</w:t>
            </w:r>
            <w:r>
              <w:rPr>
                <w:color w:val="auto"/>
                <w:lang w:bidi="zh-CN"/>
              </w:rPr>
              <w:t>/</w:t>
            </w:r>
            <w:r>
              <w:rPr>
                <w:rFonts w:hint="eastAsia"/>
                <w:color w:val="auto"/>
                <w:lang w:bidi="zh-CN"/>
              </w:rPr>
              <w:t>克的活性炭，并按设计要求足量添加、及时更换。</w:t>
            </w:r>
          </w:p>
          <w:p>
            <w:pPr>
              <w:keepNext w:val="0"/>
              <w:pageBreakBefore w:val="0"/>
              <w:widowControl/>
              <w:kinsoku/>
              <w:wordWrap/>
              <w:overflowPunct/>
              <w:topLinePunct w:val="0"/>
              <w:bidi w:val="0"/>
              <w:spacing w:line="520" w:lineRule="exact"/>
              <w:ind w:firstLine="480" w:firstLineChars="200"/>
              <w:jc w:val="left"/>
              <w:rPr>
                <w:b w:val="0"/>
                <w:bCs w:val="0"/>
                <w:color w:val="auto"/>
                <w:u w:val="none"/>
                <w:lang w:bidi="zh-CN"/>
              </w:rPr>
            </w:pPr>
            <w:r>
              <w:rPr>
                <w:rFonts w:hint="eastAsia"/>
                <w:b w:val="0"/>
                <w:bCs w:val="0"/>
                <w:color w:val="auto"/>
                <w:u w:val="none"/>
                <w:lang w:bidi="zh-CN"/>
              </w:rPr>
              <w:t>本项目</w:t>
            </w:r>
            <w:r>
              <w:rPr>
                <w:rFonts w:hint="eastAsia"/>
                <w:b w:val="0"/>
                <w:bCs w:val="0"/>
                <w:color w:val="auto"/>
                <w:u w:val="none"/>
                <w:lang w:val="en-US" w:bidi="zh-CN"/>
              </w:rPr>
              <w:t>封边、粘贴工序产生的有机废气</w:t>
            </w:r>
            <w:r>
              <w:rPr>
                <w:rFonts w:hint="eastAsia"/>
                <w:b w:val="0"/>
                <w:bCs w:val="0"/>
                <w:color w:val="auto"/>
                <w:u w:val="none"/>
                <w:lang w:bidi="zh-CN"/>
              </w:rPr>
              <w:t>采用集气罩</w:t>
            </w:r>
            <w:r>
              <w:rPr>
                <w:rFonts w:hint="eastAsia"/>
                <w:b w:val="0"/>
                <w:bCs w:val="0"/>
                <w:color w:val="auto"/>
                <w:u w:val="none"/>
                <w:lang w:val="en-US" w:bidi="zh-CN"/>
              </w:rPr>
              <w:t>收集</w:t>
            </w:r>
            <w:r>
              <w:rPr>
                <w:rFonts w:hint="eastAsia"/>
                <w:b w:val="0"/>
                <w:bCs w:val="0"/>
                <w:color w:val="auto"/>
                <w:u w:val="none"/>
                <w:lang w:bidi="zh-CN"/>
              </w:rPr>
              <w:t>，收集效率按照</w:t>
            </w:r>
            <w:r>
              <w:rPr>
                <w:b w:val="0"/>
                <w:bCs w:val="0"/>
                <w:color w:val="auto"/>
                <w:u w:val="none"/>
                <w:lang w:bidi="zh-CN"/>
              </w:rPr>
              <w:t>9</w:t>
            </w:r>
            <w:r>
              <w:rPr>
                <w:rFonts w:hint="eastAsia"/>
                <w:b w:val="0"/>
                <w:bCs w:val="0"/>
                <w:color w:val="auto"/>
                <w:u w:val="none"/>
                <w:lang w:val="en-US" w:bidi="zh-CN"/>
              </w:rPr>
              <w:t>0</w:t>
            </w:r>
            <w:r>
              <w:rPr>
                <w:b w:val="0"/>
                <w:bCs w:val="0"/>
                <w:color w:val="auto"/>
                <w:u w:val="none"/>
                <w:lang w:bidi="zh-CN"/>
              </w:rPr>
              <w:t>%</w:t>
            </w:r>
            <w:r>
              <w:rPr>
                <w:rFonts w:hint="eastAsia"/>
                <w:b w:val="0"/>
                <w:bCs w:val="0"/>
                <w:color w:val="auto"/>
                <w:u w:val="none"/>
                <w:lang w:bidi="zh-CN"/>
              </w:rPr>
              <w:t>计，两级活性炭吸附处理效率按</w:t>
            </w:r>
            <w:r>
              <w:rPr>
                <w:rFonts w:hint="eastAsia"/>
                <w:b w:val="0"/>
                <w:bCs w:val="0"/>
                <w:color w:val="auto"/>
                <w:u w:val="none"/>
                <w:lang w:val="en-US" w:bidi="zh-CN"/>
              </w:rPr>
              <w:t>85</w:t>
            </w:r>
            <w:r>
              <w:rPr>
                <w:rFonts w:hint="eastAsia"/>
                <w:b w:val="0"/>
                <w:bCs w:val="0"/>
                <w:color w:val="auto"/>
                <w:u w:val="none"/>
                <w:lang w:bidi="zh-CN"/>
              </w:rPr>
              <w:t>%计。</w:t>
            </w:r>
          </w:p>
          <w:p>
            <w:pPr>
              <w:keepNext w:val="0"/>
              <w:pageBreakBefore w:val="0"/>
              <w:kinsoku/>
              <w:wordWrap/>
              <w:overflowPunct/>
              <w:topLinePunct w:val="0"/>
              <w:bidi w:val="0"/>
              <w:spacing w:line="360" w:lineRule="auto"/>
              <w:jc w:val="center"/>
              <w:rPr>
                <w:b/>
                <w:bCs/>
                <w:color w:val="auto"/>
                <w:lang w:bidi="zh-CN"/>
              </w:rPr>
            </w:pPr>
            <w:r>
              <w:rPr>
                <w:rFonts w:hint="eastAsia"/>
                <w:b/>
                <w:bCs/>
                <w:color w:val="auto"/>
                <w:lang w:bidi="zh-CN"/>
              </w:rPr>
              <w:t>表4-</w:t>
            </w:r>
            <w:r>
              <w:rPr>
                <w:rFonts w:hint="eastAsia"/>
                <w:b/>
                <w:bCs/>
                <w:color w:val="auto"/>
                <w:lang w:val="en-US" w:bidi="zh-CN"/>
              </w:rPr>
              <w:t>1</w:t>
            </w:r>
            <w:r>
              <w:rPr>
                <w:rFonts w:hint="eastAsia"/>
                <w:b/>
                <w:bCs/>
                <w:color w:val="auto"/>
                <w:lang w:bidi="zh-CN"/>
              </w:rPr>
              <w:t xml:space="preserve">  本项目废气产排情况一览表</w:t>
            </w:r>
          </w:p>
          <w:tbl>
            <w:tblPr>
              <w:tblStyle w:val="23"/>
              <w:tblW w:w="93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27"/>
              <w:gridCol w:w="898"/>
              <w:gridCol w:w="898"/>
              <w:gridCol w:w="707"/>
              <w:gridCol w:w="763"/>
              <w:gridCol w:w="638"/>
              <w:gridCol w:w="638"/>
              <w:gridCol w:w="833"/>
              <w:gridCol w:w="1003"/>
              <w:gridCol w:w="99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vMerge w:val="restart"/>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产污环节</w:t>
                  </w:r>
                </w:p>
              </w:tc>
              <w:tc>
                <w:tcPr>
                  <w:tcW w:w="427" w:type="dxa"/>
                  <w:vMerge w:val="restart"/>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污染物种类</w:t>
                  </w:r>
                </w:p>
              </w:tc>
              <w:tc>
                <w:tcPr>
                  <w:tcW w:w="1796" w:type="dxa"/>
                  <w:gridSpan w:val="2"/>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污染物产生源强</w:t>
                  </w:r>
                </w:p>
              </w:tc>
              <w:tc>
                <w:tcPr>
                  <w:tcW w:w="707" w:type="dxa"/>
                  <w:vMerge w:val="restart"/>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排放形式</w:t>
                  </w:r>
                </w:p>
              </w:tc>
              <w:tc>
                <w:tcPr>
                  <w:tcW w:w="763" w:type="dxa"/>
                  <w:vMerge w:val="restart"/>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治理设施</w:t>
                  </w:r>
                </w:p>
              </w:tc>
              <w:tc>
                <w:tcPr>
                  <w:tcW w:w="638" w:type="dxa"/>
                  <w:vMerge w:val="restart"/>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收集效率%</w:t>
                  </w:r>
                </w:p>
              </w:tc>
              <w:tc>
                <w:tcPr>
                  <w:tcW w:w="638" w:type="dxa"/>
                  <w:vMerge w:val="restart"/>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治理工艺去除率%</w:t>
                  </w:r>
                </w:p>
              </w:tc>
              <w:tc>
                <w:tcPr>
                  <w:tcW w:w="833" w:type="dxa"/>
                  <w:vMerge w:val="restart"/>
                  <w:vAlign w:val="center"/>
                </w:tcPr>
                <w:p>
                  <w:pPr>
                    <w:keepNext w:val="0"/>
                    <w:pageBreakBefore w:val="0"/>
                    <w:kinsoku/>
                    <w:wordWrap/>
                    <w:overflowPunct/>
                    <w:topLinePunct w:val="0"/>
                    <w:bidi w:val="0"/>
                    <w:jc w:val="center"/>
                    <w:rPr>
                      <w:b/>
                      <w:bCs/>
                      <w:color w:val="auto"/>
                      <w:sz w:val="21"/>
                      <w:szCs w:val="21"/>
                    </w:rPr>
                  </w:pPr>
                  <w:r>
                    <w:rPr>
                      <w:rFonts w:hint="eastAsia"/>
                      <w:b/>
                      <w:bCs/>
                      <w:color w:val="auto"/>
                      <w:sz w:val="21"/>
                      <w:szCs w:val="21"/>
                    </w:rPr>
                    <w:t>废气量</w:t>
                  </w:r>
                </w:p>
              </w:tc>
              <w:tc>
                <w:tcPr>
                  <w:tcW w:w="2895" w:type="dxa"/>
                  <w:gridSpan w:val="3"/>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污染物排放源强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vMerge w:val="continue"/>
                  <w:vAlign w:val="center"/>
                </w:tcPr>
                <w:p>
                  <w:pPr>
                    <w:keepNext w:val="0"/>
                    <w:pageBreakBefore w:val="0"/>
                    <w:kinsoku/>
                    <w:wordWrap/>
                    <w:overflowPunct/>
                    <w:topLinePunct w:val="0"/>
                    <w:bidi w:val="0"/>
                    <w:jc w:val="center"/>
                    <w:rPr>
                      <w:b/>
                      <w:bCs/>
                      <w:color w:val="auto"/>
                      <w:sz w:val="21"/>
                      <w:szCs w:val="21"/>
                    </w:rPr>
                  </w:pPr>
                </w:p>
              </w:tc>
              <w:tc>
                <w:tcPr>
                  <w:tcW w:w="427" w:type="dxa"/>
                  <w:vMerge w:val="continue"/>
                  <w:vAlign w:val="center"/>
                </w:tcPr>
                <w:p>
                  <w:pPr>
                    <w:keepNext w:val="0"/>
                    <w:pageBreakBefore w:val="0"/>
                    <w:kinsoku/>
                    <w:wordWrap/>
                    <w:overflowPunct/>
                    <w:topLinePunct w:val="0"/>
                    <w:bidi w:val="0"/>
                    <w:jc w:val="center"/>
                    <w:rPr>
                      <w:b/>
                      <w:bCs/>
                      <w:color w:val="auto"/>
                      <w:sz w:val="21"/>
                      <w:szCs w:val="21"/>
                    </w:rPr>
                  </w:pPr>
                </w:p>
              </w:tc>
              <w:tc>
                <w:tcPr>
                  <w:tcW w:w="898"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产生量t/a</w:t>
                  </w:r>
                </w:p>
              </w:tc>
              <w:tc>
                <w:tcPr>
                  <w:tcW w:w="898"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速率kg/h</w:t>
                  </w:r>
                </w:p>
              </w:tc>
              <w:tc>
                <w:tcPr>
                  <w:tcW w:w="707" w:type="dxa"/>
                  <w:vMerge w:val="continue"/>
                  <w:vAlign w:val="center"/>
                </w:tcPr>
                <w:p>
                  <w:pPr>
                    <w:keepNext w:val="0"/>
                    <w:pageBreakBefore w:val="0"/>
                    <w:kinsoku/>
                    <w:wordWrap/>
                    <w:overflowPunct/>
                    <w:topLinePunct w:val="0"/>
                    <w:bidi w:val="0"/>
                    <w:jc w:val="center"/>
                    <w:rPr>
                      <w:b/>
                      <w:bCs/>
                      <w:color w:val="auto"/>
                      <w:sz w:val="21"/>
                      <w:szCs w:val="21"/>
                    </w:rPr>
                  </w:pPr>
                </w:p>
              </w:tc>
              <w:tc>
                <w:tcPr>
                  <w:tcW w:w="763" w:type="dxa"/>
                  <w:vMerge w:val="continue"/>
                  <w:vAlign w:val="center"/>
                </w:tcPr>
                <w:p>
                  <w:pPr>
                    <w:keepNext w:val="0"/>
                    <w:pageBreakBefore w:val="0"/>
                    <w:kinsoku/>
                    <w:wordWrap/>
                    <w:overflowPunct/>
                    <w:topLinePunct w:val="0"/>
                    <w:bidi w:val="0"/>
                    <w:jc w:val="center"/>
                    <w:rPr>
                      <w:b/>
                      <w:bCs/>
                      <w:color w:val="auto"/>
                      <w:sz w:val="21"/>
                      <w:szCs w:val="21"/>
                    </w:rPr>
                  </w:pPr>
                </w:p>
              </w:tc>
              <w:tc>
                <w:tcPr>
                  <w:tcW w:w="638" w:type="dxa"/>
                  <w:vMerge w:val="continue"/>
                  <w:vAlign w:val="center"/>
                </w:tcPr>
                <w:p>
                  <w:pPr>
                    <w:keepNext w:val="0"/>
                    <w:pageBreakBefore w:val="0"/>
                    <w:kinsoku/>
                    <w:wordWrap/>
                    <w:overflowPunct/>
                    <w:topLinePunct w:val="0"/>
                    <w:bidi w:val="0"/>
                    <w:jc w:val="center"/>
                    <w:rPr>
                      <w:b/>
                      <w:bCs/>
                      <w:color w:val="auto"/>
                      <w:sz w:val="21"/>
                      <w:szCs w:val="21"/>
                    </w:rPr>
                  </w:pPr>
                </w:p>
              </w:tc>
              <w:tc>
                <w:tcPr>
                  <w:tcW w:w="638" w:type="dxa"/>
                  <w:vMerge w:val="continue"/>
                  <w:vAlign w:val="center"/>
                </w:tcPr>
                <w:p>
                  <w:pPr>
                    <w:keepNext w:val="0"/>
                    <w:pageBreakBefore w:val="0"/>
                    <w:kinsoku/>
                    <w:wordWrap/>
                    <w:overflowPunct/>
                    <w:topLinePunct w:val="0"/>
                    <w:bidi w:val="0"/>
                    <w:jc w:val="center"/>
                    <w:rPr>
                      <w:b/>
                      <w:bCs/>
                      <w:color w:val="auto"/>
                      <w:sz w:val="21"/>
                      <w:szCs w:val="21"/>
                    </w:rPr>
                  </w:pPr>
                </w:p>
              </w:tc>
              <w:tc>
                <w:tcPr>
                  <w:tcW w:w="833" w:type="dxa"/>
                  <w:vMerge w:val="continue"/>
                  <w:vAlign w:val="center"/>
                </w:tcPr>
                <w:p>
                  <w:pPr>
                    <w:keepNext w:val="0"/>
                    <w:pageBreakBefore w:val="0"/>
                    <w:kinsoku/>
                    <w:wordWrap/>
                    <w:overflowPunct/>
                    <w:topLinePunct w:val="0"/>
                    <w:bidi w:val="0"/>
                    <w:jc w:val="center"/>
                    <w:rPr>
                      <w:b/>
                      <w:bCs/>
                      <w:color w:val="auto"/>
                      <w:sz w:val="21"/>
                      <w:szCs w:val="21"/>
                    </w:rPr>
                  </w:pPr>
                </w:p>
              </w:tc>
              <w:tc>
                <w:tcPr>
                  <w:tcW w:w="1003"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排放量t/a</w:t>
                  </w:r>
                </w:p>
              </w:tc>
              <w:tc>
                <w:tcPr>
                  <w:tcW w:w="990"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排放速率kg/h</w:t>
                  </w:r>
                </w:p>
              </w:tc>
              <w:tc>
                <w:tcPr>
                  <w:tcW w:w="902"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排放浓度mg/m</w:t>
                  </w:r>
                  <w:r>
                    <w:rPr>
                      <w:b/>
                      <w:bCs/>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vMerge w:val="restart"/>
                  <w:vAlign w:val="center"/>
                </w:tcPr>
                <w:p>
                  <w:pPr>
                    <w:pStyle w:val="14"/>
                    <w:keepNext w:val="0"/>
                    <w:pageBreakBefore w:val="0"/>
                    <w:kinsoku/>
                    <w:wordWrap/>
                    <w:overflowPunct/>
                    <w:topLinePunct w:val="0"/>
                    <w:bidi w:val="0"/>
                    <w:spacing w:after="0"/>
                    <w:ind w:left="0" w:leftChars="0" w:firstLine="0"/>
                    <w:jc w:val="center"/>
                    <w:rPr>
                      <w:rFonts w:hint="eastAsia" w:eastAsia="宋体"/>
                      <w:color w:val="auto"/>
                      <w:sz w:val="21"/>
                      <w:szCs w:val="21"/>
                      <w:lang w:val="en-US" w:eastAsia="zh-CN"/>
                    </w:rPr>
                  </w:pPr>
                  <w:r>
                    <w:rPr>
                      <w:rFonts w:hint="eastAsia"/>
                      <w:color w:val="auto"/>
                      <w:sz w:val="21"/>
                      <w:szCs w:val="21"/>
                    </w:rPr>
                    <w:t>加工粉尘</w:t>
                  </w:r>
                </w:p>
              </w:tc>
              <w:tc>
                <w:tcPr>
                  <w:tcW w:w="427" w:type="dxa"/>
                  <w:vMerge w:val="restart"/>
                  <w:vAlign w:val="center"/>
                </w:tcPr>
                <w:p>
                  <w:pPr>
                    <w:pStyle w:val="14"/>
                    <w:keepNext w:val="0"/>
                    <w:pageBreakBefore w:val="0"/>
                    <w:kinsoku/>
                    <w:wordWrap/>
                    <w:overflowPunct/>
                    <w:topLinePunct w:val="0"/>
                    <w:bidi w:val="0"/>
                    <w:spacing w:after="0"/>
                    <w:ind w:left="0" w:leftChars="0" w:firstLine="0"/>
                    <w:jc w:val="center"/>
                    <w:rPr>
                      <w:color w:val="auto"/>
                      <w:sz w:val="21"/>
                      <w:szCs w:val="21"/>
                    </w:rPr>
                  </w:pPr>
                  <w:r>
                    <w:rPr>
                      <w:rFonts w:hint="eastAsia"/>
                      <w:color w:val="auto"/>
                      <w:sz w:val="21"/>
                      <w:szCs w:val="21"/>
                    </w:rPr>
                    <w:t>颗粒物</w:t>
                  </w:r>
                </w:p>
              </w:tc>
              <w:tc>
                <w:tcPr>
                  <w:tcW w:w="898" w:type="dxa"/>
                  <w:vAlign w:val="center"/>
                </w:tcPr>
                <w:p>
                  <w:pPr>
                    <w:keepNext w:val="0"/>
                    <w:pageBreakBefore w:val="0"/>
                    <w:kinsoku/>
                    <w:wordWrap/>
                    <w:overflowPunct/>
                    <w:topLinePunct w:val="0"/>
                    <w:bidi w:val="0"/>
                    <w:jc w:val="center"/>
                    <w:rPr>
                      <w:rFonts w:hint="default" w:eastAsia="宋体"/>
                      <w:color w:val="auto"/>
                      <w:sz w:val="21"/>
                      <w:szCs w:val="21"/>
                      <w:lang w:val="en-US" w:eastAsia="zh-CN"/>
                    </w:rPr>
                  </w:pPr>
                  <w:r>
                    <w:rPr>
                      <w:rFonts w:hint="eastAsia"/>
                      <w:color w:val="auto"/>
                      <w:sz w:val="21"/>
                      <w:szCs w:val="21"/>
                      <w:lang w:val="en-US" w:eastAsia="zh-CN"/>
                    </w:rPr>
                    <w:t>0.3038</w:t>
                  </w:r>
                </w:p>
              </w:tc>
              <w:tc>
                <w:tcPr>
                  <w:tcW w:w="898" w:type="dxa"/>
                  <w:vAlign w:val="center"/>
                </w:tcPr>
                <w:p>
                  <w:pPr>
                    <w:keepNext w:val="0"/>
                    <w:pageBreakBefore w:val="0"/>
                    <w:kinsoku/>
                    <w:wordWrap/>
                    <w:overflowPunct/>
                    <w:topLinePunct w:val="0"/>
                    <w:bidi w:val="0"/>
                    <w:jc w:val="center"/>
                    <w:rPr>
                      <w:rFonts w:hint="default" w:eastAsia="宋体"/>
                      <w:color w:val="auto"/>
                      <w:sz w:val="21"/>
                      <w:szCs w:val="21"/>
                      <w:lang w:val="en-US" w:eastAsia="zh-CN"/>
                    </w:rPr>
                  </w:pPr>
                  <w:r>
                    <w:rPr>
                      <w:rFonts w:hint="eastAsia"/>
                      <w:color w:val="auto"/>
                      <w:sz w:val="21"/>
                      <w:szCs w:val="21"/>
                      <w:lang w:val="en-US" w:eastAsia="zh-CN"/>
                    </w:rPr>
                    <w:t>0.1266</w:t>
                  </w:r>
                </w:p>
              </w:tc>
              <w:tc>
                <w:tcPr>
                  <w:tcW w:w="707" w:type="dxa"/>
                  <w:vAlign w:val="center"/>
                </w:tcPr>
                <w:p>
                  <w:pPr>
                    <w:keepNext w:val="0"/>
                    <w:pageBreakBefore w:val="0"/>
                    <w:kinsoku/>
                    <w:wordWrap/>
                    <w:overflowPunct/>
                    <w:topLinePunct w:val="0"/>
                    <w:bidi w:val="0"/>
                    <w:jc w:val="center"/>
                    <w:rPr>
                      <w:color w:val="auto"/>
                      <w:sz w:val="21"/>
                      <w:szCs w:val="21"/>
                    </w:rPr>
                  </w:pPr>
                  <w:r>
                    <w:rPr>
                      <w:color w:val="auto"/>
                      <w:sz w:val="21"/>
                      <w:szCs w:val="21"/>
                    </w:rPr>
                    <w:t>有组织</w:t>
                  </w:r>
                </w:p>
              </w:tc>
              <w:tc>
                <w:tcPr>
                  <w:tcW w:w="763" w:type="dxa"/>
                  <w:vAlign w:val="center"/>
                </w:tcPr>
                <w:p>
                  <w:pPr>
                    <w:keepNext w:val="0"/>
                    <w:pageBreakBefore w:val="0"/>
                    <w:kinsoku/>
                    <w:wordWrap/>
                    <w:overflowPunct/>
                    <w:topLinePunct w:val="0"/>
                    <w:bidi w:val="0"/>
                    <w:jc w:val="center"/>
                    <w:rPr>
                      <w:color w:val="auto"/>
                      <w:sz w:val="21"/>
                      <w:szCs w:val="21"/>
                    </w:rPr>
                  </w:pPr>
                  <w:r>
                    <w:rPr>
                      <w:rFonts w:hint="eastAsia"/>
                      <w:color w:val="auto"/>
                      <w:sz w:val="21"/>
                      <w:szCs w:val="21"/>
                      <w:lang w:val="en-US" w:eastAsia="zh-CN"/>
                    </w:rPr>
                    <w:t>中央</w:t>
                  </w:r>
                  <w:r>
                    <w:rPr>
                      <w:rFonts w:hint="eastAsia"/>
                      <w:color w:val="auto"/>
                      <w:sz w:val="21"/>
                      <w:szCs w:val="21"/>
                    </w:rPr>
                    <w:t>除尘器</w:t>
                  </w:r>
                </w:p>
              </w:tc>
              <w:tc>
                <w:tcPr>
                  <w:tcW w:w="638" w:type="dxa"/>
                  <w:vAlign w:val="center"/>
                </w:tcPr>
                <w:p>
                  <w:pPr>
                    <w:keepNext w:val="0"/>
                    <w:pageBreakBefore w:val="0"/>
                    <w:kinsoku/>
                    <w:wordWrap/>
                    <w:overflowPunct/>
                    <w:topLinePunct w:val="0"/>
                    <w:bidi w:val="0"/>
                    <w:jc w:val="center"/>
                    <w:rPr>
                      <w:color w:val="auto"/>
                      <w:sz w:val="21"/>
                      <w:szCs w:val="21"/>
                    </w:rPr>
                  </w:pPr>
                  <w:r>
                    <w:rPr>
                      <w:rFonts w:hint="eastAsia"/>
                      <w:color w:val="auto"/>
                      <w:sz w:val="21"/>
                      <w:szCs w:val="21"/>
                    </w:rPr>
                    <w:t>90</w:t>
                  </w:r>
                </w:p>
              </w:tc>
              <w:tc>
                <w:tcPr>
                  <w:tcW w:w="638" w:type="dxa"/>
                  <w:vAlign w:val="center"/>
                </w:tcPr>
                <w:p>
                  <w:pPr>
                    <w:keepNext w:val="0"/>
                    <w:pageBreakBefore w:val="0"/>
                    <w:kinsoku/>
                    <w:wordWrap/>
                    <w:overflowPunct/>
                    <w:topLinePunct w:val="0"/>
                    <w:bidi w:val="0"/>
                    <w:jc w:val="center"/>
                    <w:rPr>
                      <w:rFonts w:hint="eastAsia" w:eastAsia="宋体"/>
                      <w:color w:val="auto"/>
                      <w:sz w:val="21"/>
                      <w:szCs w:val="21"/>
                      <w:lang w:eastAsia="zh-CN"/>
                    </w:rPr>
                  </w:pPr>
                  <w:r>
                    <w:rPr>
                      <w:rFonts w:hint="eastAsia"/>
                      <w:color w:val="auto"/>
                      <w:sz w:val="21"/>
                      <w:szCs w:val="21"/>
                    </w:rPr>
                    <w:t>9</w:t>
                  </w:r>
                  <w:r>
                    <w:rPr>
                      <w:rFonts w:hint="eastAsia"/>
                      <w:color w:val="auto"/>
                      <w:sz w:val="21"/>
                      <w:szCs w:val="21"/>
                      <w:lang w:val="en-US" w:eastAsia="zh-CN"/>
                    </w:rPr>
                    <w:t>8</w:t>
                  </w:r>
                </w:p>
              </w:tc>
              <w:tc>
                <w:tcPr>
                  <w:tcW w:w="833" w:type="dxa"/>
                  <w:vAlign w:val="center"/>
                </w:tcPr>
                <w:p>
                  <w:pPr>
                    <w:keepNext w:val="0"/>
                    <w:pageBreakBefore w:val="0"/>
                    <w:kinsoku/>
                    <w:wordWrap/>
                    <w:overflowPunct/>
                    <w:topLinePunct w:val="0"/>
                    <w:bidi w:val="0"/>
                    <w:jc w:val="center"/>
                    <w:rPr>
                      <w:color w:val="auto"/>
                      <w:sz w:val="21"/>
                      <w:szCs w:val="21"/>
                    </w:rPr>
                  </w:pPr>
                  <w:r>
                    <w:rPr>
                      <w:rFonts w:hint="eastAsia"/>
                      <w:color w:val="auto"/>
                      <w:sz w:val="21"/>
                      <w:szCs w:val="21"/>
                      <w:lang w:val="en-US" w:eastAsia="zh-CN"/>
                    </w:rPr>
                    <w:t>1</w:t>
                  </w:r>
                  <w:r>
                    <w:rPr>
                      <w:rFonts w:hint="eastAsia"/>
                      <w:color w:val="auto"/>
                      <w:sz w:val="21"/>
                      <w:szCs w:val="21"/>
                    </w:rPr>
                    <w:t>0000</w:t>
                  </w:r>
                </w:p>
              </w:tc>
              <w:tc>
                <w:tcPr>
                  <w:tcW w:w="1003" w:type="dxa"/>
                  <w:vAlign w:val="center"/>
                </w:tcPr>
                <w:p>
                  <w:pPr>
                    <w:keepNext w:val="0"/>
                    <w:pageBreakBefore w:val="0"/>
                    <w:kinsoku/>
                    <w:wordWrap/>
                    <w:overflowPunct/>
                    <w:topLinePunct w:val="0"/>
                    <w:bidi w:val="0"/>
                    <w:jc w:val="center"/>
                    <w:rPr>
                      <w:rFonts w:hint="default" w:eastAsia="宋体"/>
                      <w:color w:val="auto"/>
                      <w:sz w:val="21"/>
                      <w:szCs w:val="21"/>
                      <w:lang w:val="en-US" w:eastAsia="zh-CN"/>
                    </w:rPr>
                  </w:pPr>
                  <w:r>
                    <w:rPr>
                      <w:rFonts w:hint="eastAsia"/>
                      <w:color w:val="auto"/>
                      <w:sz w:val="21"/>
                      <w:szCs w:val="21"/>
                      <w:lang w:val="en-US" w:eastAsia="zh-CN"/>
                    </w:rPr>
                    <w:t>0.0061</w:t>
                  </w:r>
                </w:p>
              </w:tc>
              <w:tc>
                <w:tcPr>
                  <w:tcW w:w="990" w:type="dxa"/>
                  <w:vAlign w:val="center"/>
                </w:tcPr>
                <w:p>
                  <w:pPr>
                    <w:keepNext w:val="0"/>
                    <w:pageBreakBefore w:val="0"/>
                    <w:kinsoku/>
                    <w:wordWrap/>
                    <w:overflowPunct/>
                    <w:topLinePunct w:val="0"/>
                    <w:bidi w:val="0"/>
                    <w:jc w:val="center"/>
                    <w:rPr>
                      <w:rFonts w:hint="default" w:eastAsia="宋体"/>
                      <w:color w:val="auto"/>
                      <w:sz w:val="21"/>
                      <w:szCs w:val="21"/>
                      <w:lang w:val="en-US" w:eastAsia="zh-CN"/>
                    </w:rPr>
                  </w:pPr>
                  <w:r>
                    <w:rPr>
                      <w:rFonts w:hint="eastAsia"/>
                      <w:color w:val="auto"/>
                      <w:sz w:val="21"/>
                      <w:szCs w:val="21"/>
                      <w:lang w:val="en-US" w:eastAsia="zh-CN"/>
                    </w:rPr>
                    <w:t>0.0025</w:t>
                  </w:r>
                </w:p>
              </w:tc>
              <w:tc>
                <w:tcPr>
                  <w:tcW w:w="902" w:type="dxa"/>
                  <w:vAlign w:val="center"/>
                </w:tcPr>
                <w:p>
                  <w:pPr>
                    <w:keepNext w:val="0"/>
                    <w:pageBreakBefore w:val="0"/>
                    <w:kinsoku/>
                    <w:wordWrap/>
                    <w:overflowPunct/>
                    <w:topLinePunct w:val="0"/>
                    <w:bidi w:val="0"/>
                    <w:jc w:val="center"/>
                    <w:rPr>
                      <w:rFonts w:hint="default" w:eastAsia="宋体"/>
                      <w:color w:val="auto"/>
                      <w:sz w:val="21"/>
                      <w:szCs w:val="21"/>
                      <w:lang w:val="en-US" w:eastAsia="zh-CN"/>
                    </w:rPr>
                  </w:pPr>
                  <w:r>
                    <w:rPr>
                      <w:rFonts w:hint="eastAsia"/>
                      <w:color w:val="auto"/>
                      <w:sz w:val="21"/>
                      <w:szCs w:val="21"/>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vMerge w:val="continue"/>
                  <w:vAlign w:val="center"/>
                </w:tcPr>
                <w:p>
                  <w:pPr>
                    <w:keepNext w:val="0"/>
                    <w:pageBreakBefore w:val="0"/>
                    <w:kinsoku/>
                    <w:wordWrap/>
                    <w:overflowPunct/>
                    <w:topLinePunct w:val="0"/>
                    <w:bidi w:val="0"/>
                    <w:jc w:val="center"/>
                    <w:rPr>
                      <w:color w:val="auto"/>
                      <w:sz w:val="21"/>
                      <w:szCs w:val="21"/>
                    </w:rPr>
                  </w:pPr>
                </w:p>
              </w:tc>
              <w:tc>
                <w:tcPr>
                  <w:tcW w:w="427" w:type="dxa"/>
                  <w:vMerge w:val="continue"/>
                  <w:vAlign w:val="center"/>
                </w:tcPr>
                <w:p>
                  <w:pPr>
                    <w:keepNext w:val="0"/>
                    <w:pageBreakBefore w:val="0"/>
                    <w:kinsoku/>
                    <w:wordWrap/>
                    <w:overflowPunct/>
                    <w:topLinePunct w:val="0"/>
                    <w:bidi w:val="0"/>
                    <w:jc w:val="center"/>
                    <w:rPr>
                      <w:color w:val="auto"/>
                      <w:sz w:val="21"/>
                      <w:szCs w:val="21"/>
                    </w:rPr>
                  </w:pPr>
                </w:p>
              </w:tc>
              <w:tc>
                <w:tcPr>
                  <w:tcW w:w="898" w:type="dxa"/>
                  <w:vAlign w:val="center"/>
                </w:tcPr>
                <w:p>
                  <w:pPr>
                    <w:keepNext w:val="0"/>
                    <w:pageBreakBefore w:val="0"/>
                    <w:kinsoku/>
                    <w:wordWrap/>
                    <w:overflowPunct/>
                    <w:topLinePunct w:val="0"/>
                    <w:bidi w:val="0"/>
                    <w:jc w:val="center"/>
                    <w:rPr>
                      <w:rFonts w:hint="default" w:eastAsia="宋体"/>
                      <w:color w:val="auto"/>
                      <w:sz w:val="21"/>
                      <w:szCs w:val="21"/>
                      <w:lang w:val="en-US" w:eastAsia="zh-CN"/>
                    </w:rPr>
                  </w:pPr>
                  <w:r>
                    <w:rPr>
                      <w:rFonts w:hint="eastAsia" w:ascii="Times New Roman" w:hAnsi="Times New Roman" w:cs="Times New Roman"/>
                      <w:color w:val="auto"/>
                      <w:sz w:val="21"/>
                      <w:szCs w:val="21"/>
                      <w:lang w:val="en-US" w:eastAsia="zh-CN"/>
                    </w:rPr>
                    <w:t>0.033</w:t>
                  </w:r>
                  <w:r>
                    <w:rPr>
                      <w:rFonts w:hint="eastAsia" w:cs="Times New Roman"/>
                      <w:color w:val="auto"/>
                      <w:sz w:val="21"/>
                      <w:szCs w:val="21"/>
                      <w:lang w:val="en-US" w:eastAsia="zh-CN"/>
                    </w:rPr>
                    <w:t>8</w:t>
                  </w:r>
                </w:p>
              </w:tc>
              <w:tc>
                <w:tcPr>
                  <w:tcW w:w="898" w:type="dxa"/>
                  <w:vAlign w:val="center"/>
                </w:tcPr>
                <w:p>
                  <w:pPr>
                    <w:keepNext w:val="0"/>
                    <w:pageBreakBefore w:val="0"/>
                    <w:kinsoku/>
                    <w:wordWrap/>
                    <w:overflowPunct/>
                    <w:topLinePunct w:val="0"/>
                    <w:bidi w:val="0"/>
                    <w:jc w:val="center"/>
                    <w:rPr>
                      <w:rFonts w:hint="default" w:eastAsia="宋体"/>
                      <w:color w:val="auto"/>
                      <w:sz w:val="21"/>
                      <w:szCs w:val="21"/>
                      <w:lang w:val="en-US" w:eastAsia="zh-CN"/>
                    </w:rPr>
                  </w:pPr>
                  <w:r>
                    <w:rPr>
                      <w:rFonts w:hint="eastAsia" w:ascii="Times New Roman" w:hAnsi="Times New Roman" w:cs="Times New Roman"/>
                      <w:color w:val="auto"/>
                      <w:sz w:val="21"/>
                      <w:szCs w:val="21"/>
                      <w:lang w:val="en-US" w:eastAsia="zh-CN"/>
                    </w:rPr>
                    <w:t>0.0141</w:t>
                  </w:r>
                </w:p>
              </w:tc>
              <w:tc>
                <w:tcPr>
                  <w:tcW w:w="707" w:type="dxa"/>
                  <w:vAlign w:val="center"/>
                </w:tcPr>
                <w:p>
                  <w:pPr>
                    <w:keepNext w:val="0"/>
                    <w:pageBreakBefore w:val="0"/>
                    <w:kinsoku/>
                    <w:wordWrap/>
                    <w:overflowPunct/>
                    <w:topLinePunct w:val="0"/>
                    <w:bidi w:val="0"/>
                    <w:jc w:val="center"/>
                    <w:rPr>
                      <w:color w:val="auto"/>
                      <w:sz w:val="21"/>
                      <w:szCs w:val="21"/>
                    </w:rPr>
                  </w:pPr>
                  <w:r>
                    <w:rPr>
                      <w:color w:val="auto"/>
                      <w:sz w:val="21"/>
                      <w:szCs w:val="21"/>
                    </w:rPr>
                    <w:t>无组织</w:t>
                  </w:r>
                </w:p>
              </w:tc>
              <w:tc>
                <w:tcPr>
                  <w:tcW w:w="763" w:type="dxa"/>
                  <w:vAlign w:val="center"/>
                </w:tcPr>
                <w:p>
                  <w:pPr>
                    <w:keepNext w:val="0"/>
                    <w:pageBreakBefore w:val="0"/>
                    <w:kinsoku/>
                    <w:wordWrap/>
                    <w:overflowPunct/>
                    <w:topLinePunct w:val="0"/>
                    <w:bidi w:val="0"/>
                    <w:spacing w:line="280" w:lineRule="exact"/>
                    <w:jc w:val="center"/>
                    <w:rPr>
                      <w:color w:val="auto"/>
                      <w:sz w:val="21"/>
                      <w:szCs w:val="21"/>
                    </w:rPr>
                  </w:pPr>
                  <w:r>
                    <w:rPr>
                      <w:color w:val="auto"/>
                      <w:sz w:val="21"/>
                      <w:szCs w:val="21"/>
                    </w:rPr>
                    <w:t>/</w:t>
                  </w:r>
                </w:p>
              </w:tc>
              <w:tc>
                <w:tcPr>
                  <w:tcW w:w="638" w:type="dxa"/>
                  <w:vAlign w:val="center"/>
                </w:tcPr>
                <w:p>
                  <w:pPr>
                    <w:keepNext w:val="0"/>
                    <w:pageBreakBefore w:val="0"/>
                    <w:kinsoku/>
                    <w:wordWrap/>
                    <w:overflowPunct/>
                    <w:topLinePunct w:val="0"/>
                    <w:bidi w:val="0"/>
                    <w:spacing w:line="280" w:lineRule="exact"/>
                    <w:jc w:val="center"/>
                    <w:rPr>
                      <w:color w:val="auto"/>
                      <w:sz w:val="21"/>
                      <w:szCs w:val="21"/>
                    </w:rPr>
                  </w:pPr>
                  <w:r>
                    <w:rPr>
                      <w:color w:val="auto"/>
                      <w:sz w:val="21"/>
                      <w:szCs w:val="21"/>
                    </w:rPr>
                    <w:t>/</w:t>
                  </w:r>
                </w:p>
              </w:tc>
              <w:tc>
                <w:tcPr>
                  <w:tcW w:w="638" w:type="dxa"/>
                  <w:vAlign w:val="center"/>
                </w:tcPr>
                <w:p>
                  <w:pPr>
                    <w:keepNext w:val="0"/>
                    <w:pageBreakBefore w:val="0"/>
                    <w:kinsoku/>
                    <w:wordWrap/>
                    <w:overflowPunct/>
                    <w:topLinePunct w:val="0"/>
                    <w:bidi w:val="0"/>
                    <w:spacing w:line="280" w:lineRule="exact"/>
                    <w:jc w:val="center"/>
                    <w:rPr>
                      <w:color w:val="auto"/>
                      <w:sz w:val="21"/>
                      <w:szCs w:val="21"/>
                    </w:rPr>
                  </w:pPr>
                  <w:r>
                    <w:rPr>
                      <w:color w:val="auto"/>
                      <w:sz w:val="21"/>
                      <w:szCs w:val="21"/>
                    </w:rPr>
                    <w:t>/</w:t>
                  </w:r>
                </w:p>
              </w:tc>
              <w:tc>
                <w:tcPr>
                  <w:tcW w:w="833" w:type="dxa"/>
                  <w:vAlign w:val="center"/>
                </w:tcPr>
                <w:p>
                  <w:pPr>
                    <w:keepNext w:val="0"/>
                    <w:pageBreakBefore w:val="0"/>
                    <w:kinsoku/>
                    <w:wordWrap/>
                    <w:overflowPunct/>
                    <w:topLinePunct w:val="0"/>
                    <w:bidi w:val="0"/>
                    <w:spacing w:line="280" w:lineRule="exact"/>
                    <w:jc w:val="center"/>
                    <w:rPr>
                      <w:color w:val="auto"/>
                      <w:sz w:val="21"/>
                      <w:szCs w:val="21"/>
                    </w:rPr>
                  </w:pPr>
                  <w:r>
                    <w:rPr>
                      <w:color w:val="auto"/>
                      <w:sz w:val="21"/>
                      <w:szCs w:val="21"/>
                    </w:rPr>
                    <w:t>/</w:t>
                  </w:r>
                </w:p>
              </w:tc>
              <w:tc>
                <w:tcPr>
                  <w:tcW w:w="1003" w:type="dxa"/>
                  <w:vAlign w:val="center"/>
                </w:tcPr>
                <w:p>
                  <w:pPr>
                    <w:keepNext w:val="0"/>
                    <w:pageBreakBefore w:val="0"/>
                    <w:kinsoku/>
                    <w:wordWrap/>
                    <w:overflowPunct/>
                    <w:topLinePunct w:val="0"/>
                    <w:bidi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0.033</w:t>
                  </w:r>
                  <w:r>
                    <w:rPr>
                      <w:rFonts w:hint="eastAsia" w:cs="Times New Roman"/>
                      <w:color w:val="auto"/>
                      <w:sz w:val="21"/>
                      <w:szCs w:val="21"/>
                      <w:lang w:val="en-US" w:eastAsia="zh-CN"/>
                    </w:rPr>
                    <w:t>8</w:t>
                  </w:r>
                </w:p>
              </w:tc>
              <w:tc>
                <w:tcPr>
                  <w:tcW w:w="990" w:type="dxa"/>
                  <w:vAlign w:val="center"/>
                </w:tcPr>
                <w:p>
                  <w:pPr>
                    <w:keepNext w:val="0"/>
                    <w:pageBreakBefore w:val="0"/>
                    <w:kinsoku/>
                    <w:wordWrap/>
                    <w:overflowPunct/>
                    <w:topLinePunct w:val="0"/>
                    <w:bidi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0.0141</w:t>
                  </w:r>
                </w:p>
              </w:tc>
              <w:tc>
                <w:tcPr>
                  <w:tcW w:w="902" w:type="dxa"/>
                  <w:vAlign w:val="center"/>
                </w:tcPr>
                <w:p>
                  <w:pPr>
                    <w:keepNext w:val="0"/>
                    <w:pageBreakBefore w:val="0"/>
                    <w:kinsoku/>
                    <w:wordWrap/>
                    <w:overflowPunct/>
                    <w:topLinePunct w:val="0"/>
                    <w:bidi w:val="0"/>
                    <w:jc w:val="center"/>
                    <w:rPr>
                      <w:color w:val="auto"/>
                      <w:sz w:val="21"/>
                      <w:szCs w:val="21"/>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8" w:type="dxa"/>
                  <w:vMerge w:val="restart"/>
                  <w:vAlign w:val="center"/>
                </w:tcPr>
                <w:p>
                  <w:pPr>
                    <w:keepNext w:val="0"/>
                    <w:pageBreakBefore w:val="0"/>
                    <w:kinsoku/>
                    <w:wordWrap/>
                    <w:overflowPunct/>
                    <w:topLinePunct w:val="0"/>
                    <w:bidi w:val="0"/>
                    <w:jc w:val="center"/>
                    <w:rPr>
                      <w:b/>
                      <w:bCs/>
                      <w:color w:val="auto"/>
                      <w:sz w:val="21"/>
                      <w:szCs w:val="21"/>
                      <w:u w:val="single"/>
                    </w:rPr>
                  </w:pPr>
                  <w:r>
                    <w:rPr>
                      <w:rFonts w:hint="eastAsia"/>
                      <w:b/>
                      <w:bCs/>
                      <w:color w:val="auto"/>
                      <w:sz w:val="21"/>
                      <w:szCs w:val="21"/>
                      <w:u w:val="single"/>
                      <w:lang w:val="en-US" w:eastAsia="zh-CN"/>
                    </w:rPr>
                    <w:t>封边、粘贴</w:t>
                  </w:r>
                  <w:r>
                    <w:rPr>
                      <w:rFonts w:hint="eastAsia"/>
                      <w:b/>
                      <w:bCs/>
                      <w:color w:val="auto"/>
                      <w:sz w:val="21"/>
                      <w:szCs w:val="21"/>
                      <w:u w:val="single"/>
                    </w:rPr>
                    <w:t>、危废间废气</w:t>
                  </w:r>
                </w:p>
              </w:tc>
              <w:tc>
                <w:tcPr>
                  <w:tcW w:w="427" w:type="dxa"/>
                  <w:vMerge w:val="restart"/>
                  <w:vAlign w:val="center"/>
                </w:tcPr>
                <w:p>
                  <w:pPr>
                    <w:keepNext w:val="0"/>
                    <w:pageBreakBefore w:val="0"/>
                    <w:kinsoku/>
                    <w:wordWrap/>
                    <w:overflowPunct/>
                    <w:topLinePunct w:val="0"/>
                    <w:bidi w:val="0"/>
                    <w:jc w:val="center"/>
                    <w:rPr>
                      <w:b/>
                      <w:bCs/>
                      <w:color w:val="auto"/>
                      <w:sz w:val="21"/>
                      <w:szCs w:val="21"/>
                      <w:u w:val="single"/>
                    </w:rPr>
                  </w:pPr>
                  <w:r>
                    <w:rPr>
                      <w:rFonts w:hint="eastAsia"/>
                      <w:b/>
                      <w:bCs/>
                      <w:color w:val="auto"/>
                      <w:sz w:val="21"/>
                      <w:szCs w:val="21"/>
                      <w:u w:val="single"/>
                    </w:rPr>
                    <w:t>非甲烷总烃</w:t>
                  </w:r>
                </w:p>
              </w:tc>
              <w:tc>
                <w:tcPr>
                  <w:tcW w:w="898" w:type="dxa"/>
                  <w:vAlign w:val="center"/>
                </w:tcPr>
                <w:p>
                  <w:pPr>
                    <w:pStyle w:val="14"/>
                    <w:keepNext w:val="0"/>
                    <w:pageBreakBefore w:val="0"/>
                    <w:kinsoku/>
                    <w:wordWrap/>
                    <w:overflowPunct/>
                    <w:topLinePunct w:val="0"/>
                    <w:bidi w:val="0"/>
                    <w:spacing w:after="0"/>
                    <w:ind w:left="0" w:leftChars="0" w:firstLine="0"/>
                    <w:jc w:val="center"/>
                    <w:rPr>
                      <w:rFonts w:hint="default" w:eastAsia="宋体"/>
                      <w:b/>
                      <w:bCs/>
                      <w:color w:val="auto"/>
                      <w:sz w:val="21"/>
                      <w:szCs w:val="21"/>
                      <w:u w:val="single"/>
                      <w:lang w:val="en-US" w:eastAsia="zh-CN"/>
                    </w:rPr>
                  </w:pPr>
                  <w:r>
                    <w:rPr>
                      <w:rFonts w:hint="eastAsia"/>
                      <w:b/>
                      <w:bCs/>
                      <w:color w:val="auto"/>
                      <w:sz w:val="21"/>
                      <w:szCs w:val="21"/>
                      <w:u w:val="single"/>
                      <w:lang w:val="en-US" w:eastAsia="zh-CN"/>
                    </w:rPr>
                    <w:t>0.1597</w:t>
                  </w:r>
                </w:p>
              </w:tc>
              <w:tc>
                <w:tcPr>
                  <w:tcW w:w="898" w:type="dxa"/>
                  <w:vAlign w:val="center"/>
                </w:tcPr>
                <w:p>
                  <w:pPr>
                    <w:pStyle w:val="14"/>
                    <w:keepNext w:val="0"/>
                    <w:pageBreakBefore w:val="0"/>
                    <w:kinsoku/>
                    <w:wordWrap/>
                    <w:overflowPunct/>
                    <w:topLinePunct w:val="0"/>
                    <w:bidi w:val="0"/>
                    <w:spacing w:after="0"/>
                    <w:ind w:left="0" w:leftChars="0" w:firstLine="0"/>
                    <w:jc w:val="center"/>
                    <w:rPr>
                      <w:rFonts w:hint="default" w:eastAsia="宋体"/>
                      <w:b/>
                      <w:bCs/>
                      <w:color w:val="auto"/>
                      <w:sz w:val="21"/>
                      <w:szCs w:val="21"/>
                      <w:u w:val="single"/>
                      <w:lang w:val="en-US" w:eastAsia="zh-CN"/>
                    </w:rPr>
                  </w:pPr>
                  <w:r>
                    <w:rPr>
                      <w:rFonts w:hint="eastAsia"/>
                      <w:b/>
                      <w:bCs/>
                      <w:color w:val="auto"/>
                      <w:sz w:val="21"/>
                      <w:szCs w:val="21"/>
                      <w:u w:val="single"/>
                      <w:lang w:val="en-US" w:eastAsia="zh-CN"/>
                    </w:rPr>
                    <w:t>0.0665</w:t>
                  </w:r>
                </w:p>
              </w:tc>
              <w:tc>
                <w:tcPr>
                  <w:tcW w:w="707"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有组织</w:t>
                  </w:r>
                </w:p>
              </w:tc>
              <w:tc>
                <w:tcPr>
                  <w:tcW w:w="763" w:type="dxa"/>
                  <w:vMerge w:val="restart"/>
                  <w:vAlign w:val="center"/>
                </w:tcPr>
                <w:p>
                  <w:pPr>
                    <w:keepNext w:val="0"/>
                    <w:pageBreakBefore w:val="0"/>
                    <w:kinsoku/>
                    <w:wordWrap/>
                    <w:overflowPunct/>
                    <w:topLinePunct w:val="0"/>
                    <w:bidi w:val="0"/>
                    <w:jc w:val="center"/>
                    <w:rPr>
                      <w:rFonts w:hint="eastAsia" w:eastAsia="宋体"/>
                      <w:b/>
                      <w:bCs/>
                      <w:color w:val="auto"/>
                      <w:sz w:val="21"/>
                      <w:szCs w:val="21"/>
                      <w:u w:val="single"/>
                      <w:lang w:eastAsia="zh-CN"/>
                    </w:rPr>
                  </w:pPr>
                  <w:r>
                    <w:rPr>
                      <w:rFonts w:hint="eastAsia"/>
                      <w:b/>
                      <w:bCs/>
                      <w:color w:val="auto"/>
                      <w:sz w:val="21"/>
                      <w:szCs w:val="21"/>
                      <w:u w:val="single"/>
                      <w:lang w:eastAsia="zh-CN"/>
                    </w:rPr>
                    <w:t>两级活性炭吸附</w:t>
                  </w:r>
                </w:p>
              </w:tc>
              <w:tc>
                <w:tcPr>
                  <w:tcW w:w="638" w:type="dxa"/>
                  <w:vAlign w:val="center"/>
                </w:tcPr>
                <w:p>
                  <w:pPr>
                    <w:keepNext w:val="0"/>
                    <w:pageBreakBefore w:val="0"/>
                    <w:kinsoku/>
                    <w:wordWrap/>
                    <w:overflowPunct/>
                    <w:topLinePunct w:val="0"/>
                    <w:bidi w:val="0"/>
                    <w:jc w:val="center"/>
                    <w:rPr>
                      <w:rFonts w:hint="eastAsia" w:eastAsia="宋体"/>
                      <w:b/>
                      <w:bCs/>
                      <w:color w:val="auto"/>
                      <w:sz w:val="21"/>
                      <w:szCs w:val="21"/>
                      <w:u w:val="single"/>
                      <w:lang w:eastAsia="zh-CN"/>
                    </w:rPr>
                  </w:pPr>
                  <w:r>
                    <w:rPr>
                      <w:rFonts w:hint="eastAsia"/>
                      <w:b/>
                      <w:bCs/>
                      <w:color w:val="auto"/>
                      <w:sz w:val="21"/>
                      <w:szCs w:val="21"/>
                      <w:u w:val="single"/>
                    </w:rPr>
                    <w:t>9</w:t>
                  </w:r>
                  <w:r>
                    <w:rPr>
                      <w:rFonts w:hint="eastAsia"/>
                      <w:b/>
                      <w:bCs/>
                      <w:color w:val="auto"/>
                      <w:sz w:val="21"/>
                      <w:szCs w:val="21"/>
                      <w:u w:val="single"/>
                      <w:lang w:val="en-US" w:eastAsia="zh-CN"/>
                    </w:rPr>
                    <w:t>0</w:t>
                  </w:r>
                </w:p>
              </w:tc>
              <w:tc>
                <w:tcPr>
                  <w:tcW w:w="638" w:type="dxa"/>
                  <w:vAlign w:val="center"/>
                </w:tcPr>
                <w:p>
                  <w:pPr>
                    <w:keepNext w:val="0"/>
                    <w:pageBreakBefore w:val="0"/>
                    <w:kinsoku/>
                    <w:wordWrap/>
                    <w:overflowPunct/>
                    <w:topLinePunct w:val="0"/>
                    <w:bidi w:val="0"/>
                    <w:jc w:val="center"/>
                    <w:rPr>
                      <w:rFonts w:hint="default" w:eastAsia="宋体"/>
                      <w:b/>
                      <w:bCs/>
                      <w:color w:val="auto"/>
                      <w:sz w:val="21"/>
                      <w:szCs w:val="21"/>
                      <w:u w:val="single"/>
                      <w:lang w:val="en-US" w:eastAsia="zh-CN"/>
                    </w:rPr>
                  </w:pPr>
                  <w:r>
                    <w:rPr>
                      <w:rFonts w:hint="eastAsia"/>
                      <w:b/>
                      <w:bCs/>
                      <w:color w:val="auto"/>
                      <w:sz w:val="21"/>
                      <w:szCs w:val="21"/>
                      <w:u w:val="single"/>
                      <w:lang w:val="en-US" w:eastAsia="zh-CN"/>
                    </w:rPr>
                    <w:t>85</w:t>
                  </w:r>
                </w:p>
              </w:tc>
              <w:tc>
                <w:tcPr>
                  <w:tcW w:w="833" w:type="dxa"/>
                  <w:vAlign w:val="center"/>
                </w:tcPr>
                <w:p>
                  <w:pPr>
                    <w:keepNext w:val="0"/>
                    <w:pageBreakBefore w:val="0"/>
                    <w:kinsoku/>
                    <w:wordWrap/>
                    <w:overflowPunct/>
                    <w:topLinePunct w:val="0"/>
                    <w:bidi w:val="0"/>
                    <w:jc w:val="center"/>
                    <w:rPr>
                      <w:b/>
                      <w:bCs/>
                      <w:color w:val="auto"/>
                      <w:sz w:val="21"/>
                      <w:szCs w:val="21"/>
                      <w:u w:val="single"/>
                    </w:rPr>
                  </w:pPr>
                  <w:r>
                    <w:rPr>
                      <w:rFonts w:hint="eastAsia"/>
                      <w:b/>
                      <w:bCs/>
                      <w:color w:val="auto"/>
                      <w:sz w:val="21"/>
                      <w:szCs w:val="21"/>
                      <w:u w:val="single"/>
                      <w:lang w:val="en-US" w:eastAsia="zh-CN"/>
                    </w:rPr>
                    <w:t>1</w:t>
                  </w:r>
                  <w:r>
                    <w:rPr>
                      <w:rFonts w:hint="eastAsia"/>
                      <w:b/>
                      <w:bCs/>
                      <w:color w:val="auto"/>
                      <w:sz w:val="21"/>
                      <w:szCs w:val="21"/>
                      <w:u w:val="single"/>
                    </w:rPr>
                    <w:t>0000</w:t>
                  </w:r>
                </w:p>
              </w:tc>
              <w:tc>
                <w:tcPr>
                  <w:tcW w:w="1003" w:type="dxa"/>
                  <w:vAlign w:val="center"/>
                </w:tcPr>
                <w:p>
                  <w:pPr>
                    <w:pStyle w:val="14"/>
                    <w:keepNext w:val="0"/>
                    <w:pageBreakBefore w:val="0"/>
                    <w:kinsoku/>
                    <w:wordWrap/>
                    <w:overflowPunct/>
                    <w:topLinePunct w:val="0"/>
                    <w:bidi w:val="0"/>
                    <w:spacing w:after="0"/>
                    <w:ind w:left="0" w:leftChars="0" w:firstLine="0"/>
                    <w:jc w:val="center"/>
                    <w:rPr>
                      <w:rFonts w:hint="default"/>
                      <w:b/>
                      <w:bCs/>
                      <w:color w:val="auto"/>
                      <w:sz w:val="21"/>
                      <w:szCs w:val="21"/>
                      <w:u w:val="single"/>
                      <w:lang w:val="en-US"/>
                    </w:rPr>
                  </w:pPr>
                  <w:r>
                    <w:rPr>
                      <w:rFonts w:hint="eastAsia"/>
                      <w:b/>
                      <w:bCs/>
                      <w:color w:val="auto"/>
                      <w:sz w:val="21"/>
                      <w:szCs w:val="21"/>
                      <w:u w:val="single"/>
                      <w:lang w:val="en-US" w:bidi="zh-CN"/>
                    </w:rPr>
                    <w:t>0.0239</w:t>
                  </w:r>
                </w:p>
              </w:tc>
              <w:tc>
                <w:tcPr>
                  <w:tcW w:w="990" w:type="dxa"/>
                  <w:vAlign w:val="center"/>
                </w:tcPr>
                <w:p>
                  <w:pPr>
                    <w:pStyle w:val="14"/>
                    <w:keepNext w:val="0"/>
                    <w:pageBreakBefore w:val="0"/>
                    <w:kinsoku/>
                    <w:wordWrap/>
                    <w:overflowPunct/>
                    <w:topLinePunct w:val="0"/>
                    <w:bidi w:val="0"/>
                    <w:spacing w:after="0"/>
                    <w:ind w:left="0" w:leftChars="0" w:firstLine="0" w:firstLineChars="0"/>
                    <w:jc w:val="center"/>
                    <w:rPr>
                      <w:rFonts w:hint="default"/>
                      <w:b/>
                      <w:bCs/>
                      <w:color w:val="auto"/>
                      <w:sz w:val="21"/>
                      <w:szCs w:val="21"/>
                      <w:u w:val="single"/>
                      <w:lang w:val="en-US"/>
                    </w:rPr>
                  </w:pPr>
                  <w:r>
                    <w:rPr>
                      <w:rFonts w:hint="eastAsia"/>
                      <w:b/>
                      <w:bCs/>
                      <w:color w:val="auto"/>
                      <w:sz w:val="21"/>
                      <w:szCs w:val="21"/>
                      <w:u w:val="single"/>
                      <w:lang w:val="en-US" w:bidi="zh-CN"/>
                    </w:rPr>
                    <w:t>0.01</w:t>
                  </w:r>
                </w:p>
              </w:tc>
              <w:tc>
                <w:tcPr>
                  <w:tcW w:w="902" w:type="dxa"/>
                  <w:vAlign w:val="center"/>
                </w:tcPr>
                <w:p>
                  <w:pPr>
                    <w:pStyle w:val="14"/>
                    <w:keepNext w:val="0"/>
                    <w:pageBreakBefore w:val="0"/>
                    <w:kinsoku/>
                    <w:wordWrap/>
                    <w:overflowPunct/>
                    <w:topLinePunct w:val="0"/>
                    <w:bidi w:val="0"/>
                    <w:spacing w:after="0"/>
                    <w:ind w:left="0" w:leftChars="0" w:firstLine="0" w:firstLineChars="0"/>
                    <w:jc w:val="center"/>
                    <w:rPr>
                      <w:rFonts w:hint="default"/>
                      <w:b/>
                      <w:bCs/>
                      <w:color w:val="auto"/>
                      <w:sz w:val="21"/>
                      <w:szCs w:val="21"/>
                      <w:u w:val="single"/>
                      <w:lang w:val="en-US"/>
                    </w:rPr>
                  </w:pPr>
                  <w:r>
                    <w:rPr>
                      <w:rFonts w:hint="eastAsia"/>
                      <w:b/>
                      <w:bCs/>
                      <w:color w:val="auto"/>
                      <w:sz w:val="21"/>
                      <w:szCs w:val="21"/>
                      <w:u w:val="single"/>
                      <w:lang w:val="en-US" w:bidi="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8" w:type="dxa"/>
                  <w:vMerge w:val="continue"/>
                  <w:vAlign w:val="center"/>
                </w:tcPr>
                <w:p>
                  <w:pPr>
                    <w:keepNext w:val="0"/>
                    <w:pageBreakBefore w:val="0"/>
                    <w:kinsoku/>
                    <w:wordWrap/>
                    <w:overflowPunct/>
                    <w:topLinePunct w:val="0"/>
                    <w:bidi w:val="0"/>
                    <w:jc w:val="center"/>
                    <w:rPr>
                      <w:b/>
                      <w:bCs/>
                      <w:color w:val="auto"/>
                      <w:sz w:val="21"/>
                      <w:szCs w:val="21"/>
                      <w:u w:val="single"/>
                    </w:rPr>
                  </w:pPr>
                </w:p>
              </w:tc>
              <w:tc>
                <w:tcPr>
                  <w:tcW w:w="427" w:type="dxa"/>
                  <w:vMerge w:val="continue"/>
                  <w:vAlign w:val="center"/>
                </w:tcPr>
                <w:p>
                  <w:pPr>
                    <w:keepNext w:val="0"/>
                    <w:pageBreakBefore w:val="0"/>
                    <w:kinsoku/>
                    <w:wordWrap/>
                    <w:overflowPunct/>
                    <w:topLinePunct w:val="0"/>
                    <w:bidi w:val="0"/>
                    <w:jc w:val="center"/>
                    <w:rPr>
                      <w:b/>
                      <w:bCs/>
                      <w:color w:val="auto"/>
                      <w:sz w:val="21"/>
                      <w:szCs w:val="21"/>
                      <w:u w:val="single"/>
                    </w:rPr>
                  </w:pPr>
                </w:p>
              </w:tc>
              <w:tc>
                <w:tcPr>
                  <w:tcW w:w="898" w:type="dxa"/>
                  <w:vAlign w:val="center"/>
                </w:tcPr>
                <w:p>
                  <w:pPr>
                    <w:pStyle w:val="14"/>
                    <w:keepNext w:val="0"/>
                    <w:pageBreakBefore w:val="0"/>
                    <w:kinsoku/>
                    <w:wordWrap/>
                    <w:overflowPunct/>
                    <w:topLinePunct w:val="0"/>
                    <w:bidi w:val="0"/>
                    <w:spacing w:after="0"/>
                    <w:ind w:left="0" w:leftChars="0" w:firstLine="0" w:firstLineChars="0"/>
                    <w:jc w:val="center"/>
                    <w:rPr>
                      <w:rFonts w:hint="default"/>
                      <w:b/>
                      <w:bCs/>
                      <w:color w:val="auto"/>
                      <w:sz w:val="21"/>
                      <w:szCs w:val="21"/>
                      <w:u w:val="single"/>
                      <w:lang w:val="en-US"/>
                    </w:rPr>
                  </w:pPr>
                  <w:r>
                    <w:rPr>
                      <w:rFonts w:hint="eastAsia"/>
                      <w:b/>
                      <w:bCs/>
                      <w:color w:val="auto"/>
                      <w:sz w:val="21"/>
                      <w:szCs w:val="21"/>
                      <w:u w:val="single"/>
                      <w:lang w:val="en-US" w:bidi="zh-CN"/>
                    </w:rPr>
                    <w:t>0.0177</w:t>
                  </w:r>
                </w:p>
              </w:tc>
              <w:tc>
                <w:tcPr>
                  <w:tcW w:w="898" w:type="dxa"/>
                  <w:vAlign w:val="center"/>
                </w:tcPr>
                <w:p>
                  <w:pPr>
                    <w:pStyle w:val="14"/>
                    <w:keepNext w:val="0"/>
                    <w:pageBreakBefore w:val="0"/>
                    <w:kinsoku/>
                    <w:wordWrap/>
                    <w:overflowPunct/>
                    <w:topLinePunct w:val="0"/>
                    <w:bidi w:val="0"/>
                    <w:spacing w:after="0"/>
                    <w:ind w:left="0" w:leftChars="0" w:firstLine="0" w:firstLineChars="0"/>
                    <w:jc w:val="center"/>
                    <w:rPr>
                      <w:rFonts w:hint="default" w:eastAsia="宋体"/>
                      <w:b/>
                      <w:bCs/>
                      <w:color w:val="auto"/>
                      <w:sz w:val="21"/>
                      <w:szCs w:val="21"/>
                      <w:u w:val="single"/>
                      <w:lang w:val="en-US" w:eastAsia="zh-CN"/>
                    </w:rPr>
                  </w:pPr>
                  <w:r>
                    <w:rPr>
                      <w:rFonts w:hint="eastAsia"/>
                      <w:b/>
                      <w:bCs/>
                      <w:color w:val="auto"/>
                      <w:sz w:val="21"/>
                      <w:szCs w:val="21"/>
                      <w:u w:val="single"/>
                      <w:lang w:val="en-US" w:eastAsia="zh-CN"/>
                    </w:rPr>
                    <w:t>0.0074</w:t>
                  </w:r>
                </w:p>
              </w:tc>
              <w:tc>
                <w:tcPr>
                  <w:tcW w:w="707"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无组织</w:t>
                  </w:r>
                </w:p>
              </w:tc>
              <w:tc>
                <w:tcPr>
                  <w:tcW w:w="763" w:type="dxa"/>
                  <w:vMerge w:val="continue"/>
                  <w:vAlign w:val="center"/>
                </w:tcPr>
                <w:p>
                  <w:pPr>
                    <w:keepNext w:val="0"/>
                    <w:pageBreakBefore w:val="0"/>
                    <w:kinsoku/>
                    <w:wordWrap/>
                    <w:overflowPunct/>
                    <w:topLinePunct w:val="0"/>
                    <w:bidi w:val="0"/>
                    <w:jc w:val="center"/>
                    <w:rPr>
                      <w:b/>
                      <w:bCs/>
                      <w:color w:val="auto"/>
                      <w:sz w:val="21"/>
                      <w:szCs w:val="21"/>
                      <w:u w:val="single"/>
                    </w:rPr>
                  </w:pPr>
                </w:p>
              </w:tc>
              <w:tc>
                <w:tcPr>
                  <w:tcW w:w="638" w:type="dxa"/>
                  <w:vAlign w:val="center"/>
                </w:tcPr>
                <w:p>
                  <w:pPr>
                    <w:keepNext w:val="0"/>
                    <w:pageBreakBefore w:val="0"/>
                    <w:kinsoku/>
                    <w:wordWrap/>
                    <w:overflowPunct/>
                    <w:topLinePunct w:val="0"/>
                    <w:bidi w:val="0"/>
                    <w:spacing w:line="280" w:lineRule="exact"/>
                    <w:jc w:val="center"/>
                    <w:rPr>
                      <w:b/>
                      <w:bCs/>
                      <w:color w:val="auto"/>
                      <w:sz w:val="21"/>
                      <w:szCs w:val="21"/>
                      <w:u w:val="single"/>
                    </w:rPr>
                  </w:pPr>
                  <w:r>
                    <w:rPr>
                      <w:b/>
                      <w:bCs/>
                      <w:color w:val="auto"/>
                      <w:sz w:val="21"/>
                      <w:szCs w:val="21"/>
                      <w:u w:val="single"/>
                    </w:rPr>
                    <w:t>/</w:t>
                  </w:r>
                </w:p>
              </w:tc>
              <w:tc>
                <w:tcPr>
                  <w:tcW w:w="638" w:type="dxa"/>
                  <w:vAlign w:val="center"/>
                </w:tcPr>
                <w:p>
                  <w:pPr>
                    <w:keepNext w:val="0"/>
                    <w:pageBreakBefore w:val="0"/>
                    <w:kinsoku/>
                    <w:wordWrap/>
                    <w:overflowPunct/>
                    <w:topLinePunct w:val="0"/>
                    <w:bidi w:val="0"/>
                    <w:spacing w:line="280" w:lineRule="exact"/>
                    <w:jc w:val="center"/>
                    <w:rPr>
                      <w:b/>
                      <w:bCs/>
                      <w:color w:val="auto"/>
                      <w:sz w:val="21"/>
                      <w:szCs w:val="21"/>
                      <w:u w:val="single"/>
                    </w:rPr>
                  </w:pPr>
                  <w:r>
                    <w:rPr>
                      <w:b/>
                      <w:bCs/>
                      <w:color w:val="auto"/>
                      <w:sz w:val="21"/>
                      <w:szCs w:val="21"/>
                      <w:u w:val="single"/>
                    </w:rPr>
                    <w:t>/</w:t>
                  </w:r>
                </w:p>
              </w:tc>
              <w:tc>
                <w:tcPr>
                  <w:tcW w:w="833" w:type="dxa"/>
                  <w:vAlign w:val="center"/>
                </w:tcPr>
                <w:p>
                  <w:pPr>
                    <w:keepNext w:val="0"/>
                    <w:pageBreakBefore w:val="0"/>
                    <w:kinsoku/>
                    <w:wordWrap/>
                    <w:overflowPunct/>
                    <w:topLinePunct w:val="0"/>
                    <w:bidi w:val="0"/>
                    <w:spacing w:line="280" w:lineRule="exact"/>
                    <w:jc w:val="center"/>
                    <w:rPr>
                      <w:b/>
                      <w:bCs/>
                      <w:color w:val="auto"/>
                      <w:sz w:val="21"/>
                      <w:szCs w:val="21"/>
                      <w:u w:val="single"/>
                    </w:rPr>
                  </w:pPr>
                  <w:r>
                    <w:rPr>
                      <w:b/>
                      <w:bCs/>
                      <w:color w:val="auto"/>
                      <w:sz w:val="21"/>
                      <w:szCs w:val="21"/>
                      <w:u w:val="single"/>
                    </w:rPr>
                    <w:t>/</w:t>
                  </w:r>
                </w:p>
              </w:tc>
              <w:tc>
                <w:tcPr>
                  <w:tcW w:w="1003" w:type="dxa"/>
                  <w:vAlign w:val="center"/>
                </w:tcPr>
                <w:p>
                  <w:pPr>
                    <w:pStyle w:val="14"/>
                    <w:keepNext w:val="0"/>
                    <w:pageBreakBefore w:val="0"/>
                    <w:kinsoku/>
                    <w:wordWrap/>
                    <w:overflowPunct/>
                    <w:topLinePunct w:val="0"/>
                    <w:bidi w:val="0"/>
                    <w:spacing w:after="0"/>
                    <w:ind w:left="0" w:leftChars="0" w:firstLine="0" w:firstLineChars="0"/>
                    <w:jc w:val="center"/>
                    <w:rPr>
                      <w:b/>
                      <w:bCs/>
                      <w:color w:val="auto"/>
                      <w:sz w:val="21"/>
                      <w:szCs w:val="21"/>
                      <w:u w:val="single"/>
                    </w:rPr>
                  </w:pPr>
                  <w:r>
                    <w:rPr>
                      <w:rFonts w:hint="eastAsia"/>
                      <w:b/>
                      <w:bCs/>
                      <w:color w:val="auto"/>
                      <w:sz w:val="21"/>
                      <w:szCs w:val="21"/>
                      <w:u w:val="single"/>
                      <w:lang w:val="en-US" w:bidi="zh-CN"/>
                    </w:rPr>
                    <w:t>0.0177</w:t>
                  </w:r>
                </w:p>
              </w:tc>
              <w:tc>
                <w:tcPr>
                  <w:tcW w:w="990" w:type="dxa"/>
                  <w:vAlign w:val="center"/>
                </w:tcPr>
                <w:p>
                  <w:pPr>
                    <w:pStyle w:val="14"/>
                    <w:keepNext w:val="0"/>
                    <w:pageBreakBefore w:val="0"/>
                    <w:kinsoku/>
                    <w:wordWrap/>
                    <w:overflowPunct/>
                    <w:topLinePunct w:val="0"/>
                    <w:bidi w:val="0"/>
                    <w:spacing w:after="0"/>
                    <w:ind w:left="0" w:leftChars="0" w:firstLine="0" w:firstLineChars="0"/>
                    <w:jc w:val="center"/>
                    <w:rPr>
                      <w:b/>
                      <w:bCs/>
                      <w:color w:val="auto"/>
                      <w:sz w:val="21"/>
                      <w:szCs w:val="21"/>
                      <w:u w:val="single"/>
                    </w:rPr>
                  </w:pPr>
                  <w:r>
                    <w:rPr>
                      <w:rFonts w:hint="eastAsia"/>
                      <w:b/>
                      <w:bCs/>
                      <w:color w:val="auto"/>
                      <w:sz w:val="21"/>
                      <w:szCs w:val="21"/>
                      <w:u w:val="single"/>
                      <w:lang w:val="en-US" w:bidi="zh-CN"/>
                    </w:rPr>
                    <w:t>0.0074</w:t>
                  </w:r>
                </w:p>
              </w:tc>
              <w:tc>
                <w:tcPr>
                  <w:tcW w:w="902" w:type="dxa"/>
                  <w:vAlign w:val="center"/>
                </w:tcPr>
                <w:p>
                  <w:pPr>
                    <w:keepNext w:val="0"/>
                    <w:pageBreakBefore w:val="0"/>
                    <w:kinsoku/>
                    <w:wordWrap/>
                    <w:overflowPunct/>
                    <w:topLinePunct w:val="0"/>
                    <w:bidi w:val="0"/>
                    <w:jc w:val="center"/>
                    <w:rPr>
                      <w:rFonts w:hint="eastAsia" w:eastAsia="宋体"/>
                      <w:b/>
                      <w:bCs/>
                      <w:color w:val="auto"/>
                      <w:sz w:val="21"/>
                      <w:szCs w:val="21"/>
                      <w:u w:val="single"/>
                      <w:lang w:val="en-US" w:eastAsia="zh-CN"/>
                    </w:rPr>
                  </w:pPr>
                  <w:r>
                    <w:rPr>
                      <w:rFonts w:hint="eastAsia"/>
                      <w:b/>
                      <w:bCs/>
                      <w:color w:val="auto"/>
                      <w:sz w:val="21"/>
                      <w:szCs w:val="21"/>
                      <w:u w:val="single"/>
                      <w:lang w:val="en-US" w:eastAsia="zh-CN"/>
                    </w:rPr>
                    <w:t>/</w:t>
                  </w:r>
                </w:p>
              </w:tc>
            </w:tr>
          </w:tbl>
          <w:p>
            <w:pPr>
              <w:keepNext w:val="0"/>
              <w:pageBreakBefore w:val="0"/>
              <w:kinsoku/>
              <w:wordWrap/>
              <w:overflowPunct/>
              <w:topLinePunct w:val="0"/>
              <w:bidi w:val="0"/>
              <w:jc w:val="center"/>
              <w:rPr>
                <w:b/>
                <w:bCs/>
                <w:color w:val="auto"/>
                <w:lang w:bidi="zh-CN"/>
              </w:rPr>
            </w:pPr>
            <w:r>
              <w:rPr>
                <w:rFonts w:hint="eastAsia"/>
                <w:b/>
                <w:bCs/>
                <w:color w:val="auto"/>
                <w:lang w:bidi="zh-CN"/>
              </w:rPr>
              <w:t>表4-</w:t>
            </w:r>
            <w:r>
              <w:rPr>
                <w:rFonts w:hint="eastAsia"/>
                <w:b/>
                <w:bCs/>
                <w:color w:val="auto"/>
                <w:lang w:val="en-US" w:bidi="zh-CN"/>
              </w:rPr>
              <w:t>2</w:t>
            </w:r>
            <w:r>
              <w:rPr>
                <w:rFonts w:hint="eastAsia"/>
                <w:b/>
                <w:bCs/>
                <w:color w:val="auto"/>
                <w:lang w:bidi="zh-CN"/>
              </w:rPr>
              <w:t xml:space="preserve">  项目废气污染物排放口基本情况一览表</w:t>
            </w:r>
          </w:p>
          <w:tbl>
            <w:tblPr>
              <w:tblStyle w:val="32"/>
              <w:tblW w:w="93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030"/>
              <w:gridCol w:w="1020"/>
              <w:gridCol w:w="709"/>
              <w:gridCol w:w="808"/>
              <w:gridCol w:w="1013"/>
              <w:gridCol w:w="2129"/>
              <w:gridCol w:w="841"/>
              <w:gridCol w:w="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0" w:hRule="atLeast"/>
              </w:trPr>
              <w:tc>
                <w:tcPr>
                  <w:tcW w:w="992" w:type="dxa"/>
                  <w:vMerge w:val="restart"/>
                  <w:tcBorders>
                    <w:bottom w:val="nil"/>
                  </w:tcBorders>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污染物种类</w:t>
                  </w:r>
                </w:p>
              </w:tc>
              <w:tc>
                <w:tcPr>
                  <w:tcW w:w="6709" w:type="dxa"/>
                  <w:gridSpan w:val="6"/>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排放口基本情况</w:t>
                  </w:r>
                </w:p>
              </w:tc>
              <w:tc>
                <w:tcPr>
                  <w:tcW w:w="841" w:type="dxa"/>
                  <w:vMerge w:val="restart"/>
                  <w:tcBorders>
                    <w:bottom w:val="nil"/>
                  </w:tcBorders>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排放标准mg/m</w:t>
                  </w:r>
                  <w:r>
                    <w:rPr>
                      <w:b/>
                      <w:bCs/>
                      <w:color w:val="auto"/>
                      <w:sz w:val="21"/>
                      <w:szCs w:val="21"/>
                      <w:vertAlign w:val="superscript"/>
                    </w:rPr>
                    <w:t>3</w:t>
                  </w:r>
                </w:p>
              </w:tc>
              <w:tc>
                <w:tcPr>
                  <w:tcW w:w="782" w:type="dxa"/>
                  <w:vMerge w:val="restart"/>
                  <w:tcBorders>
                    <w:bottom w:val="nil"/>
                  </w:tcBorders>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是否达标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16" w:hRule="atLeast"/>
              </w:trPr>
              <w:tc>
                <w:tcPr>
                  <w:tcW w:w="992" w:type="dxa"/>
                  <w:vMerge w:val="continue"/>
                  <w:tcBorders>
                    <w:top w:val="nil"/>
                  </w:tcBorders>
                  <w:vAlign w:val="center"/>
                </w:tcPr>
                <w:p>
                  <w:pPr>
                    <w:keepNext w:val="0"/>
                    <w:pageBreakBefore w:val="0"/>
                    <w:kinsoku/>
                    <w:wordWrap/>
                    <w:overflowPunct/>
                    <w:topLinePunct w:val="0"/>
                    <w:bidi w:val="0"/>
                    <w:jc w:val="center"/>
                    <w:rPr>
                      <w:b/>
                      <w:bCs/>
                      <w:color w:val="auto"/>
                      <w:sz w:val="21"/>
                      <w:szCs w:val="21"/>
                    </w:rPr>
                  </w:pPr>
                </w:p>
              </w:tc>
              <w:tc>
                <w:tcPr>
                  <w:tcW w:w="1030"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编号及名称</w:t>
                  </w:r>
                </w:p>
              </w:tc>
              <w:tc>
                <w:tcPr>
                  <w:tcW w:w="1020"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高度/m</w:t>
                  </w:r>
                </w:p>
              </w:tc>
              <w:tc>
                <w:tcPr>
                  <w:tcW w:w="709"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排气筒内径m</w:t>
                  </w:r>
                </w:p>
              </w:tc>
              <w:tc>
                <w:tcPr>
                  <w:tcW w:w="808"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温度℃</w:t>
                  </w:r>
                </w:p>
              </w:tc>
              <w:tc>
                <w:tcPr>
                  <w:tcW w:w="1013"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类型</w:t>
                  </w:r>
                </w:p>
              </w:tc>
              <w:tc>
                <w:tcPr>
                  <w:tcW w:w="2129" w:type="dxa"/>
                  <w:vAlign w:val="center"/>
                </w:tcPr>
                <w:p>
                  <w:pPr>
                    <w:keepNext w:val="0"/>
                    <w:pageBreakBefore w:val="0"/>
                    <w:kinsoku/>
                    <w:wordWrap/>
                    <w:overflowPunct/>
                    <w:topLinePunct w:val="0"/>
                    <w:bidi w:val="0"/>
                    <w:jc w:val="center"/>
                    <w:rPr>
                      <w:b/>
                      <w:bCs/>
                      <w:color w:val="auto"/>
                      <w:sz w:val="21"/>
                      <w:szCs w:val="21"/>
                    </w:rPr>
                  </w:pPr>
                  <w:r>
                    <w:rPr>
                      <w:b/>
                      <w:bCs/>
                      <w:color w:val="auto"/>
                      <w:sz w:val="21"/>
                      <w:szCs w:val="21"/>
                    </w:rPr>
                    <w:t>地理坐标</w:t>
                  </w:r>
                </w:p>
              </w:tc>
              <w:tc>
                <w:tcPr>
                  <w:tcW w:w="841" w:type="dxa"/>
                  <w:vMerge w:val="continue"/>
                  <w:tcBorders>
                    <w:top w:val="nil"/>
                  </w:tcBorders>
                  <w:vAlign w:val="center"/>
                </w:tcPr>
                <w:p>
                  <w:pPr>
                    <w:keepNext w:val="0"/>
                    <w:pageBreakBefore w:val="0"/>
                    <w:kinsoku/>
                    <w:wordWrap/>
                    <w:overflowPunct/>
                    <w:topLinePunct w:val="0"/>
                    <w:bidi w:val="0"/>
                    <w:jc w:val="center"/>
                    <w:rPr>
                      <w:b/>
                      <w:bCs/>
                      <w:color w:val="auto"/>
                      <w:sz w:val="21"/>
                      <w:szCs w:val="21"/>
                    </w:rPr>
                  </w:pPr>
                </w:p>
              </w:tc>
              <w:tc>
                <w:tcPr>
                  <w:tcW w:w="782" w:type="dxa"/>
                  <w:vMerge w:val="continue"/>
                  <w:tcBorders>
                    <w:top w:val="nil"/>
                  </w:tcBorders>
                  <w:vAlign w:val="center"/>
                </w:tcPr>
                <w:p>
                  <w:pPr>
                    <w:keepNext w:val="0"/>
                    <w:pageBreakBefore w:val="0"/>
                    <w:kinsoku/>
                    <w:wordWrap/>
                    <w:overflowPunct/>
                    <w:topLinePunct w:val="0"/>
                    <w:bidi w:val="0"/>
                    <w:jc w:val="center"/>
                    <w:rPr>
                      <w:b/>
                      <w:bCs/>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4" w:hRule="atLeast"/>
              </w:trPr>
              <w:tc>
                <w:tcPr>
                  <w:tcW w:w="992" w:type="dxa"/>
                  <w:vAlign w:val="center"/>
                </w:tcPr>
                <w:p>
                  <w:pPr>
                    <w:keepNext w:val="0"/>
                    <w:pageBreakBefore w:val="0"/>
                    <w:kinsoku/>
                    <w:wordWrap/>
                    <w:overflowPunct/>
                    <w:topLinePunct w:val="0"/>
                    <w:bidi w:val="0"/>
                    <w:jc w:val="center"/>
                    <w:rPr>
                      <w:color w:val="auto"/>
                      <w:sz w:val="21"/>
                      <w:szCs w:val="21"/>
                    </w:rPr>
                  </w:pPr>
                  <w:r>
                    <w:rPr>
                      <w:color w:val="auto"/>
                      <w:sz w:val="21"/>
                      <w:szCs w:val="21"/>
                    </w:rPr>
                    <w:t>颗粒物</w:t>
                  </w:r>
                </w:p>
              </w:tc>
              <w:tc>
                <w:tcPr>
                  <w:tcW w:w="1030" w:type="dxa"/>
                  <w:vAlign w:val="center"/>
                </w:tcPr>
                <w:p>
                  <w:pPr>
                    <w:keepNext w:val="0"/>
                    <w:pageBreakBefore w:val="0"/>
                    <w:kinsoku/>
                    <w:wordWrap/>
                    <w:overflowPunct/>
                    <w:topLinePunct w:val="0"/>
                    <w:bidi w:val="0"/>
                    <w:jc w:val="center"/>
                    <w:rPr>
                      <w:color w:val="auto"/>
                      <w:sz w:val="21"/>
                      <w:szCs w:val="21"/>
                    </w:rPr>
                  </w:pPr>
                  <w:r>
                    <w:rPr>
                      <w:color w:val="auto"/>
                      <w:sz w:val="21"/>
                      <w:szCs w:val="21"/>
                    </w:rPr>
                    <w:t>DA001</w:t>
                  </w:r>
                </w:p>
              </w:tc>
              <w:tc>
                <w:tcPr>
                  <w:tcW w:w="1020" w:type="dxa"/>
                  <w:vAlign w:val="center"/>
                </w:tcPr>
                <w:p>
                  <w:pPr>
                    <w:keepNext w:val="0"/>
                    <w:pageBreakBefore w:val="0"/>
                    <w:kinsoku/>
                    <w:wordWrap/>
                    <w:overflowPunct/>
                    <w:topLinePunct w:val="0"/>
                    <w:bidi w:val="0"/>
                    <w:jc w:val="center"/>
                    <w:rPr>
                      <w:color w:val="auto"/>
                      <w:sz w:val="21"/>
                      <w:szCs w:val="21"/>
                    </w:rPr>
                  </w:pPr>
                  <w:r>
                    <w:rPr>
                      <w:color w:val="auto"/>
                      <w:sz w:val="21"/>
                      <w:szCs w:val="21"/>
                    </w:rPr>
                    <w:t>15</w:t>
                  </w:r>
                </w:p>
              </w:tc>
              <w:tc>
                <w:tcPr>
                  <w:tcW w:w="709" w:type="dxa"/>
                  <w:vAlign w:val="center"/>
                </w:tcPr>
                <w:p>
                  <w:pPr>
                    <w:keepNext w:val="0"/>
                    <w:pageBreakBefore w:val="0"/>
                    <w:kinsoku/>
                    <w:wordWrap/>
                    <w:overflowPunct/>
                    <w:topLinePunct w:val="0"/>
                    <w:bidi w:val="0"/>
                    <w:jc w:val="center"/>
                    <w:rPr>
                      <w:color w:val="auto"/>
                      <w:sz w:val="21"/>
                      <w:szCs w:val="21"/>
                    </w:rPr>
                  </w:pPr>
                  <w:r>
                    <w:rPr>
                      <w:color w:val="auto"/>
                      <w:sz w:val="21"/>
                      <w:szCs w:val="21"/>
                    </w:rPr>
                    <w:t>0.6</w:t>
                  </w:r>
                </w:p>
              </w:tc>
              <w:tc>
                <w:tcPr>
                  <w:tcW w:w="808" w:type="dxa"/>
                  <w:vAlign w:val="center"/>
                </w:tcPr>
                <w:p>
                  <w:pPr>
                    <w:keepNext w:val="0"/>
                    <w:pageBreakBefore w:val="0"/>
                    <w:kinsoku/>
                    <w:wordWrap/>
                    <w:overflowPunct/>
                    <w:topLinePunct w:val="0"/>
                    <w:bidi w:val="0"/>
                    <w:jc w:val="center"/>
                    <w:rPr>
                      <w:color w:val="auto"/>
                      <w:sz w:val="21"/>
                      <w:szCs w:val="21"/>
                    </w:rPr>
                  </w:pPr>
                  <w:r>
                    <w:rPr>
                      <w:color w:val="auto"/>
                      <w:sz w:val="21"/>
                      <w:szCs w:val="21"/>
                    </w:rPr>
                    <w:t>20</w:t>
                  </w:r>
                </w:p>
              </w:tc>
              <w:tc>
                <w:tcPr>
                  <w:tcW w:w="1013" w:type="dxa"/>
                  <w:vAlign w:val="center"/>
                </w:tcPr>
                <w:p>
                  <w:pPr>
                    <w:keepNext w:val="0"/>
                    <w:pageBreakBefore w:val="0"/>
                    <w:kinsoku/>
                    <w:wordWrap/>
                    <w:overflowPunct/>
                    <w:topLinePunct w:val="0"/>
                    <w:bidi w:val="0"/>
                    <w:jc w:val="center"/>
                    <w:rPr>
                      <w:color w:val="auto"/>
                      <w:sz w:val="21"/>
                      <w:szCs w:val="21"/>
                    </w:rPr>
                  </w:pPr>
                  <w:r>
                    <w:rPr>
                      <w:color w:val="auto"/>
                      <w:sz w:val="21"/>
                      <w:szCs w:val="21"/>
                    </w:rPr>
                    <w:t>一般排放口</w:t>
                  </w:r>
                </w:p>
              </w:tc>
              <w:tc>
                <w:tcPr>
                  <w:tcW w:w="2129" w:type="dxa"/>
                  <w:vAlign w:val="center"/>
                </w:tcPr>
                <w:p>
                  <w:pPr>
                    <w:keepNext w:val="0"/>
                    <w:pageBreakBefore w:val="0"/>
                    <w:kinsoku/>
                    <w:wordWrap/>
                    <w:overflowPunct/>
                    <w:topLinePunct w:val="0"/>
                    <w:bidi w:val="0"/>
                    <w:jc w:val="center"/>
                    <w:rPr>
                      <w:rFonts w:hint="eastAsia"/>
                      <w:color w:val="auto"/>
                      <w:sz w:val="21"/>
                      <w:szCs w:val="21"/>
                    </w:rPr>
                  </w:pPr>
                  <w:r>
                    <w:rPr>
                      <w:color w:val="auto"/>
                      <w:sz w:val="21"/>
                      <w:szCs w:val="21"/>
                    </w:rPr>
                    <w:t>E</w:t>
                  </w:r>
                  <w:r>
                    <w:rPr>
                      <w:rFonts w:hint="eastAsia"/>
                      <w:color w:val="auto"/>
                      <w:sz w:val="21"/>
                      <w:szCs w:val="21"/>
                    </w:rPr>
                    <w:t>115.14247206</w:t>
                  </w:r>
                </w:p>
                <w:p>
                  <w:pPr>
                    <w:keepNext w:val="0"/>
                    <w:pageBreakBefore w:val="0"/>
                    <w:kinsoku/>
                    <w:wordWrap/>
                    <w:overflowPunct/>
                    <w:topLinePunct w:val="0"/>
                    <w:bidi w:val="0"/>
                    <w:jc w:val="center"/>
                    <w:rPr>
                      <w:color w:val="auto"/>
                      <w:sz w:val="21"/>
                      <w:szCs w:val="21"/>
                    </w:rPr>
                  </w:pPr>
                  <w:r>
                    <w:rPr>
                      <w:color w:val="auto"/>
                      <w:sz w:val="21"/>
                      <w:szCs w:val="21"/>
                    </w:rPr>
                    <w:t>N</w:t>
                  </w:r>
                  <w:r>
                    <w:rPr>
                      <w:rFonts w:hint="eastAsia"/>
                      <w:color w:val="auto"/>
                      <w:sz w:val="21"/>
                      <w:szCs w:val="21"/>
                    </w:rPr>
                    <w:t>35.86559086</w:t>
                  </w:r>
                </w:p>
              </w:tc>
              <w:tc>
                <w:tcPr>
                  <w:tcW w:w="841" w:type="dxa"/>
                  <w:vAlign w:val="center"/>
                </w:tcPr>
                <w:p>
                  <w:pPr>
                    <w:keepNext w:val="0"/>
                    <w:pageBreakBefore w:val="0"/>
                    <w:kinsoku/>
                    <w:wordWrap/>
                    <w:overflowPunct/>
                    <w:topLinePunct w:val="0"/>
                    <w:bidi w:val="0"/>
                    <w:jc w:val="center"/>
                    <w:rPr>
                      <w:color w:val="auto"/>
                      <w:sz w:val="21"/>
                      <w:szCs w:val="21"/>
                    </w:rPr>
                  </w:pPr>
                  <w:r>
                    <w:rPr>
                      <w:color w:val="auto"/>
                      <w:sz w:val="21"/>
                      <w:szCs w:val="21"/>
                    </w:rPr>
                    <w:t>10</w:t>
                  </w:r>
                </w:p>
              </w:tc>
              <w:tc>
                <w:tcPr>
                  <w:tcW w:w="782" w:type="dxa"/>
                  <w:vAlign w:val="center"/>
                </w:tcPr>
                <w:p>
                  <w:pPr>
                    <w:keepNext w:val="0"/>
                    <w:pageBreakBefore w:val="0"/>
                    <w:kinsoku/>
                    <w:wordWrap/>
                    <w:overflowPunct/>
                    <w:topLinePunct w:val="0"/>
                    <w:bidi w:val="0"/>
                    <w:jc w:val="center"/>
                    <w:rPr>
                      <w:color w:val="auto"/>
                      <w:sz w:val="21"/>
                      <w:szCs w:val="21"/>
                    </w:rPr>
                  </w:pPr>
                  <w:r>
                    <w:rPr>
                      <w:color w:val="auto"/>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4" w:hRule="atLeast"/>
              </w:trPr>
              <w:tc>
                <w:tcPr>
                  <w:tcW w:w="992" w:type="dxa"/>
                  <w:vAlign w:val="center"/>
                </w:tcPr>
                <w:p>
                  <w:pPr>
                    <w:keepNext w:val="0"/>
                    <w:pageBreakBefore w:val="0"/>
                    <w:kinsoku/>
                    <w:wordWrap/>
                    <w:overflowPunct/>
                    <w:topLinePunct w:val="0"/>
                    <w:bidi w:val="0"/>
                    <w:jc w:val="center"/>
                    <w:rPr>
                      <w:color w:val="auto"/>
                      <w:sz w:val="21"/>
                      <w:szCs w:val="21"/>
                    </w:rPr>
                  </w:pPr>
                  <w:r>
                    <w:rPr>
                      <w:color w:val="auto"/>
                      <w:sz w:val="21"/>
                      <w:szCs w:val="21"/>
                    </w:rPr>
                    <w:t>非甲烷总烃</w:t>
                  </w:r>
                </w:p>
              </w:tc>
              <w:tc>
                <w:tcPr>
                  <w:tcW w:w="1030" w:type="dxa"/>
                  <w:shd w:val="clear" w:color="auto" w:fill="auto"/>
                  <w:vAlign w:val="center"/>
                </w:tcPr>
                <w:p>
                  <w:pPr>
                    <w:keepNext w:val="0"/>
                    <w:pageBreakBefore w:val="0"/>
                    <w:kinsoku/>
                    <w:wordWrap/>
                    <w:overflowPunct/>
                    <w:topLinePunct w:val="0"/>
                    <w:bidi w:val="0"/>
                    <w:jc w:val="center"/>
                    <w:rPr>
                      <w:rFonts w:hint="eastAsia" w:ascii="Times New Roman" w:hAnsi="Times New Roman" w:eastAsia="宋体" w:cs="Times New Roman"/>
                      <w:color w:val="auto"/>
                      <w:kern w:val="2"/>
                      <w:sz w:val="21"/>
                      <w:szCs w:val="21"/>
                      <w:lang w:val="en-US" w:eastAsia="zh-CN" w:bidi="ar-SA"/>
                    </w:rPr>
                  </w:pPr>
                  <w:r>
                    <w:rPr>
                      <w:color w:val="auto"/>
                      <w:sz w:val="21"/>
                      <w:szCs w:val="21"/>
                    </w:rPr>
                    <w:t>DA00</w:t>
                  </w:r>
                  <w:r>
                    <w:rPr>
                      <w:rFonts w:hint="eastAsia"/>
                      <w:color w:val="auto"/>
                      <w:sz w:val="21"/>
                      <w:szCs w:val="21"/>
                      <w:lang w:val="en-US" w:eastAsia="zh-CN"/>
                    </w:rPr>
                    <w:t>2</w:t>
                  </w:r>
                </w:p>
              </w:tc>
              <w:tc>
                <w:tcPr>
                  <w:tcW w:w="1020" w:type="dxa"/>
                  <w:shd w:val="clear" w:color="auto" w:fill="auto"/>
                  <w:vAlign w:val="center"/>
                </w:tcPr>
                <w:p>
                  <w:pPr>
                    <w:keepNext w:val="0"/>
                    <w:pageBreakBefore w:val="0"/>
                    <w:kinsoku/>
                    <w:wordWrap/>
                    <w:overflowPunct/>
                    <w:topLinePunct w:val="0"/>
                    <w:bidi w:val="0"/>
                    <w:jc w:val="center"/>
                    <w:rPr>
                      <w:rFonts w:ascii="Times New Roman" w:hAnsi="Times New Roman" w:eastAsia="宋体" w:cs="Times New Roman"/>
                      <w:color w:val="auto"/>
                      <w:kern w:val="2"/>
                      <w:sz w:val="21"/>
                      <w:szCs w:val="21"/>
                      <w:lang w:val="en-US" w:eastAsia="zh-CN" w:bidi="ar-SA"/>
                    </w:rPr>
                  </w:pPr>
                  <w:r>
                    <w:rPr>
                      <w:color w:val="auto"/>
                      <w:sz w:val="21"/>
                      <w:szCs w:val="21"/>
                    </w:rPr>
                    <w:t>15</w:t>
                  </w:r>
                </w:p>
              </w:tc>
              <w:tc>
                <w:tcPr>
                  <w:tcW w:w="709" w:type="dxa"/>
                  <w:shd w:val="clear" w:color="auto" w:fill="auto"/>
                  <w:vAlign w:val="center"/>
                </w:tcPr>
                <w:p>
                  <w:pPr>
                    <w:keepNext w:val="0"/>
                    <w:pageBreakBefore w:val="0"/>
                    <w:kinsoku/>
                    <w:wordWrap/>
                    <w:overflowPunct/>
                    <w:topLinePunct w:val="0"/>
                    <w:bidi w:val="0"/>
                    <w:jc w:val="center"/>
                    <w:rPr>
                      <w:rFonts w:hint="eastAsia" w:ascii="Times New Roman" w:hAnsi="Times New Roman" w:eastAsia="宋体" w:cs="Times New Roman"/>
                      <w:color w:val="auto"/>
                      <w:kern w:val="2"/>
                      <w:sz w:val="21"/>
                      <w:szCs w:val="21"/>
                      <w:lang w:val="en-US" w:eastAsia="zh-CN" w:bidi="ar-SA"/>
                    </w:rPr>
                  </w:pPr>
                  <w:r>
                    <w:rPr>
                      <w:color w:val="auto"/>
                      <w:sz w:val="21"/>
                      <w:szCs w:val="21"/>
                    </w:rPr>
                    <w:t>0.</w:t>
                  </w:r>
                  <w:r>
                    <w:rPr>
                      <w:rFonts w:hint="eastAsia"/>
                      <w:color w:val="auto"/>
                      <w:sz w:val="21"/>
                      <w:szCs w:val="21"/>
                      <w:lang w:val="en-US" w:eastAsia="zh-CN"/>
                    </w:rPr>
                    <w:t>6</w:t>
                  </w:r>
                </w:p>
              </w:tc>
              <w:tc>
                <w:tcPr>
                  <w:tcW w:w="808" w:type="dxa"/>
                  <w:shd w:val="clear" w:color="auto" w:fill="auto"/>
                  <w:vAlign w:val="center"/>
                </w:tcPr>
                <w:p>
                  <w:pPr>
                    <w:keepNext w:val="0"/>
                    <w:pageBreakBefore w:val="0"/>
                    <w:kinsoku/>
                    <w:wordWrap/>
                    <w:overflowPunct/>
                    <w:topLinePunct w:val="0"/>
                    <w:bidi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w:t>
                  </w:r>
                </w:p>
              </w:tc>
              <w:tc>
                <w:tcPr>
                  <w:tcW w:w="1013" w:type="dxa"/>
                  <w:vAlign w:val="center"/>
                </w:tcPr>
                <w:p>
                  <w:pPr>
                    <w:keepNext w:val="0"/>
                    <w:pageBreakBefore w:val="0"/>
                    <w:kinsoku/>
                    <w:wordWrap/>
                    <w:overflowPunct/>
                    <w:topLinePunct w:val="0"/>
                    <w:bidi w:val="0"/>
                    <w:jc w:val="center"/>
                    <w:rPr>
                      <w:color w:val="auto"/>
                      <w:sz w:val="21"/>
                      <w:szCs w:val="21"/>
                    </w:rPr>
                  </w:pPr>
                  <w:r>
                    <w:rPr>
                      <w:color w:val="auto"/>
                      <w:sz w:val="21"/>
                      <w:szCs w:val="21"/>
                    </w:rPr>
                    <w:t>一般排放口</w:t>
                  </w:r>
                </w:p>
              </w:tc>
              <w:tc>
                <w:tcPr>
                  <w:tcW w:w="2129" w:type="dxa"/>
                  <w:vAlign w:val="center"/>
                </w:tcPr>
                <w:p>
                  <w:pPr>
                    <w:keepNext w:val="0"/>
                    <w:pageBreakBefore w:val="0"/>
                    <w:kinsoku/>
                    <w:wordWrap/>
                    <w:overflowPunct/>
                    <w:topLinePunct w:val="0"/>
                    <w:bidi w:val="0"/>
                    <w:jc w:val="center"/>
                    <w:rPr>
                      <w:rFonts w:hint="eastAsia"/>
                      <w:color w:val="auto"/>
                      <w:sz w:val="21"/>
                      <w:szCs w:val="21"/>
                    </w:rPr>
                  </w:pPr>
                  <w:r>
                    <w:rPr>
                      <w:color w:val="auto"/>
                      <w:sz w:val="21"/>
                      <w:szCs w:val="21"/>
                    </w:rPr>
                    <w:t>E</w:t>
                  </w:r>
                  <w:r>
                    <w:rPr>
                      <w:rFonts w:hint="eastAsia"/>
                      <w:color w:val="auto"/>
                      <w:sz w:val="21"/>
                      <w:szCs w:val="21"/>
                    </w:rPr>
                    <w:t>115.14248279</w:t>
                  </w:r>
                </w:p>
                <w:p>
                  <w:pPr>
                    <w:keepNext w:val="0"/>
                    <w:pageBreakBefore w:val="0"/>
                    <w:kinsoku/>
                    <w:wordWrap/>
                    <w:overflowPunct/>
                    <w:topLinePunct w:val="0"/>
                    <w:bidi w:val="0"/>
                    <w:jc w:val="center"/>
                    <w:rPr>
                      <w:color w:val="auto"/>
                      <w:sz w:val="21"/>
                      <w:szCs w:val="21"/>
                    </w:rPr>
                  </w:pPr>
                  <w:r>
                    <w:rPr>
                      <w:rFonts w:hint="eastAsia"/>
                      <w:color w:val="auto"/>
                      <w:sz w:val="21"/>
                      <w:szCs w:val="21"/>
                      <w:lang w:val="en-US" w:eastAsia="zh-CN"/>
                    </w:rPr>
                    <w:t>N</w:t>
                  </w:r>
                  <w:r>
                    <w:rPr>
                      <w:rFonts w:hint="eastAsia"/>
                      <w:color w:val="auto"/>
                      <w:sz w:val="21"/>
                      <w:szCs w:val="21"/>
                    </w:rPr>
                    <w:t>35.86572348</w:t>
                  </w:r>
                </w:p>
              </w:tc>
              <w:tc>
                <w:tcPr>
                  <w:tcW w:w="841" w:type="dxa"/>
                  <w:vAlign w:val="center"/>
                </w:tcPr>
                <w:p>
                  <w:pPr>
                    <w:keepNext w:val="0"/>
                    <w:pageBreakBefore w:val="0"/>
                    <w:kinsoku/>
                    <w:wordWrap/>
                    <w:overflowPunct/>
                    <w:topLinePunct w:val="0"/>
                    <w:bidi w:val="0"/>
                    <w:jc w:val="center"/>
                    <w:rPr>
                      <w:color w:val="auto"/>
                      <w:sz w:val="21"/>
                      <w:szCs w:val="21"/>
                    </w:rPr>
                  </w:pPr>
                  <w:r>
                    <w:rPr>
                      <w:color w:val="auto"/>
                      <w:sz w:val="21"/>
                      <w:szCs w:val="21"/>
                    </w:rPr>
                    <w:t>20</w:t>
                  </w:r>
                </w:p>
              </w:tc>
              <w:tc>
                <w:tcPr>
                  <w:tcW w:w="782" w:type="dxa"/>
                  <w:vAlign w:val="center"/>
                </w:tcPr>
                <w:p>
                  <w:pPr>
                    <w:keepNext w:val="0"/>
                    <w:pageBreakBefore w:val="0"/>
                    <w:kinsoku/>
                    <w:wordWrap/>
                    <w:overflowPunct/>
                    <w:topLinePunct w:val="0"/>
                    <w:bidi w:val="0"/>
                    <w:jc w:val="center"/>
                    <w:rPr>
                      <w:color w:val="auto"/>
                      <w:sz w:val="21"/>
                      <w:szCs w:val="21"/>
                    </w:rPr>
                  </w:pPr>
                  <w:r>
                    <w:rPr>
                      <w:color w:val="auto"/>
                      <w:sz w:val="21"/>
                      <w:szCs w:val="21"/>
                    </w:rPr>
                    <w:t>达标</w:t>
                  </w:r>
                </w:p>
              </w:tc>
            </w:tr>
          </w:tbl>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rFonts w:hint="eastAsia"/>
                <w:color w:val="auto"/>
              </w:rPr>
              <w:t>根据上述工程分析，本项目有组织颗粒物满足《大气污染物综合排放标准》（GB16297-1996）表2颗粒物最高允许排放浓度（颗粒物有组织浓度限值：120mg/m</w:t>
            </w:r>
            <w:r>
              <w:rPr>
                <w:rFonts w:hint="eastAsia"/>
                <w:color w:val="auto"/>
                <w:vertAlign w:val="superscript"/>
              </w:rPr>
              <w:t>3</w:t>
            </w:r>
            <w:r>
              <w:rPr>
                <w:rFonts w:hint="eastAsia"/>
                <w:color w:val="auto"/>
              </w:rPr>
              <w:t>，速率≤3.5kg/h）及</w:t>
            </w:r>
            <w:r>
              <w:rPr>
                <w:rFonts w:hint="eastAsia"/>
                <w:color w:val="auto"/>
                <w:lang w:eastAsia="zh-CN"/>
              </w:rPr>
              <w:t>《重污染天气重点行业应急减排措施制定技术指南（2020年修订版）》</w:t>
            </w:r>
            <w:r>
              <w:rPr>
                <w:rFonts w:hint="eastAsia"/>
                <w:color w:val="auto"/>
              </w:rPr>
              <w:t>中家具制造行业A级企业要求（排放浓度</w:t>
            </w:r>
            <w:r>
              <w:rPr>
                <w:rFonts w:hint="eastAsia"/>
                <w:color w:val="auto"/>
                <w:lang w:val="en-US" w:eastAsia="zh-CN"/>
              </w:rPr>
              <w:t>≤</w:t>
            </w:r>
            <w:r>
              <w:rPr>
                <w:rFonts w:hint="eastAsia"/>
                <w:color w:val="auto"/>
              </w:rPr>
              <w:t>10mg/m</w:t>
            </w:r>
            <w:r>
              <w:rPr>
                <w:rFonts w:hint="eastAsia"/>
                <w:color w:val="auto"/>
                <w:vertAlign w:val="superscript"/>
              </w:rPr>
              <w:t>3</w:t>
            </w:r>
            <w:r>
              <w:rPr>
                <w:rFonts w:hint="eastAsia"/>
                <w:color w:val="auto"/>
              </w:rPr>
              <w:t>）；非甲烷总烃满足《工业涂装工序挥发性有机物排放标准》（DB41/1951—2020）家具制造业排放限值（非甲烷总烃排放浓度</w:t>
            </w:r>
            <w:r>
              <w:rPr>
                <w:rFonts w:hint="eastAsia"/>
                <w:color w:val="auto"/>
                <w:lang w:val="en-US" w:eastAsia="zh-CN"/>
              </w:rPr>
              <w:t>≤5</w:t>
            </w:r>
            <w:r>
              <w:rPr>
                <w:rFonts w:hint="eastAsia"/>
                <w:color w:val="auto"/>
              </w:rPr>
              <w:t>0mg/m</w:t>
            </w:r>
            <w:r>
              <w:rPr>
                <w:rFonts w:hint="eastAsia"/>
                <w:color w:val="auto"/>
                <w:vertAlign w:val="superscript"/>
              </w:rPr>
              <w:t>3</w:t>
            </w:r>
            <w:r>
              <w:rPr>
                <w:rFonts w:hint="eastAsia"/>
                <w:color w:val="auto"/>
              </w:rPr>
              <w:t>）</w:t>
            </w:r>
            <w:r>
              <w:rPr>
                <w:rFonts w:hint="eastAsia"/>
                <w:color w:val="auto"/>
                <w:lang w:eastAsia="zh-CN"/>
              </w:rPr>
              <w:t>，</w:t>
            </w:r>
            <w:r>
              <w:rPr>
                <w:rFonts w:hint="default" w:ascii="Times New Roman" w:hAnsi="Times New Roman" w:cs="Times New Roman"/>
                <w:color w:val="auto"/>
                <w:sz w:val="24"/>
                <w:highlight w:val="none"/>
              </w:rPr>
              <w:t>《河南省环境污染防治攻坚战领导小组办公室文件关于全省开展工业企业挥发性有机物专项治理工作中排放建议值的通知》（豫环攻坚办[2017]162号）（非甲烷总烃</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0mg/m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w:t>
            </w:r>
            <w:r>
              <w:rPr>
                <w:rFonts w:hint="eastAsia"/>
                <w:color w:val="auto"/>
              </w:rPr>
              <w:t>同时满足</w:t>
            </w:r>
            <w:r>
              <w:rPr>
                <w:rFonts w:hint="eastAsia"/>
                <w:color w:val="auto"/>
                <w:lang w:eastAsia="zh-CN"/>
              </w:rPr>
              <w:t>《重污染天气重点行业应急减排措施制定技术指南（2020年修订版）》</w:t>
            </w:r>
            <w:r>
              <w:rPr>
                <w:rFonts w:hint="eastAsia"/>
                <w:color w:val="auto"/>
              </w:rPr>
              <w:t>中家具制造行业A级企业要求（非甲烷总烃排放浓度</w:t>
            </w:r>
            <w:r>
              <w:rPr>
                <w:rFonts w:hint="eastAsia"/>
                <w:color w:val="auto"/>
                <w:lang w:val="en-US" w:eastAsia="zh-CN"/>
              </w:rPr>
              <w:t>≤2</w:t>
            </w:r>
            <w:r>
              <w:rPr>
                <w:rFonts w:hint="eastAsia"/>
                <w:color w:val="auto"/>
              </w:rPr>
              <w:t>0mg/m</w:t>
            </w:r>
            <w:r>
              <w:rPr>
                <w:rFonts w:hint="eastAsia"/>
                <w:color w:val="auto"/>
                <w:vertAlign w:val="superscript"/>
              </w:rPr>
              <w:t>3</w:t>
            </w:r>
            <w:r>
              <w:rPr>
                <w:rFonts w:hint="eastAsia"/>
                <w:color w:val="auto"/>
              </w:rPr>
              <w:t>）。</w:t>
            </w:r>
          </w:p>
          <w:p>
            <w:pPr>
              <w:pStyle w:val="33"/>
              <w:keepNext w:val="0"/>
              <w:pageBreakBefore w:val="0"/>
              <w:kinsoku/>
              <w:wordWrap/>
              <w:overflowPunct/>
              <w:topLinePunct w:val="0"/>
              <w:bidi w:val="0"/>
              <w:spacing w:before="1" w:line="220" w:lineRule="auto"/>
              <w:ind w:left="40"/>
              <w:rPr>
                <w:b/>
                <w:bCs/>
                <w:color w:val="auto"/>
                <w:u w:val="none" w:color="auto"/>
              </w:rPr>
            </w:pPr>
            <w:r>
              <w:rPr>
                <w:rFonts w:hint="eastAsia"/>
                <w:b/>
                <w:bCs/>
                <w:color w:val="auto"/>
                <w:spacing w:val="-3"/>
                <w:u w:val="none" w:color="auto"/>
                <w:lang w:eastAsia="zh-CN"/>
              </w:rPr>
              <w:t>（</w:t>
            </w:r>
            <w:r>
              <w:rPr>
                <w:rFonts w:hint="eastAsia"/>
                <w:b/>
                <w:bCs/>
                <w:color w:val="auto"/>
                <w:spacing w:val="-3"/>
                <w:u w:val="none" w:color="auto"/>
                <w:lang w:val="en-US" w:eastAsia="zh-CN"/>
              </w:rPr>
              <w:t>2</w:t>
            </w:r>
            <w:r>
              <w:rPr>
                <w:rFonts w:hint="eastAsia"/>
                <w:b/>
                <w:bCs/>
                <w:color w:val="auto"/>
                <w:spacing w:val="-3"/>
                <w:u w:val="none" w:color="auto"/>
                <w:lang w:eastAsia="zh-CN"/>
              </w:rPr>
              <w:t>）</w:t>
            </w:r>
            <w:r>
              <w:rPr>
                <w:b/>
                <w:bCs/>
                <w:color w:val="auto"/>
                <w:spacing w:val="-3"/>
                <w:u w:val="none" w:color="auto"/>
              </w:rPr>
              <w:t>工程废气污染防治措施及可行性</w:t>
            </w:r>
          </w:p>
          <w:p>
            <w:pPr>
              <w:keepNext w:val="0"/>
              <w:pageBreakBefore w:val="0"/>
              <w:tabs>
                <w:tab w:val="left" w:pos="8224"/>
              </w:tabs>
              <w:kinsoku/>
              <w:wordWrap/>
              <w:overflowPunct/>
              <w:topLinePunct w:val="0"/>
              <w:bidi w:val="0"/>
              <w:spacing w:before="231" w:line="400" w:lineRule="auto"/>
              <w:ind w:left="32" w:right="28" w:firstLine="482"/>
              <w:jc w:val="both"/>
              <w:rPr>
                <w:rFonts w:ascii="宋体" w:hAnsi="宋体" w:eastAsia="宋体" w:cs="宋体"/>
                <w:b w:val="0"/>
                <w:bCs w:val="0"/>
                <w:color w:val="auto"/>
                <w:sz w:val="24"/>
                <w:szCs w:val="24"/>
                <w:u w:val="none" w:color="auto"/>
              </w:rPr>
            </w:pPr>
            <w:r>
              <w:rPr>
                <w:rFonts w:ascii="宋体" w:hAnsi="宋体" w:eastAsia="宋体" w:cs="宋体"/>
                <w:b w:val="0"/>
                <w:bCs w:val="0"/>
                <w:color w:val="auto"/>
                <w:spacing w:val="-5"/>
                <w:sz w:val="24"/>
                <w:szCs w:val="24"/>
                <w:u w:val="none" w:color="auto"/>
              </w:rPr>
              <w:t>参照《排污许可证申请与核发技术规范</w:t>
            </w:r>
            <w:r>
              <w:rPr>
                <w:rFonts w:hint="eastAsia" w:ascii="宋体" w:hAnsi="宋体" w:cs="宋体"/>
                <w:b w:val="0"/>
                <w:bCs w:val="0"/>
                <w:color w:val="auto"/>
                <w:spacing w:val="-5"/>
                <w:sz w:val="24"/>
                <w:szCs w:val="24"/>
                <w:u w:val="none" w:color="auto"/>
                <w:lang w:val="en-US" w:eastAsia="zh-CN"/>
              </w:rPr>
              <w:t xml:space="preserve"> </w:t>
            </w:r>
            <w:r>
              <w:rPr>
                <w:rFonts w:ascii="宋体" w:hAnsi="宋体" w:eastAsia="宋体" w:cs="宋体"/>
                <w:b w:val="0"/>
                <w:bCs w:val="0"/>
                <w:color w:val="auto"/>
                <w:spacing w:val="-5"/>
                <w:sz w:val="24"/>
                <w:szCs w:val="24"/>
                <w:u w:val="none" w:color="auto"/>
              </w:rPr>
              <w:t>家具制造工业》（</w:t>
            </w:r>
            <w:r>
              <w:rPr>
                <w:rFonts w:ascii="Times New Roman" w:hAnsi="Times New Roman" w:eastAsia="Times New Roman" w:cs="Times New Roman"/>
                <w:b w:val="0"/>
                <w:bCs w:val="0"/>
                <w:color w:val="auto"/>
                <w:spacing w:val="-5"/>
                <w:sz w:val="24"/>
                <w:szCs w:val="24"/>
                <w:u w:val="none" w:color="auto"/>
              </w:rPr>
              <w:t>HJ1027-2019</w:t>
            </w:r>
            <w:r>
              <w:rPr>
                <w:rFonts w:ascii="宋体" w:hAnsi="宋体" w:eastAsia="宋体" w:cs="宋体"/>
                <w:b w:val="0"/>
                <w:bCs w:val="0"/>
                <w:color w:val="auto"/>
                <w:spacing w:val="-5"/>
                <w:sz w:val="24"/>
                <w:szCs w:val="24"/>
                <w:u w:val="none" w:color="auto"/>
              </w:rPr>
              <w:t>）</w:t>
            </w:r>
            <w:r>
              <w:rPr>
                <w:rFonts w:ascii="宋体" w:hAnsi="宋体" w:eastAsia="宋体" w:cs="宋体"/>
                <w:b w:val="0"/>
                <w:bCs w:val="0"/>
                <w:color w:val="auto"/>
                <w:spacing w:val="-3"/>
                <w:sz w:val="24"/>
                <w:szCs w:val="24"/>
                <w:u w:val="none" w:color="auto"/>
              </w:rPr>
              <w:t>及《重污染天气重点行业应急减排措施制定技术指南》（</w:t>
            </w:r>
            <w:r>
              <w:rPr>
                <w:rFonts w:ascii="Times New Roman" w:hAnsi="Times New Roman" w:eastAsia="Times New Roman" w:cs="Times New Roman"/>
                <w:b w:val="0"/>
                <w:bCs w:val="0"/>
                <w:color w:val="auto"/>
                <w:spacing w:val="-3"/>
                <w:sz w:val="24"/>
                <w:szCs w:val="24"/>
                <w:u w:val="none" w:color="auto"/>
              </w:rPr>
              <w:t>2020</w:t>
            </w:r>
            <w:r>
              <w:rPr>
                <w:rFonts w:ascii="宋体" w:hAnsi="宋体" w:eastAsia="宋体" w:cs="宋体"/>
                <w:b w:val="0"/>
                <w:bCs w:val="0"/>
                <w:color w:val="auto"/>
                <w:spacing w:val="-3"/>
                <w:sz w:val="24"/>
                <w:szCs w:val="24"/>
                <w:u w:val="none" w:color="auto"/>
              </w:rPr>
              <w:t>年修订版），本</w:t>
            </w:r>
            <w:r>
              <w:rPr>
                <w:rFonts w:ascii="宋体" w:hAnsi="宋体" w:eastAsia="宋体" w:cs="宋体"/>
                <w:b w:val="0"/>
                <w:bCs w:val="0"/>
                <w:color w:val="auto"/>
                <w:spacing w:val="-1"/>
                <w:sz w:val="24"/>
                <w:szCs w:val="24"/>
                <w:u w:val="none" w:color="auto"/>
              </w:rPr>
              <w:t>项目废气污染防治措施可行性分析见下表。</w:t>
            </w:r>
          </w:p>
          <w:p>
            <w:pPr>
              <w:pStyle w:val="33"/>
              <w:keepNext w:val="0"/>
              <w:pageBreakBefore w:val="0"/>
              <w:kinsoku/>
              <w:wordWrap/>
              <w:overflowPunct/>
              <w:topLinePunct w:val="0"/>
              <w:bidi w:val="0"/>
              <w:spacing w:before="1" w:line="220" w:lineRule="auto"/>
              <w:ind w:left="1789"/>
              <w:jc w:val="center"/>
              <w:rPr>
                <w:b/>
                <w:bCs/>
                <w:color w:val="auto"/>
                <w:u w:val="single" w:color="auto"/>
              </w:rPr>
            </w:pPr>
            <w:r>
              <w:rPr>
                <w:b/>
                <w:bCs/>
                <w:color w:val="auto"/>
                <w:spacing w:val="-3"/>
                <w:u w:val="single" w:color="auto"/>
              </w:rPr>
              <w:t>表</w:t>
            </w:r>
            <w:r>
              <w:rPr>
                <w:rFonts w:hint="eastAsia" w:ascii="Times New Roman" w:hAnsi="Times New Roman" w:eastAsia="宋体" w:cs="Times New Roman"/>
                <w:b/>
                <w:bCs/>
                <w:color w:val="auto"/>
                <w:spacing w:val="-3"/>
                <w:u w:val="single" w:color="auto"/>
                <w:lang w:val="en-US" w:eastAsia="zh-CN"/>
              </w:rPr>
              <w:t>4-</w:t>
            </w:r>
            <w:r>
              <w:rPr>
                <w:rFonts w:hint="eastAsia" w:ascii="Times New Roman" w:hAnsi="Times New Roman" w:cs="Times New Roman"/>
                <w:b/>
                <w:bCs/>
                <w:color w:val="auto"/>
                <w:spacing w:val="-3"/>
                <w:u w:val="single" w:color="auto"/>
                <w:lang w:val="en-US" w:eastAsia="zh-CN"/>
              </w:rPr>
              <w:t xml:space="preserve">3  </w:t>
            </w:r>
            <w:r>
              <w:rPr>
                <w:b/>
                <w:bCs/>
                <w:color w:val="auto"/>
                <w:spacing w:val="-3"/>
                <w:u w:val="single" w:color="auto"/>
              </w:rPr>
              <w:t>本项目废气污染防治可行技术一览表</w:t>
            </w:r>
          </w:p>
          <w:p>
            <w:pPr>
              <w:keepNext w:val="0"/>
              <w:pageBreakBefore w:val="0"/>
              <w:kinsoku/>
              <w:wordWrap/>
              <w:overflowPunct/>
              <w:topLinePunct w:val="0"/>
              <w:bidi w:val="0"/>
              <w:spacing w:line="22" w:lineRule="exact"/>
              <w:rPr>
                <w:b/>
                <w:bCs/>
                <w:color w:val="auto"/>
                <w:u w:val="single" w:color="auto"/>
              </w:rPr>
            </w:pPr>
          </w:p>
          <w:tbl>
            <w:tblPr>
              <w:tblStyle w:val="32"/>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748"/>
              <w:gridCol w:w="1143"/>
              <w:gridCol w:w="2071"/>
              <w:gridCol w:w="1869"/>
              <w:gridCol w:w="188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 w:hRule="atLeast"/>
              </w:trPr>
              <w:tc>
                <w:tcPr>
                  <w:tcW w:w="83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5"/>
                      <w:sz w:val="21"/>
                      <w:szCs w:val="21"/>
                      <w:u w:val="single" w:color="auto"/>
                    </w:rPr>
                    <w:t>参照行</w:t>
                  </w: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5"/>
                      <w:sz w:val="21"/>
                      <w:szCs w:val="21"/>
                      <w:u w:val="single" w:color="auto"/>
                    </w:rPr>
                    <w:t>业类别</w:t>
                  </w:r>
                </w:p>
              </w:tc>
              <w:tc>
                <w:tcPr>
                  <w:tcW w:w="74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2"/>
                      <w:sz w:val="21"/>
                      <w:szCs w:val="21"/>
                      <w:u w:val="single" w:color="auto"/>
                    </w:rPr>
                    <w:t>工序</w:t>
                  </w:r>
                </w:p>
              </w:tc>
              <w:tc>
                <w:tcPr>
                  <w:tcW w:w="114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5"/>
                      <w:sz w:val="21"/>
                      <w:szCs w:val="21"/>
                      <w:u w:val="single" w:color="auto"/>
                    </w:rPr>
                    <w:t>污染物</w:t>
                  </w:r>
                </w:p>
              </w:tc>
              <w:tc>
                <w:tcPr>
                  <w:tcW w:w="2071"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7"/>
                      <w:sz w:val="21"/>
                      <w:szCs w:val="21"/>
                      <w:u w:val="single" w:color="auto"/>
                    </w:rPr>
                    <w:t>排污许可可行技术</w:t>
                  </w:r>
                </w:p>
              </w:tc>
              <w:tc>
                <w:tcPr>
                  <w:tcW w:w="1869"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4"/>
                      <w:sz w:val="21"/>
                      <w:szCs w:val="21"/>
                      <w:u w:val="single" w:color="auto"/>
                    </w:rPr>
                    <w:t>绩效分级</w:t>
                  </w:r>
                  <w:r>
                    <w:rPr>
                      <w:rFonts w:ascii="Times New Roman" w:hAnsi="Times New Roman" w:eastAsia="Times New Roman" w:cs="Times New Roman"/>
                      <w:b/>
                      <w:bCs/>
                      <w:color w:val="auto"/>
                      <w:spacing w:val="4"/>
                      <w:sz w:val="21"/>
                      <w:szCs w:val="21"/>
                      <w:u w:val="single" w:color="auto"/>
                    </w:rPr>
                    <w:t>A</w:t>
                  </w:r>
                  <w:r>
                    <w:rPr>
                      <w:rFonts w:ascii="宋体" w:hAnsi="宋体" w:eastAsia="宋体" w:cs="宋体"/>
                      <w:b/>
                      <w:bCs/>
                      <w:color w:val="auto"/>
                      <w:spacing w:val="4"/>
                      <w:sz w:val="21"/>
                      <w:szCs w:val="21"/>
                      <w:u w:val="single" w:color="auto"/>
                    </w:rPr>
                    <w:t>级可行技术</w:t>
                  </w:r>
                </w:p>
              </w:tc>
              <w:tc>
                <w:tcPr>
                  <w:tcW w:w="18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7"/>
                      <w:sz w:val="21"/>
                      <w:szCs w:val="21"/>
                      <w:u w:val="single" w:color="auto"/>
                    </w:rPr>
                    <w:t>本项目采用技术</w:t>
                  </w:r>
                </w:p>
              </w:tc>
              <w:tc>
                <w:tcPr>
                  <w:tcW w:w="7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5"/>
                      <w:sz w:val="21"/>
                      <w:szCs w:val="21"/>
                      <w:u w:val="single" w:color="auto"/>
                    </w:rPr>
                    <w:t>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5" w:hRule="atLeast"/>
              </w:trPr>
              <w:tc>
                <w:tcPr>
                  <w:tcW w:w="838"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5"/>
                      <w:sz w:val="21"/>
                      <w:szCs w:val="21"/>
                      <w:u w:val="single" w:color="auto"/>
                    </w:rPr>
                    <w:t>家具制</w:t>
                  </w: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5"/>
                      <w:sz w:val="21"/>
                      <w:szCs w:val="21"/>
                      <w:u w:val="single" w:color="auto"/>
                    </w:rPr>
                    <w:t>造工业</w:t>
                  </w:r>
                </w:p>
              </w:tc>
              <w:tc>
                <w:tcPr>
                  <w:tcW w:w="74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3"/>
                      <w:sz w:val="21"/>
                      <w:szCs w:val="21"/>
                      <w:u w:val="single" w:color="auto"/>
                    </w:rPr>
                    <w:t>木工</w:t>
                  </w: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2"/>
                      <w:sz w:val="21"/>
                      <w:szCs w:val="21"/>
                      <w:u w:val="single" w:color="auto"/>
                    </w:rPr>
                    <w:t>工序</w:t>
                  </w:r>
                </w:p>
              </w:tc>
              <w:tc>
                <w:tcPr>
                  <w:tcW w:w="114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5"/>
                      <w:sz w:val="21"/>
                      <w:szCs w:val="21"/>
                      <w:u w:val="single" w:color="auto"/>
                    </w:rPr>
                    <w:t>颗粒物</w:t>
                  </w:r>
                </w:p>
              </w:tc>
              <w:tc>
                <w:tcPr>
                  <w:tcW w:w="2071"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5"/>
                      <w:sz w:val="21"/>
                      <w:szCs w:val="21"/>
                      <w:u w:val="single" w:color="auto"/>
                    </w:rPr>
                    <w:t>集尘罩</w:t>
                  </w: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1"/>
                      <w:sz w:val="21"/>
                      <w:szCs w:val="21"/>
                      <w:u w:val="single" w:color="auto"/>
                    </w:rPr>
                    <w:t>中央除尘</w:t>
                  </w: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6"/>
                      <w:sz w:val="21"/>
                      <w:szCs w:val="21"/>
                      <w:u w:val="single" w:color="auto"/>
                    </w:rPr>
                    <w:t>袋式除尘</w:t>
                  </w:r>
                </w:p>
              </w:tc>
              <w:tc>
                <w:tcPr>
                  <w:tcW w:w="1869"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3"/>
                      <w:sz w:val="21"/>
                      <w:szCs w:val="21"/>
                      <w:u w:val="single" w:color="auto"/>
                    </w:rPr>
                    <w:t>中央除尘系统</w:t>
                  </w:r>
                </w:p>
              </w:tc>
              <w:tc>
                <w:tcPr>
                  <w:tcW w:w="18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2"/>
                      <w:sz w:val="21"/>
                      <w:szCs w:val="21"/>
                      <w:u w:val="single" w:color="auto"/>
                    </w:rPr>
                    <w:t>中央除尘器</w:t>
                  </w:r>
                </w:p>
              </w:tc>
              <w:tc>
                <w:tcPr>
                  <w:tcW w:w="7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z w:val="21"/>
                      <w:szCs w:val="21"/>
                      <w:u w:val="single" w:color="auto"/>
                    </w:rPr>
                  </w:pPr>
                  <w:r>
                    <w:rPr>
                      <w:rFonts w:ascii="宋体" w:hAnsi="宋体" w:eastAsia="宋体" w:cs="宋体"/>
                      <w:b/>
                      <w:bCs/>
                      <w:color w:val="auto"/>
                      <w:spacing w:val="3"/>
                      <w:sz w:val="21"/>
                      <w:szCs w:val="21"/>
                      <w:u w:val="single" w:color="auto"/>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5" w:hRule="atLeast"/>
              </w:trPr>
              <w:tc>
                <w:tcPr>
                  <w:tcW w:w="838"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pacing w:val="5"/>
                      <w:sz w:val="21"/>
                      <w:szCs w:val="21"/>
                      <w:u w:val="single" w:color="auto"/>
                    </w:rPr>
                  </w:pPr>
                </w:p>
              </w:tc>
              <w:tc>
                <w:tcPr>
                  <w:tcW w:w="74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b/>
                      <w:bCs/>
                      <w:color w:val="auto"/>
                      <w:spacing w:val="2"/>
                      <w:sz w:val="21"/>
                      <w:szCs w:val="21"/>
                      <w:u w:val="single" w:color="auto"/>
                      <w:lang w:val="en-US" w:eastAsia="zh-CN"/>
                    </w:rPr>
                  </w:pPr>
                  <w:r>
                    <w:rPr>
                      <w:rFonts w:hint="eastAsia" w:ascii="宋体" w:hAnsi="宋体" w:cs="宋体"/>
                      <w:b/>
                      <w:bCs/>
                      <w:color w:val="auto"/>
                      <w:spacing w:val="2"/>
                      <w:sz w:val="21"/>
                      <w:szCs w:val="21"/>
                      <w:u w:val="single" w:color="auto"/>
                      <w:lang w:val="en-US" w:eastAsia="zh-CN"/>
                    </w:rPr>
                    <w:t>封边、粘贴工序</w:t>
                  </w:r>
                </w:p>
              </w:tc>
              <w:tc>
                <w:tcPr>
                  <w:tcW w:w="1143"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b/>
                      <w:bCs/>
                      <w:color w:val="auto"/>
                      <w:spacing w:val="5"/>
                      <w:sz w:val="21"/>
                      <w:szCs w:val="21"/>
                      <w:u w:val="single" w:color="auto"/>
                      <w:lang w:val="en-US" w:eastAsia="zh-CN"/>
                    </w:rPr>
                  </w:pPr>
                  <w:r>
                    <w:rPr>
                      <w:rFonts w:hint="eastAsia" w:ascii="宋体" w:hAnsi="宋体" w:cs="宋体"/>
                      <w:b/>
                      <w:bCs/>
                      <w:color w:val="auto"/>
                      <w:spacing w:val="5"/>
                      <w:sz w:val="21"/>
                      <w:szCs w:val="21"/>
                      <w:u w:val="single" w:color="auto"/>
                      <w:lang w:val="en-US" w:eastAsia="zh-CN"/>
                    </w:rPr>
                    <w:t>非甲烷总烃</w:t>
                  </w:r>
                </w:p>
              </w:tc>
              <w:tc>
                <w:tcPr>
                  <w:tcW w:w="2071"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color w:val="auto"/>
                      <w:spacing w:val="6"/>
                      <w:sz w:val="21"/>
                      <w:szCs w:val="21"/>
                      <w:u w:val="single" w:color="auto"/>
                    </w:rPr>
                  </w:pPr>
                  <w:r>
                    <w:rPr>
                      <w:rFonts w:hint="eastAsia" w:ascii="宋体" w:hAnsi="宋体" w:eastAsia="宋体" w:cs="宋体"/>
                      <w:b/>
                      <w:bCs/>
                      <w:color w:val="auto"/>
                      <w:spacing w:val="6"/>
                      <w:sz w:val="21"/>
                      <w:szCs w:val="21"/>
                      <w:u w:val="single" w:color="auto"/>
                    </w:rPr>
                    <w:t>集气设施或密闭车间</w:t>
                  </w: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color w:val="auto"/>
                      <w:spacing w:val="6"/>
                      <w:sz w:val="21"/>
                      <w:szCs w:val="21"/>
                      <w:u w:val="single" w:color="auto"/>
                    </w:rPr>
                  </w:pPr>
                  <w:r>
                    <w:rPr>
                      <w:rFonts w:hint="eastAsia" w:ascii="宋体" w:hAnsi="宋体" w:eastAsia="宋体" w:cs="宋体"/>
                      <w:b/>
                      <w:bCs/>
                      <w:color w:val="auto"/>
                      <w:spacing w:val="6"/>
                      <w:sz w:val="21"/>
                      <w:szCs w:val="21"/>
                      <w:u w:val="single" w:color="auto"/>
                    </w:rPr>
                    <w:t>干式过滤棉/过滤箱</w:t>
                  </w: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color w:val="auto"/>
                      <w:spacing w:val="6"/>
                      <w:sz w:val="21"/>
                      <w:szCs w:val="21"/>
                      <w:u w:val="single" w:color="auto"/>
                    </w:rPr>
                  </w:pPr>
                  <w:r>
                    <w:rPr>
                      <w:rFonts w:hint="eastAsia" w:ascii="宋体" w:hAnsi="宋体" w:eastAsia="宋体" w:cs="宋体"/>
                      <w:b/>
                      <w:bCs/>
                      <w:color w:val="auto"/>
                      <w:spacing w:val="6"/>
                      <w:sz w:val="21"/>
                      <w:szCs w:val="21"/>
                      <w:u w:val="single" w:color="auto"/>
                    </w:rPr>
                    <w:t>活性炭吸附</w:t>
                  </w: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color w:val="auto"/>
                      <w:spacing w:val="6"/>
                      <w:sz w:val="21"/>
                      <w:szCs w:val="21"/>
                      <w:u w:val="single" w:color="auto"/>
                    </w:rPr>
                  </w:pPr>
                  <w:r>
                    <w:rPr>
                      <w:rFonts w:hint="eastAsia" w:ascii="宋体" w:hAnsi="宋体" w:eastAsia="宋体" w:cs="宋体"/>
                      <w:b/>
                      <w:bCs/>
                      <w:color w:val="auto"/>
                      <w:spacing w:val="6"/>
                      <w:sz w:val="21"/>
                      <w:szCs w:val="21"/>
                      <w:u w:val="single" w:color="auto"/>
                    </w:rPr>
                    <w:t>浓缩+燃烧/催化氧化</w:t>
                  </w:r>
                </w:p>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color w:val="auto"/>
                      <w:spacing w:val="6"/>
                      <w:sz w:val="21"/>
                      <w:szCs w:val="21"/>
                      <w:u w:val="single" w:color="auto"/>
                    </w:rPr>
                  </w:pPr>
                  <w:r>
                    <w:rPr>
                      <w:rFonts w:hint="eastAsia" w:ascii="宋体" w:hAnsi="宋体" w:eastAsia="宋体" w:cs="宋体"/>
                      <w:b/>
                      <w:bCs/>
                      <w:color w:val="auto"/>
                      <w:spacing w:val="6"/>
                      <w:sz w:val="21"/>
                      <w:szCs w:val="21"/>
                      <w:u w:val="single" w:color="auto"/>
                    </w:rPr>
                    <w:t>其他</w:t>
                  </w:r>
                </w:p>
              </w:tc>
              <w:tc>
                <w:tcPr>
                  <w:tcW w:w="1869"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color w:val="auto"/>
                      <w:spacing w:val="3"/>
                      <w:sz w:val="21"/>
                      <w:szCs w:val="21"/>
                      <w:u w:val="single" w:color="auto"/>
                      <w:lang w:val="en-US" w:eastAsia="zh-CN"/>
                    </w:rPr>
                  </w:pPr>
                  <w:r>
                    <w:rPr>
                      <w:rFonts w:hint="eastAsia" w:ascii="宋体" w:hAnsi="宋体" w:eastAsia="宋体" w:cs="宋体"/>
                      <w:b/>
                      <w:bCs/>
                      <w:color w:val="auto"/>
                      <w:spacing w:val="3"/>
                      <w:sz w:val="21"/>
                      <w:szCs w:val="21"/>
                      <w:u w:val="single" w:color="auto"/>
                      <w:lang w:val="en-US" w:eastAsia="zh-CN"/>
                    </w:rPr>
                    <w:t>使用的水性和本体胶粘剂满足《胶粘剂挥发性有机化合物限量》（GB33372-2020）要求</w:t>
                  </w:r>
                </w:p>
              </w:tc>
              <w:tc>
                <w:tcPr>
                  <w:tcW w:w="18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b/>
                      <w:bCs/>
                      <w:color w:val="auto"/>
                      <w:spacing w:val="2"/>
                      <w:sz w:val="21"/>
                      <w:szCs w:val="21"/>
                      <w:u w:val="single" w:color="auto"/>
                      <w:lang w:val="en-US" w:eastAsia="zh-CN"/>
                    </w:rPr>
                  </w:pPr>
                  <w:r>
                    <w:rPr>
                      <w:rFonts w:hint="eastAsia" w:ascii="宋体" w:hAnsi="宋体" w:cs="宋体"/>
                      <w:b/>
                      <w:bCs/>
                      <w:color w:val="auto"/>
                      <w:spacing w:val="2"/>
                      <w:sz w:val="21"/>
                      <w:szCs w:val="21"/>
                      <w:u w:val="single" w:color="auto"/>
                      <w:lang w:val="en-US" w:eastAsia="zh-CN"/>
                    </w:rPr>
                    <w:t>海绵胶采用水性海绵胶，废气采用两级活性炭吸附</w:t>
                  </w:r>
                </w:p>
              </w:tc>
              <w:tc>
                <w:tcPr>
                  <w:tcW w:w="7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宋体" w:hAnsi="宋体" w:eastAsia="宋体" w:cs="宋体"/>
                      <w:b/>
                      <w:bCs/>
                      <w:color w:val="auto"/>
                      <w:spacing w:val="3"/>
                      <w:sz w:val="21"/>
                      <w:szCs w:val="21"/>
                      <w:u w:val="single" w:color="auto"/>
                      <w:lang w:val="en-US" w:eastAsia="zh-CN"/>
                    </w:rPr>
                  </w:pPr>
                  <w:r>
                    <w:rPr>
                      <w:rFonts w:hint="eastAsia" w:ascii="宋体" w:hAnsi="宋体" w:cs="宋体"/>
                      <w:b/>
                      <w:bCs/>
                      <w:color w:val="auto"/>
                      <w:spacing w:val="3"/>
                      <w:sz w:val="21"/>
                      <w:szCs w:val="21"/>
                      <w:u w:val="single" w:color="auto"/>
                      <w:lang w:val="en-US" w:eastAsia="zh-CN"/>
                    </w:rPr>
                    <w:t>可行</w:t>
                  </w:r>
                </w:p>
              </w:tc>
            </w:tr>
          </w:tbl>
          <w:p>
            <w:pPr>
              <w:keepNext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ascii="Times New Roman" w:hAnsi="Times New Roman" w:eastAsia="宋体" w:cs="Times New Roman"/>
                <w:b/>
                <w:bCs/>
                <w:color w:val="auto"/>
                <w:u w:val="single" w:color="auto"/>
              </w:rPr>
            </w:pPr>
            <w:r>
              <w:rPr>
                <w:rFonts w:ascii="Times New Roman" w:hAnsi="Times New Roman" w:eastAsia="宋体" w:cs="Times New Roman"/>
                <w:b/>
                <w:bCs/>
                <w:color w:val="auto"/>
                <w:u w:val="single" w:color="auto"/>
              </w:rPr>
              <w:t>由上表可知，《重污染天气重点行业应急减排措施制定技术指南》（2020年修订版）</w:t>
            </w:r>
            <w:r>
              <w:rPr>
                <w:rFonts w:hint="eastAsia" w:cs="Times New Roman"/>
                <w:b/>
                <w:bCs/>
                <w:color w:val="auto"/>
                <w:u w:val="single" w:color="auto"/>
                <w:lang w:val="en-US" w:eastAsia="zh-CN"/>
              </w:rPr>
              <w:t>中未包含封边、粘贴工序产生的有机废气的可行技术，仅规定原料采用水性和本体胶粘剂满足《胶粘剂挥发性有机化合物限量》（GB33372-2020）要求。因此，</w:t>
            </w:r>
            <w:r>
              <w:rPr>
                <w:rFonts w:ascii="Times New Roman" w:hAnsi="Times New Roman" w:eastAsia="宋体" w:cs="Times New Roman"/>
                <w:b/>
                <w:bCs/>
                <w:color w:val="auto"/>
                <w:u w:val="single" w:color="auto"/>
              </w:rPr>
              <w:t>本项目木加工工序采用中央除尘</w:t>
            </w:r>
            <w:r>
              <w:rPr>
                <w:rFonts w:hint="eastAsia" w:ascii="Times New Roman" w:hAnsi="Times New Roman" w:eastAsia="宋体" w:cs="Times New Roman"/>
                <w:b/>
                <w:bCs/>
                <w:color w:val="auto"/>
                <w:u w:val="single" w:color="auto"/>
                <w:lang w:eastAsia="zh-CN"/>
              </w:rPr>
              <w:t>，</w:t>
            </w:r>
            <w:r>
              <w:rPr>
                <w:rFonts w:hint="eastAsia" w:cs="Times New Roman"/>
                <w:b/>
                <w:bCs/>
                <w:color w:val="auto"/>
                <w:u w:val="single" w:color="auto"/>
                <w:lang w:val="en-US" w:eastAsia="zh-CN"/>
              </w:rPr>
              <w:t>封边、粘贴</w:t>
            </w:r>
            <w:r>
              <w:rPr>
                <w:rFonts w:hint="eastAsia" w:ascii="Times New Roman" w:hAnsi="Times New Roman" w:eastAsia="宋体" w:cs="Times New Roman"/>
                <w:b/>
                <w:bCs/>
                <w:color w:val="auto"/>
                <w:u w:val="single" w:color="auto"/>
                <w:lang w:val="en-US" w:eastAsia="zh-CN"/>
              </w:rPr>
              <w:t>工序</w:t>
            </w:r>
            <w:r>
              <w:rPr>
                <w:rFonts w:hint="eastAsia" w:cs="Times New Roman"/>
                <w:b/>
                <w:bCs/>
                <w:color w:val="auto"/>
                <w:u w:val="single" w:color="auto"/>
                <w:lang w:val="en-US" w:eastAsia="zh-CN"/>
              </w:rPr>
              <w:t>废气采用</w:t>
            </w:r>
            <w:r>
              <w:rPr>
                <w:rFonts w:hint="eastAsia" w:cs="Times New Roman"/>
                <w:b/>
                <w:bCs/>
                <w:color w:val="auto"/>
                <w:u w:val="single" w:color="auto"/>
                <w:lang w:eastAsia="zh-CN"/>
              </w:rPr>
              <w:t>两级活性炭吸附</w:t>
            </w:r>
            <w:r>
              <w:rPr>
                <w:rFonts w:hint="eastAsia" w:cs="Times New Roman"/>
                <w:b/>
                <w:bCs/>
                <w:color w:val="auto"/>
                <w:u w:val="single" w:color="auto"/>
                <w:lang w:val="en-US" w:eastAsia="zh-CN"/>
              </w:rPr>
              <w:t>法</w:t>
            </w:r>
            <w:r>
              <w:rPr>
                <w:rFonts w:ascii="Times New Roman" w:hAnsi="Times New Roman" w:eastAsia="宋体" w:cs="Times New Roman"/>
                <w:b/>
                <w:bCs/>
                <w:color w:val="auto"/>
                <w:u w:val="single" w:color="auto"/>
              </w:rPr>
              <w:t>为可行技术措施。</w:t>
            </w:r>
          </w:p>
          <w:p>
            <w:pPr>
              <w:keepNext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default" w:cs="Times New Roman"/>
                <w:b/>
                <w:bCs/>
                <w:color w:val="auto"/>
                <w:u w:val="single"/>
                <w:lang w:val="en-US" w:eastAsia="zh-CN"/>
              </w:rPr>
            </w:pPr>
            <w:r>
              <w:rPr>
                <w:rFonts w:hint="eastAsia" w:cs="Times New Roman"/>
                <w:b/>
                <w:bCs/>
                <w:color w:val="auto"/>
                <w:u w:val="single"/>
                <w:lang w:val="en-US" w:eastAsia="zh-CN"/>
              </w:rPr>
              <w:t>活性炭规格及填装要求：</w:t>
            </w:r>
          </w:p>
          <w:p>
            <w:pPr>
              <w:keepNext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ascii="Times New Roman" w:hAnsi="Times New Roman" w:eastAsia="宋体" w:cs="Times New Roman"/>
                <w:color w:val="auto"/>
              </w:rPr>
            </w:pPr>
            <w:r>
              <w:rPr>
                <w:rFonts w:hint="eastAsia" w:cs="Times New Roman"/>
                <w:b/>
                <w:bCs/>
                <w:color w:val="auto"/>
                <w:u w:val="single"/>
                <w:lang w:val="en-US" w:eastAsia="zh-CN"/>
              </w:rPr>
              <w:t>两级活性炭吸附装置</w:t>
            </w:r>
            <w:r>
              <w:rPr>
                <w:rFonts w:hint="eastAsia" w:ascii="Times New Roman" w:hAnsi="Times New Roman" w:eastAsia="宋体" w:cs="Times New Roman"/>
                <w:b/>
                <w:bCs/>
                <w:color w:val="auto"/>
                <w:u w:val="single"/>
              </w:rPr>
              <w:t>所需蜂窝活性炭块</w:t>
            </w:r>
            <w:r>
              <w:rPr>
                <w:rFonts w:hint="eastAsia" w:cs="Times New Roman"/>
                <w:b/>
                <w:bCs/>
                <w:color w:val="auto"/>
                <w:u w:val="single"/>
                <w:lang w:val="en-US" w:eastAsia="zh-CN"/>
              </w:rPr>
              <w:t>1</w:t>
            </w:r>
            <w:r>
              <w:rPr>
                <w:rFonts w:hint="eastAsia" w:ascii="Times New Roman" w:hAnsi="Times New Roman" w:eastAsia="宋体" w:cs="Times New Roman"/>
                <w:b/>
                <w:bCs/>
                <w:color w:val="auto"/>
                <w:u w:val="single"/>
              </w:rPr>
              <w:t>m</w:t>
            </w:r>
            <w:r>
              <w:rPr>
                <w:rFonts w:hint="eastAsia" w:cs="Times New Roman"/>
                <w:b/>
                <w:bCs/>
                <w:color w:val="auto"/>
                <w:u w:val="single"/>
                <w:vertAlign w:val="superscript"/>
                <w:lang w:val="en-US" w:eastAsia="zh-CN"/>
              </w:rPr>
              <w:t>3</w:t>
            </w:r>
            <w:r>
              <w:rPr>
                <w:rFonts w:hint="eastAsia" w:cs="Times New Roman"/>
                <w:b/>
                <w:bCs/>
                <w:color w:val="auto"/>
                <w:u w:val="single"/>
                <w:lang w:eastAsia="zh-CN"/>
              </w:rPr>
              <w:t>，</w:t>
            </w:r>
            <w:r>
              <w:rPr>
                <w:rFonts w:hint="eastAsia" w:ascii="Times New Roman" w:hAnsi="Times New Roman" w:eastAsia="宋体" w:cs="Times New Roman"/>
                <w:b/>
                <w:bCs/>
                <w:color w:val="auto"/>
                <w:u w:val="single"/>
              </w:rPr>
              <w:t>吸附采用的蜂窝活性炭规格100</w:t>
            </w:r>
            <w:r>
              <w:rPr>
                <w:rFonts w:hint="eastAsia" w:cs="Times New Roman"/>
                <w:b/>
                <w:bCs/>
                <w:color w:val="auto"/>
                <w:u w:val="single"/>
                <w:lang w:val="en-US" w:eastAsia="zh-CN"/>
              </w:rPr>
              <w:t>×</w:t>
            </w:r>
            <w:r>
              <w:rPr>
                <w:rFonts w:hint="eastAsia" w:ascii="Times New Roman" w:hAnsi="Times New Roman" w:eastAsia="宋体" w:cs="Times New Roman"/>
                <w:b/>
                <w:bCs/>
                <w:color w:val="auto"/>
                <w:u w:val="single"/>
              </w:rPr>
              <w:t>100</w:t>
            </w:r>
            <w:r>
              <w:rPr>
                <w:rFonts w:hint="eastAsia" w:cs="Times New Roman"/>
                <w:b/>
                <w:bCs/>
                <w:color w:val="auto"/>
                <w:u w:val="single"/>
                <w:lang w:val="en-US" w:eastAsia="zh-CN"/>
              </w:rPr>
              <w:t>×</w:t>
            </w:r>
            <w:r>
              <w:rPr>
                <w:rFonts w:hint="eastAsia" w:ascii="Times New Roman" w:hAnsi="Times New Roman" w:eastAsia="宋体" w:cs="Times New Roman"/>
                <w:b/>
                <w:bCs/>
                <w:color w:val="auto"/>
                <w:u w:val="single"/>
              </w:rPr>
              <w:t>100mm，活性炭体积密度为480</w:t>
            </w:r>
            <w:r>
              <w:rPr>
                <w:rFonts w:hint="eastAsia" w:cs="Times New Roman"/>
                <w:b/>
                <w:bCs/>
                <w:color w:val="auto"/>
                <w:u w:val="single"/>
                <w:lang w:val="en-US" w:eastAsia="zh-CN"/>
              </w:rPr>
              <w:t>±</w:t>
            </w:r>
            <w:r>
              <w:rPr>
                <w:rFonts w:hint="eastAsia" w:ascii="Times New Roman" w:hAnsi="Times New Roman" w:eastAsia="宋体" w:cs="Times New Roman"/>
                <w:b/>
                <w:bCs/>
                <w:color w:val="auto"/>
                <w:u w:val="single"/>
              </w:rPr>
              <w:t>50kg/m</w:t>
            </w:r>
            <w:r>
              <w:rPr>
                <w:rFonts w:hint="eastAsia" w:cs="Times New Roman"/>
                <w:b/>
                <w:bCs/>
                <w:color w:val="auto"/>
                <w:u w:val="single"/>
                <w:vertAlign w:val="superscript"/>
                <w:lang w:val="en-US" w:eastAsia="zh-CN"/>
              </w:rPr>
              <w:t>3</w:t>
            </w:r>
            <w:r>
              <w:rPr>
                <w:rFonts w:hint="eastAsia" w:ascii="Times New Roman" w:hAnsi="Times New Roman" w:eastAsia="宋体" w:cs="Times New Roman"/>
                <w:b/>
                <w:bCs/>
                <w:color w:val="auto"/>
                <w:u w:val="single"/>
              </w:rPr>
              <w:t>，即本项目吸附使用的蜂窝活性炭约</w:t>
            </w:r>
            <w:r>
              <w:rPr>
                <w:rFonts w:hint="eastAsia" w:cs="Times New Roman"/>
                <w:b/>
                <w:bCs/>
                <w:color w:val="auto"/>
                <w:u w:val="single"/>
                <w:lang w:val="en-US" w:eastAsia="zh-CN"/>
              </w:rPr>
              <w:t>0.</w:t>
            </w:r>
            <w:r>
              <w:rPr>
                <w:rFonts w:hint="eastAsia" w:ascii="Times New Roman" w:hAnsi="Times New Roman" w:eastAsia="宋体" w:cs="Times New Roman"/>
                <w:b/>
                <w:bCs/>
                <w:color w:val="auto"/>
                <w:u w:val="single"/>
              </w:rPr>
              <w:t>5t。采用的活性炭碘值为850毫克/克，并按设计要求足量添加、及时更换，并做好活性炭购买、更换、废活性炭暂存转运记录。</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Times New Roman" w:hAnsi="Times New Roman" w:eastAsia="宋体" w:cs="Times New Roman"/>
                <w:color w:val="auto"/>
                <w:lang w:eastAsia="zh-CN"/>
              </w:rPr>
            </w:pPr>
            <w:r>
              <w:rPr>
                <w:rFonts w:ascii="Times New Roman" w:hAnsi="Times New Roman" w:eastAsia="宋体" w:cs="Times New Roman"/>
                <w:color w:val="auto"/>
              </w:rPr>
              <w:t>根据河南省生态环境厅关于印发《河南省低效失效大气污染治理设施排查整治实施方案》的通知中“</w:t>
            </w:r>
            <w:r>
              <w:rPr>
                <w:rFonts w:hint="eastAsia" w:ascii="Times New Roman" w:hAnsi="Times New Roman" w:eastAsia="宋体" w:cs="Times New Roman"/>
                <w:color w:val="auto"/>
              </w:rPr>
              <w:t>大气污染治理设施低效失效的情形</w:t>
            </w:r>
            <w:r>
              <w:rPr>
                <w:rFonts w:ascii="Times New Roman" w:hAnsi="Times New Roman" w:eastAsia="宋体" w:cs="Times New Roman"/>
                <w:color w:val="auto"/>
              </w:rPr>
              <w:t>”，本项目粉尘处理采用中央除尘器</w:t>
            </w:r>
            <w:r>
              <w:rPr>
                <w:rFonts w:hint="eastAsia" w:cs="Times New Roman"/>
                <w:color w:val="auto"/>
                <w:lang w:eastAsia="zh-CN"/>
              </w:rPr>
              <w:t>，</w:t>
            </w:r>
            <w:r>
              <w:rPr>
                <w:rFonts w:hint="eastAsia" w:cs="Times New Roman"/>
                <w:color w:val="auto"/>
                <w:lang w:val="en-US" w:eastAsia="zh-CN"/>
              </w:rPr>
              <w:t>设计去除效率98%</w:t>
            </w:r>
            <w:r>
              <w:rPr>
                <w:rFonts w:ascii="Times New Roman" w:hAnsi="Times New Roman" w:eastAsia="宋体" w:cs="Times New Roman"/>
                <w:color w:val="auto"/>
              </w:rPr>
              <w:t>，不属于低效失效废气处理装置；有机废气采用</w:t>
            </w:r>
            <w:r>
              <w:rPr>
                <w:rFonts w:hint="eastAsia" w:cs="Times New Roman"/>
                <w:color w:val="auto"/>
                <w:lang w:eastAsia="zh-CN"/>
              </w:rPr>
              <w:t>两级活性炭吸附</w:t>
            </w:r>
            <w:r>
              <w:rPr>
                <w:rFonts w:ascii="Times New Roman" w:hAnsi="Times New Roman" w:eastAsia="宋体" w:cs="Times New Roman"/>
                <w:color w:val="auto"/>
              </w:rPr>
              <w:t>进行处理</w:t>
            </w:r>
            <w:r>
              <w:rPr>
                <w:rFonts w:hint="eastAsia" w:cs="Times New Roman"/>
                <w:color w:val="auto"/>
                <w:lang w:eastAsia="zh-CN"/>
              </w:rPr>
              <w:t>，</w:t>
            </w:r>
            <w:r>
              <w:rPr>
                <w:rFonts w:hint="eastAsia" w:cs="Times New Roman"/>
                <w:color w:val="auto"/>
                <w:lang w:val="en-US" w:eastAsia="zh-CN"/>
              </w:rPr>
              <w:t>设计去除效率85%</w:t>
            </w:r>
            <w:r>
              <w:rPr>
                <w:rFonts w:ascii="Times New Roman" w:hAnsi="Times New Roman" w:eastAsia="宋体" w:cs="Times New Roman"/>
                <w:color w:val="auto"/>
              </w:rPr>
              <w:t>，活性炭使用选取碘值不低于800mg/g的颗粒状或柱状活性炭，不属于低效失效有机废气处理装置。</w:t>
            </w:r>
            <w:r>
              <w:rPr>
                <w:rFonts w:hint="eastAsia" w:cs="Times New Roman"/>
                <w:color w:val="auto"/>
                <w:lang w:val="en-US" w:eastAsia="zh-CN"/>
              </w:rPr>
              <w:t>同时建议建设单位在运行过程中加强管理、定期维护确保达到设计去除效率，避免成为</w:t>
            </w:r>
            <w:r>
              <w:rPr>
                <w:rFonts w:ascii="Times New Roman" w:hAnsi="Times New Roman" w:eastAsia="宋体" w:cs="Times New Roman"/>
                <w:color w:val="auto"/>
              </w:rPr>
              <w:t>低效失效废气处理装置</w:t>
            </w:r>
            <w:r>
              <w:rPr>
                <w:rFonts w:hint="eastAsia" w:ascii="Times New Roman" w:hAnsi="Times New Roman" w:cs="Times New Roman"/>
                <w:color w:val="auto"/>
                <w:lang w:eastAsia="zh-CN"/>
              </w:rPr>
              <w:t>。</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ascii="Times New Roman" w:hAnsi="Times New Roman" w:eastAsia="宋体" w:cs="Times New Roman"/>
                <w:color w:val="auto"/>
              </w:rPr>
            </w:pPr>
            <w:r>
              <w:rPr>
                <w:rFonts w:ascii="Times New Roman" w:hAnsi="Times New Roman" w:eastAsia="宋体" w:cs="Times New Roman"/>
                <w:color w:val="auto"/>
              </w:rPr>
              <w:t>综上所述，项目废气污染防治措施可行。</w:t>
            </w:r>
          </w:p>
          <w:p>
            <w:pPr>
              <w:keepNext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b/>
                <w:bCs/>
                <w:color w:val="auto"/>
                <w:lang w:val="en-US" w:eastAsia="zh-CN"/>
              </w:rPr>
            </w:pPr>
            <w:r>
              <w:rPr>
                <w:rFonts w:hint="eastAsia"/>
                <w:b/>
                <w:bCs/>
                <w:color w:val="auto"/>
              </w:rPr>
              <w:t>（</w:t>
            </w:r>
            <w:r>
              <w:rPr>
                <w:rFonts w:hint="eastAsia"/>
                <w:b/>
                <w:bCs/>
                <w:color w:val="auto"/>
                <w:lang w:val="en-US" w:eastAsia="zh-CN"/>
              </w:rPr>
              <w:t>3</w:t>
            </w:r>
            <w:r>
              <w:rPr>
                <w:rFonts w:hint="eastAsia"/>
                <w:b/>
                <w:bCs/>
                <w:color w:val="auto"/>
              </w:rPr>
              <w:t>）</w:t>
            </w:r>
            <w:r>
              <w:rPr>
                <w:rFonts w:hint="eastAsia"/>
                <w:b/>
                <w:bCs/>
                <w:color w:val="auto"/>
                <w:lang w:val="en-US" w:eastAsia="zh-CN"/>
              </w:rPr>
              <w:t>非正常工况环境影响分析</w:t>
            </w:r>
          </w:p>
          <w:p>
            <w:pPr>
              <w:pStyle w:val="33"/>
              <w:keepNext w:val="0"/>
              <w:pageBreakBefore w:val="0"/>
              <w:kinsoku/>
              <w:wordWrap/>
              <w:overflowPunct/>
              <w:topLinePunct w:val="0"/>
              <w:bidi w:val="0"/>
              <w:spacing w:before="1" w:line="220" w:lineRule="auto"/>
              <w:ind w:left="1789"/>
              <w:jc w:val="center"/>
              <w:rPr>
                <w:b/>
                <w:bCs/>
                <w:color w:val="auto"/>
                <w:u w:val="none" w:color="auto"/>
              </w:rPr>
            </w:pPr>
            <w:r>
              <w:rPr>
                <w:b/>
                <w:bCs/>
                <w:color w:val="auto"/>
                <w:spacing w:val="-3"/>
                <w:u w:val="none" w:color="auto"/>
              </w:rPr>
              <w:t>表</w:t>
            </w:r>
            <w:r>
              <w:rPr>
                <w:rFonts w:hint="eastAsia" w:ascii="Times New Roman" w:hAnsi="Times New Roman" w:eastAsia="宋体" w:cs="Times New Roman"/>
                <w:b/>
                <w:bCs/>
                <w:color w:val="auto"/>
                <w:spacing w:val="-3"/>
                <w:u w:val="none" w:color="auto"/>
                <w:lang w:val="en-US" w:eastAsia="zh-CN"/>
              </w:rPr>
              <w:t>4-</w:t>
            </w:r>
            <w:r>
              <w:rPr>
                <w:rFonts w:hint="eastAsia" w:ascii="Times New Roman" w:hAnsi="Times New Roman" w:cs="Times New Roman"/>
                <w:b/>
                <w:bCs/>
                <w:color w:val="auto"/>
                <w:spacing w:val="-3"/>
                <w:u w:val="none" w:color="auto"/>
                <w:lang w:val="en-US" w:eastAsia="zh-CN"/>
              </w:rPr>
              <w:t xml:space="preserve">4  </w:t>
            </w:r>
            <w:r>
              <w:rPr>
                <w:rFonts w:hint="eastAsia"/>
                <w:b/>
                <w:bCs/>
                <w:color w:val="auto"/>
                <w:spacing w:val="-3"/>
                <w:u w:val="none" w:color="auto"/>
                <w:lang w:val="en-US" w:eastAsia="zh-CN"/>
              </w:rPr>
              <w:t>非正常工况排气筒排放</w:t>
            </w:r>
            <w:r>
              <w:rPr>
                <w:b/>
                <w:bCs/>
                <w:color w:val="auto"/>
                <w:spacing w:val="-3"/>
                <w:u w:val="none" w:color="auto"/>
              </w:rPr>
              <w:t>一览表</w:t>
            </w:r>
          </w:p>
          <w:tbl>
            <w:tblPr>
              <w:tblStyle w:val="23"/>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050"/>
              <w:gridCol w:w="1141"/>
              <w:gridCol w:w="1584"/>
              <w:gridCol w:w="1866"/>
              <w:gridCol w:w="159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序号</w:t>
                  </w:r>
                </w:p>
              </w:tc>
              <w:tc>
                <w:tcPr>
                  <w:tcW w:w="1050"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污染源</w:t>
                  </w:r>
                </w:p>
              </w:tc>
              <w:tc>
                <w:tcPr>
                  <w:tcW w:w="1141"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污染物</w:t>
                  </w:r>
                </w:p>
              </w:tc>
              <w:tc>
                <w:tcPr>
                  <w:tcW w:w="15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风量</w:t>
                  </w:r>
                </w:p>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/h）</w:t>
                  </w:r>
                </w:p>
              </w:tc>
              <w:tc>
                <w:tcPr>
                  <w:tcW w:w="186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污染物排放速率（kg/h）</w:t>
                  </w:r>
                </w:p>
              </w:tc>
              <w:tc>
                <w:tcPr>
                  <w:tcW w:w="159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持续</w:t>
                  </w:r>
                </w:p>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时间</w:t>
                  </w:r>
                </w:p>
              </w:tc>
              <w:tc>
                <w:tcPr>
                  <w:tcW w:w="133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年发生频</w:t>
                  </w:r>
                </w:p>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w:t>
                  </w:r>
                </w:p>
              </w:tc>
              <w:tc>
                <w:tcPr>
                  <w:tcW w:w="1050"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DA001</w:t>
                  </w:r>
                </w:p>
              </w:tc>
              <w:tc>
                <w:tcPr>
                  <w:tcW w:w="1141"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颗粒物</w:t>
                  </w:r>
                </w:p>
              </w:tc>
              <w:tc>
                <w:tcPr>
                  <w:tcW w:w="15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10000</w:t>
                  </w:r>
                </w:p>
              </w:tc>
              <w:tc>
                <w:tcPr>
                  <w:tcW w:w="186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0.1266</w:t>
                  </w:r>
                </w:p>
              </w:tc>
              <w:tc>
                <w:tcPr>
                  <w:tcW w:w="1595"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0.5h</w:t>
                  </w:r>
                </w:p>
              </w:tc>
              <w:tc>
                <w:tcPr>
                  <w:tcW w:w="1336"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2次/a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2</w:t>
                  </w:r>
                </w:p>
              </w:tc>
              <w:tc>
                <w:tcPr>
                  <w:tcW w:w="1050"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DA002</w:t>
                  </w:r>
                </w:p>
              </w:tc>
              <w:tc>
                <w:tcPr>
                  <w:tcW w:w="1141"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非甲烷总烃</w:t>
                  </w:r>
                </w:p>
              </w:tc>
              <w:tc>
                <w:tcPr>
                  <w:tcW w:w="15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10000</w:t>
                  </w:r>
                </w:p>
              </w:tc>
              <w:tc>
                <w:tcPr>
                  <w:tcW w:w="186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0.0665</w:t>
                  </w:r>
                </w:p>
              </w:tc>
              <w:tc>
                <w:tcPr>
                  <w:tcW w:w="1595"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p>
              </w:tc>
              <w:tc>
                <w:tcPr>
                  <w:tcW w:w="1336"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vertAlign w:val="baseline"/>
                      <w:lang w:val="en-US" w:eastAsia="zh-CN"/>
                    </w:rPr>
                  </w:pPr>
                </w:p>
              </w:tc>
            </w:tr>
          </w:tbl>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lang w:eastAsia="zh-CN"/>
              </w:rPr>
            </w:pPr>
            <w:r>
              <w:rPr>
                <w:rFonts w:hint="eastAsia"/>
                <w:color w:val="auto"/>
                <w:lang w:eastAsia="zh-CN"/>
              </w:rPr>
              <w:t>应对措施：为防止生产废气非正常工况排放，企业必须加强废气治理设施的管理，定期检修，确保废气治理设施正常运行，在废气处理设备停止运行或出现故障时，产生废气的各工序也必须相应停止生产。为杜绝废气非正常排放，应采取以下措施确保废气达标排放：</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lang w:eastAsia="zh-CN"/>
              </w:rPr>
            </w:pPr>
            <w:r>
              <w:rPr>
                <w:rFonts w:hint="eastAsia"/>
                <w:color w:val="auto"/>
                <w:lang w:eastAsia="zh-CN"/>
              </w:rPr>
              <w:t>①安排专人负责环保设备的日常维护和管理，固定时间检查、汇报情况，及时发现废气治理设施的隐患，确保废气治理设施正常运行，记录台账；</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lang w:eastAsia="zh-CN"/>
              </w:rPr>
            </w:pPr>
            <w:r>
              <w:rPr>
                <w:rFonts w:hint="eastAsia"/>
                <w:color w:val="auto"/>
                <w:lang w:eastAsia="zh-CN"/>
              </w:rPr>
              <w:t>②建立健全的环保管理机构，对环保管理人员和技术人员进行岗位培训，委托具有专业资质的环境检测单位对项目排放的污染物进行定期监测；</w:t>
            </w:r>
          </w:p>
          <w:p>
            <w:pPr>
              <w:keepNext w:val="0"/>
              <w:pageBreakBefore w:val="0"/>
              <w:widowControl/>
              <w:kinsoku/>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color w:val="auto"/>
                <w:spacing w:val="1"/>
                <w:sz w:val="24"/>
                <w:szCs w:val="24"/>
              </w:rPr>
            </w:pPr>
            <w:r>
              <w:rPr>
                <w:rFonts w:ascii="宋体" w:hAnsi="宋体" w:eastAsia="宋体" w:cs="宋体"/>
                <w:color w:val="auto"/>
                <w:spacing w:val="1"/>
                <w:sz w:val="24"/>
                <w:szCs w:val="24"/>
              </w:rPr>
              <w:t>③应定期维护、检修废气治理设施，保证废气治理设施的净化能力达到设</w:t>
            </w:r>
            <w:r>
              <w:rPr>
                <w:rFonts w:hint="eastAsia" w:ascii="宋体" w:hAnsi="宋体" w:eastAsia="宋体" w:cs="宋体"/>
                <w:color w:val="auto"/>
                <w:spacing w:val="1"/>
                <w:sz w:val="24"/>
                <w:szCs w:val="24"/>
              </w:rPr>
              <w:t>计要求；</w:t>
            </w:r>
          </w:p>
          <w:p>
            <w:pPr>
              <w:keepNext w:val="0"/>
              <w:pageBreakBefore w:val="0"/>
              <w:widowControl/>
              <w:kinsoku/>
              <w:wordWrap/>
              <w:overflowPunct/>
              <w:topLinePunct w:val="0"/>
              <w:autoSpaceDE w:val="0"/>
              <w:autoSpaceDN w:val="0"/>
              <w:bidi w:val="0"/>
              <w:adjustRightInd w:val="0"/>
              <w:snapToGrid w:val="0"/>
              <w:spacing w:line="360" w:lineRule="auto"/>
              <w:ind w:firstLine="484" w:firstLineChars="200"/>
              <w:textAlignment w:val="baseline"/>
              <w:rPr>
                <w:rFonts w:hint="eastAsia"/>
                <w:color w:val="auto"/>
                <w:lang w:eastAsia="zh-CN"/>
              </w:rPr>
            </w:pPr>
            <w:r>
              <w:rPr>
                <w:rFonts w:hint="eastAsia" w:ascii="宋体" w:hAnsi="宋体" w:eastAsia="宋体" w:cs="宋体"/>
                <w:color w:val="auto"/>
                <w:spacing w:val="1"/>
                <w:sz w:val="24"/>
                <w:szCs w:val="24"/>
              </w:rPr>
              <w:t>④生产加工前，废气治理设施应提前开启，生产结束后，应在关闭生产设备一段时间后再关闭废气治理设施。</w:t>
            </w:r>
          </w:p>
          <w:p>
            <w:pPr>
              <w:keepNext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b/>
                <w:bCs/>
                <w:color w:val="auto"/>
              </w:rPr>
            </w:pPr>
            <w:r>
              <w:rPr>
                <w:rFonts w:hint="eastAsia"/>
                <w:b/>
                <w:bCs/>
                <w:color w:val="auto"/>
                <w:lang w:eastAsia="zh-CN"/>
              </w:rPr>
              <w:t>（</w:t>
            </w:r>
            <w:r>
              <w:rPr>
                <w:rFonts w:hint="eastAsia"/>
                <w:b/>
                <w:bCs/>
                <w:color w:val="auto"/>
                <w:lang w:val="en-US" w:eastAsia="zh-CN"/>
              </w:rPr>
              <w:t>4</w:t>
            </w:r>
            <w:r>
              <w:rPr>
                <w:rFonts w:hint="eastAsia"/>
                <w:b/>
                <w:bCs/>
                <w:color w:val="auto"/>
                <w:lang w:eastAsia="zh-CN"/>
              </w:rPr>
              <w:t>）</w:t>
            </w:r>
            <w:r>
              <w:rPr>
                <w:rFonts w:hint="eastAsia"/>
                <w:b/>
                <w:bCs/>
                <w:color w:val="auto"/>
              </w:rPr>
              <w:t>废气例行监测计划</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rFonts w:hint="eastAsia"/>
                <w:b w:val="0"/>
                <w:bCs w:val="0"/>
                <w:color w:val="auto"/>
                <w:u w:val="none"/>
              </w:rPr>
              <w:t>按照《排污许可证申请与核发技术规范 家具制造工业》</w:t>
            </w:r>
            <w:r>
              <w:rPr>
                <w:rFonts w:hint="eastAsia"/>
                <w:b w:val="0"/>
                <w:bCs w:val="0"/>
                <w:color w:val="auto"/>
                <w:u w:val="none"/>
                <w:lang w:eastAsia="zh-CN"/>
              </w:rPr>
              <w:t>（</w:t>
            </w:r>
            <w:r>
              <w:rPr>
                <w:rFonts w:hint="eastAsia"/>
                <w:b w:val="0"/>
                <w:bCs w:val="0"/>
                <w:color w:val="auto"/>
                <w:u w:val="none"/>
              </w:rPr>
              <w:t>HJ1027—2019</w:t>
            </w:r>
            <w:r>
              <w:rPr>
                <w:rFonts w:hint="eastAsia"/>
                <w:b w:val="0"/>
                <w:bCs w:val="0"/>
                <w:color w:val="auto"/>
                <w:u w:val="none"/>
                <w:lang w:eastAsia="zh-CN"/>
              </w:rPr>
              <w:t>）</w:t>
            </w:r>
            <w:r>
              <w:rPr>
                <w:rFonts w:hint="eastAsia"/>
                <w:b w:val="0"/>
                <w:bCs w:val="0"/>
                <w:color w:val="auto"/>
                <w:u w:val="none"/>
              </w:rPr>
              <w:t>、《排污单位自行监测技术指南 涂装》（HJ1086-2020）中的监测要求，</w:t>
            </w:r>
            <w:r>
              <w:rPr>
                <w:rFonts w:hint="eastAsia"/>
                <w:color w:val="auto"/>
              </w:rPr>
              <w:t>本项目建设单位属于非重点排污单位，排放口类型为一般排放口，本项目废气环境监测计划内容如下：</w:t>
            </w:r>
          </w:p>
          <w:p>
            <w:pPr>
              <w:keepNext w:val="0"/>
              <w:pageBreakBefore w:val="0"/>
              <w:kinsoku/>
              <w:wordWrap/>
              <w:overflowPunct/>
              <w:topLinePunct w:val="0"/>
              <w:bidi w:val="0"/>
              <w:jc w:val="center"/>
              <w:rPr>
                <w:b/>
                <w:bCs/>
                <w:color w:val="auto"/>
                <w:u w:val="single"/>
                <w:lang w:bidi="zh-CN"/>
              </w:rPr>
            </w:pPr>
            <w:r>
              <w:rPr>
                <w:rFonts w:hint="eastAsia"/>
                <w:b/>
                <w:bCs/>
                <w:color w:val="auto"/>
                <w:u w:val="single"/>
                <w:lang w:bidi="zh-CN"/>
              </w:rPr>
              <w:t>表4-</w:t>
            </w:r>
            <w:r>
              <w:rPr>
                <w:rFonts w:hint="eastAsia"/>
                <w:b/>
                <w:bCs/>
                <w:color w:val="auto"/>
                <w:u w:val="single"/>
                <w:lang w:val="en-US" w:bidi="zh-CN"/>
              </w:rPr>
              <w:t>5</w:t>
            </w:r>
            <w:r>
              <w:rPr>
                <w:rFonts w:hint="eastAsia"/>
                <w:b/>
                <w:bCs/>
                <w:color w:val="auto"/>
                <w:u w:val="single"/>
                <w:lang w:bidi="zh-CN"/>
              </w:rPr>
              <w:t xml:space="preserve">  本项目废气监测计划</w:t>
            </w:r>
          </w:p>
          <w:tbl>
            <w:tblPr>
              <w:tblStyle w:val="32"/>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9"/>
              <w:gridCol w:w="1064"/>
              <w:gridCol w:w="1288"/>
              <w:gridCol w:w="1077"/>
              <w:gridCol w:w="4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8" w:hRule="atLeast"/>
              </w:trPr>
              <w:tc>
                <w:tcPr>
                  <w:tcW w:w="1249"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7"/>
                      <w:sz w:val="21"/>
                      <w:szCs w:val="21"/>
                      <w:u w:val="single"/>
                    </w:rPr>
                    <w:t>监测项目</w:t>
                  </w:r>
                </w:p>
              </w:tc>
              <w:tc>
                <w:tcPr>
                  <w:tcW w:w="1064"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7"/>
                      <w:sz w:val="21"/>
                      <w:szCs w:val="21"/>
                      <w:u w:val="single"/>
                    </w:rPr>
                    <w:t>监测点位</w:t>
                  </w:r>
                </w:p>
              </w:tc>
              <w:tc>
                <w:tcPr>
                  <w:tcW w:w="128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7"/>
                      <w:sz w:val="21"/>
                      <w:szCs w:val="21"/>
                      <w:u w:val="single"/>
                    </w:rPr>
                    <w:t>监测指标</w:t>
                  </w:r>
                </w:p>
              </w:tc>
              <w:tc>
                <w:tcPr>
                  <w:tcW w:w="1077"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6"/>
                      <w:sz w:val="21"/>
                      <w:szCs w:val="21"/>
                      <w:u w:val="single"/>
                    </w:rPr>
                    <w:t>监测频</w:t>
                  </w:r>
                  <w:r>
                    <w:rPr>
                      <w:b/>
                      <w:bCs/>
                      <w:color w:val="auto"/>
                      <w:sz w:val="21"/>
                      <w:szCs w:val="21"/>
                      <w:u w:val="single"/>
                    </w:rPr>
                    <w:t>次</w:t>
                  </w:r>
                </w:p>
              </w:tc>
              <w:tc>
                <w:tcPr>
                  <w:tcW w:w="4667"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7"/>
                      <w:sz w:val="21"/>
                      <w:szCs w:val="21"/>
                      <w:u w:val="singl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 w:hRule="atLeast"/>
              </w:trPr>
              <w:tc>
                <w:tcPr>
                  <w:tcW w:w="1249" w:type="dxa"/>
                  <w:vMerge w:val="restart"/>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7"/>
                      <w:sz w:val="21"/>
                      <w:szCs w:val="21"/>
                      <w:u w:val="single"/>
                    </w:rPr>
                    <w:t>有组织废</w:t>
                  </w:r>
                  <w:r>
                    <w:rPr>
                      <w:b/>
                      <w:bCs/>
                      <w:color w:val="auto"/>
                      <w:sz w:val="21"/>
                      <w:szCs w:val="21"/>
                      <w:u w:val="single"/>
                    </w:rPr>
                    <w:t>气</w:t>
                  </w:r>
                </w:p>
              </w:tc>
              <w:tc>
                <w:tcPr>
                  <w:tcW w:w="1064" w:type="dxa"/>
                  <w:vAlign w:val="center"/>
                </w:tcPr>
                <w:p>
                  <w:pPr>
                    <w:keepNext w:val="0"/>
                    <w:pageBreakBefore w:val="0"/>
                    <w:widowControl/>
                    <w:kinsoku/>
                    <w:wordWrap/>
                    <w:overflowPunct/>
                    <w:topLinePunct w:val="0"/>
                    <w:autoSpaceDE w:val="0"/>
                    <w:autoSpaceDN w:val="0"/>
                    <w:bidi w:val="0"/>
                    <w:adjustRightInd w:val="0"/>
                    <w:snapToGrid w:val="0"/>
                    <w:jc w:val="center"/>
                    <w:textAlignment w:val="baseline"/>
                    <w:rPr>
                      <w:rFonts w:eastAsia="Times New Roman"/>
                      <w:b/>
                      <w:bCs/>
                      <w:color w:val="auto"/>
                      <w:sz w:val="21"/>
                      <w:szCs w:val="21"/>
                      <w:u w:val="single"/>
                    </w:rPr>
                  </w:pPr>
                  <w:r>
                    <w:rPr>
                      <w:rFonts w:eastAsia="Times New Roman"/>
                      <w:b/>
                      <w:bCs/>
                      <w:color w:val="auto"/>
                      <w:sz w:val="21"/>
                      <w:szCs w:val="21"/>
                      <w:u w:val="single"/>
                    </w:rPr>
                    <w:t>DA</w:t>
                  </w:r>
                  <w:r>
                    <w:rPr>
                      <w:rFonts w:eastAsia="Times New Roman"/>
                      <w:b/>
                      <w:bCs/>
                      <w:color w:val="auto"/>
                      <w:spacing w:val="8"/>
                      <w:sz w:val="21"/>
                      <w:szCs w:val="21"/>
                      <w:u w:val="single"/>
                    </w:rPr>
                    <w:t>001</w:t>
                  </w:r>
                </w:p>
              </w:tc>
              <w:tc>
                <w:tcPr>
                  <w:tcW w:w="128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7"/>
                      <w:sz w:val="21"/>
                      <w:szCs w:val="21"/>
                      <w:u w:val="single"/>
                    </w:rPr>
                    <w:t>颗粒物</w:t>
                  </w:r>
                </w:p>
              </w:tc>
              <w:tc>
                <w:tcPr>
                  <w:tcW w:w="1077"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rFonts w:ascii="Times New Roman" w:hAnsi="Times New Roman" w:eastAsia="Times New Roman" w:cs="Times New Roman"/>
                      <w:b/>
                      <w:bCs/>
                      <w:color w:val="auto"/>
                      <w:spacing w:val="-3"/>
                      <w:sz w:val="21"/>
                      <w:szCs w:val="21"/>
                      <w:u w:val="single"/>
                    </w:rPr>
                    <w:t>1</w:t>
                  </w:r>
                  <w:r>
                    <w:rPr>
                      <w:b/>
                      <w:bCs/>
                      <w:color w:val="auto"/>
                      <w:spacing w:val="-3"/>
                      <w:sz w:val="21"/>
                      <w:szCs w:val="21"/>
                      <w:u w:val="single"/>
                    </w:rPr>
                    <w:t>次</w:t>
                  </w:r>
                  <w:r>
                    <w:rPr>
                      <w:rFonts w:ascii="Times New Roman" w:hAnsi="Times New Roman" w:eastAsia="Times New Roman" w:cs="Times New Roman"/>
                      <w:b/>
                      <w:bCs/>
                      <w:color w:val="auto"/>
                      <w:spacing w:val="-3"/>
                      <w:sz w:val="21"/>
                      <w:szCs w:val="21"/>
                      <w:u w:val="single"/>
                    </w:rPr>
                    <w:t>/</w:t>
                  </w:r>
                  <w:r>
                    <w:rPr>
                      <w:b/>
                      <w:bCs/>
                      <w:color w:val="auto"/>
                      <w:spacing w:val="-3"/>
                      <w:sz w:val="21"/>
                      <w:szCs w:val="21"/>
                      <w:u w:val="single"/>
                    </w:rPr>
                    <w:t>年</w:t>
                  </w:r>
                </w:p>
              </w:tc>
              <w:tc>
                <w:tcPr>
                  <w:tcW w:w="4667"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lang w:eastAsia="zh-CN"/>
                    </w:rPr>
                  </w:pPr>
                  <w:r>
                    <w:rPr>
                      <w:rFonts w:hint="default" w:ascii="Times New Roman" w:hAnsi="Times New Roman" w:cs="Times New Roman"/>
                      <w:b/>
                      <w:bCs/>
                      <w:color w:val="auto"/>
                      <w:spacing w:val="24"/>
                      <w:sz w:val="21"/>
                      <w:szCs w:val="21"/>
                      <w:u w:val="single"/>
                      <w:lang w:eastAsia="zh-CN"/>
                    </w:rPr>
                    <w:t>《大气污染物综合排</w:t>
                  </w:r>
                  <w:r>
                    <w:rPr>
                      <w:rFonts w:hint="default" w:ascii="Times New Roman" w:hAnsi="Times New Roman" w:cs="Times New Roman"/>
                      <w:b/>
                      <w:bCs/>
                      <w:color w:val="auto"/>
                      <w:sz w:val="21"/>
                      <w:szCs w:val="21"/>
                      <w:u w:val="single"/>
                      <w:lang w:eastAsia="zh-CN"/>
                    </w:rPr>
                    <w:t>放标准》</w:t>
                  </w:r>
                  <w:r>
                    <w:rPr>
                      <w:rFonts w:hint="default" w:ascii="Times New Roman" w:hAnsi="Times New Roman" w:cs="Times New Roman"/>
                      <w:b/>
                      <w:bCs/>
                      <w:color w:val="auto"/>
                      <w:spacing w:val="1"/>
                      <w:sz w:val="21"/>
                      <w:szCs w:val="21"/>
                      <w:u w:val="single"/>
                      <w:lang w:eastAsia="zh-CN"/>
                    </w:rPr>
                    <w:t>（</w:t>
                  </w:r>
                  <w:r>
                    <w:rPr>
                      <w:rFonts w:hint="default" w:ascii="Times New Roman" w:hAnsi="Times New Roman" w:eastAsia="Times New Roman" w:cs="Times New Roman"/>
                      <w:b/>
                      <w:bCs/>
                      <w:color w:val="auto"/>
                      <w:sz w:val="21"/>
                      <w:szCs w:val="21"/>
                      <w:u w:val="single"/>
                      <w:lang w:eastAsia="zh-CN"/>
                    </w:rPr>
                    <w:t>GB</w:t>
                  </w:r>
                  <w:r>
                    <w:rPr>
                      <w:rFonts w:hint="default" w:ascii="Times New Roman" w:hAnsi="Times New Roman" w:eastAsia="Times New Roman" w:cs="Times New Roman"/>
                      <w:b/>
                      <w:bCs/>
                      <w:color w:val="auto"/>
                      <w:spacing w:val="1"/>
                      <w:sz w:val="21"/>
                      <w:szCs w:val="21"/>
                      <w:u w:val="single"/>
                      <w:lang w:eastAsia="zh-CN"/>
                    </w:rPr>
                    <w:t>16297-1996</w:t>
                  </w:r>
                  <w:r>
                    <w:rPr>
                      <w:rFonts w:hint="default" w:ascii="Times New Roman" w:hAnsi="Times New Roman" w:cs="Times New Roman"/>
                      <w:b/>
                      <w:bCs/>
                      <w:color w:val="auto"/>
                      <w:spacing w:val="1"/>
                      <w:sz w:val="21"/>
                      <w:szCs w:val="21"/>
                      <w:u w:val="single"/>
                      <w:lang w:eastAsia="zh-CN"/>
                    </w:rPr>
                    <w:t>）表</w:t>
                  </w:r>
                  <w:r>
                    <w:rPr>
                      <w:rFonts w:hint="default" w:ascii="Times New Roman" w:hAnsi="Times New Roman" w:eastAsia="Times New Roman" w:cs="Times New Roman"/>
                      <w:b/>
                      <w:bCs/>
                      <w:color w:val="auto"/>
                      <w:spacing w:val="1"/>
                      <w:sz w:val="21"/>
                      <w:szCs w:val="21"/>
                      <w:u w:val="single"/>
                      <w:lang w:eastAsia="zh-CN"/>
                    </w:rPr>
                    <w:t>2</w:t>
                  </w:r>
                  <w:r>
                    <w:rPr>
                      <w:rFonts w:hint="default" w:ascii="Times New Roman" w:hAnsi="Times New Roman" w:cs="Times New Roman"/>
                      <w:b/>
                      <w:bCs/>
                      <w:color w:val="auto"/>
                      <w:spacing w:val="2"/>
                      <w:sz w:val="21"/>
                      <w:szCs w:val="21"/>
                      <w:u w:val="single"/>
                      <w:lang w:eastAsia="zh-CN"/>
                    </w:rPr>
                    <w:t>二级标准</w:t>
                  </w:r>
                  <w:r>
                    <w:rPr>
                      <w:rFonts w:hint="eastAsia" w:ascii="Times New Roman" w:hAnsi="Times New Roman" w:cs="Times New Roman"/>
                      <w:b/>
                      <w:bCs/>
                      <w:color w:val="auto"/>
                      <w:spacing w:val="2"/>
                      <w:sz w:val="21"/>
                      <w:szCs w:val="21"/>
                      <w:u w:val="single"/>
                      <w:lang w:val="en-US" w:eastAsia="zh-CN"/>
                    </w:rPr>
                    <w:t>及</w:t>
                  </w:r>
                  <w:r>
                    <w:rPr>
                      <w:rFonts w:hint="eastAsia"/>
                      <w:b/>
                      <w:bCs/>
                      <w:color w:val="auto"/>
                      <w:spacing w:val="10"/>
                      <w:sz w:val="21"/>
                      <w:szCs w:val="21"/>
                      <w:u w:val="single"/>
                      <w:lang w:eastAsia="zh-CN"/>
                    </w:rPr>
                    <w:t>《重污染天气重点行业应急减排措施制定技术指南（2020年修订版）》</w:t>
                  </w:r>
                  <w:r>
                    <w:rPr>
                      <w:b/>
                      <w:bCs/>
                      <w:color w:val="auto"/>
                      <w:spacing w:val="7"/>
                      <w:sz w:val="21"/>
                      <w:szCs w:val="21"/>
                      <w:u w:val="single"/>
                      <w:lang w:eastAsia="zh-CN"/>
                    </w:rPr>
                    <w:t>中家具制造行业</w:t>
                  </w:r>
                  <w:r>
                    <w:rPr>
                      <w:rFonts w:ascii="Times New Roman" w:hAnsi="Times New Roman" w:eastAsia="Times New Roman" w:cs="Times New Roman"/>
                      <w:b/>
                      <w:bCs/>
                      <w:color w:val="auto"/>
                      <w:spacing w:val="7"/>
                      <w:sz w:val="21"/>
                      <w:szCs w:val="21"/>
                      <w:u w:val="single"/>
                      <w:lang w:eastAsia="zh-CN"/>
                    </w:rPr>
                    <w:t>A</w:t>
                  </w:r>
                  <w:r>
                    <w:rPr>
                      <w:b/>
                      <w:bCs/>
                      <w:color w:val="auto"/>
                      <w:spacing w:val="7"/>
                      <w:sz w:val="21"/>
                      <w:szCs w:val="21"/>
                      <w:u w:val="single"/>
                      <w:lang w:eastAsia="zh-CN"/>
                    </w:rPr>
                    <w:t>级企业要求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1" w:hRule="atLeast"/>
              </w:trPr>
              <w:tc>
                <w:tcPr>
                  <w:tcW w:w="1249" w:type="dxa"/>
                  <w:vMerge w:val="continue"/>
                  <w:vAlign w:val="center"/>
                </w:tcPr>
                <w:p>
                  <w:pPr>
                    <w:keepNext w:val="0"/>
                    <w:pageBreakBefore w:val="0"/>
                    <w:widowControl/>
                    <w:kinsoku/>
                    <w:wordWrap/>
                    <w:overflowPunct/>
                    <w:topLinePunct w:val="0"/>
                    <w:autoSpaceDE w:val="0"/>
                    <w:autoSpaceDN w:val="0"/>
                    <w:bidi w:val="0"/>
                    <w:adjustRightInd w:val="0"/>
                    <w:snapToGrid w:val="0"/>
                    <w:jc w:val="center"/>
                    <w:textAlignment w:val="baseline"/>
                    <w:rPr>
                      <w:rFonts w:ascii="Arial"/>
                      <w:b/>
                      <w:bCs/>
                      <w:color w:val="auto"/>
                      <w:sz w:val="21"/>
                      <w:szCs w:val="21"/>
                      <w:u w:val="single"/>
                    </w:rPr>
                  </w:pPr>
                </w:p>
              </w:tc>
              <w:tc>
                <w:tcPr>
                  <w:tcW w:w="1064" w:type="dxa"/>
                  <w:vAlign w:val="center"/>
                </w:tcPr>
                <w:p>
                  <w:pPr>
                    <w:keepNext w:val="0"/>
                    <w:pageBreakBefore w:val="0"/>
                    <w:widowControl/>
                    <w:kinsoku/>
                    <w:wordWrap/>
                    <w:overflowPunct/>
                    <w:topLinePunct w:val="0"/>
                    <w:autoSpaceDE w:val="0"/>
                    <w:autoSpaceDN w:val="0"/>
                    <w:bidi w:val="0"/>
                    <w:adjustRightInd w:val="0"/>
                    <w:snapToGrid w:val="0"/>
                    <w:jc w:val="center"/>
                    <w:textAlignment w:val="baseline"/>
                    <w:rPr>
                      <w:rFonts w:hint="eastAsia" w:eastAsia="宋体"/>
                      <w:b/>
                      <w:bCs/>
                      <w:color w:val="auto"/>
                      <w:sz w:val="21"/>
                      <w:szCs w:val="21"/>
                      <w:u w:val="single"/>
                      <w:lang w:eastAsia="zh-CN"/>
                    </w:rPr>
                  </w:pPr>
                  <w:r>
                    <w:rPr>
                      <w:rFonts w:eastAsia="Times New Roman"/>
                      <w:b/>
                      <w:bCs/>
                      <w:color w:val="auto"/>
                      <w:sz w:val="21"/>
                      <w:szCs w:val="21"/>
                      <w:u w:val="single"/>
                    </w:rPr>
                    <w:t>DA</w:t>
                  </w:r>
                  <w:r>
                    <w:rPr>
                      <w:rFonts w:eastAsia="Times New Roman"/>
                      <w:b/>
                      <w:bCs/>
                      <w:color w:val="auto"/>
                      <w:spacing w:val="8"/>
                      <w:sz w:val="21"/>
                      <w:szCs w:val="21"/>
                      <w:u w:val="single"/>
                    </w:rPr>
                    <w:t>00</w:t>
                  </w:r>
                  <w:r>
                    <w:rPr>
                      <w:rFonts w:hint="eastAsia" w:eastAsia="宋体"/>
                      <w:b/>
                      <w:bCs/>
                      <w:color w:val="auto"/>
                      <w:spacing w:val="8"/>
                      <w:sz w:val="21"/>
                      <w:szCs w:val="21"/>
                      <w:u w:val="single"/>
                      <w:lang w:val="en-US" w:eastAsia="zh-CN"/>
                    </w:rPr>
                    <w:t>2</w:t>
                  </w:r>
                </w:p>
              </w:tc>
              <w:tc>
                <w:tcPr>
                  <w:tcW w:w="128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6"/>
                      <w:sz w:val="21"/>
                      <w:szCs w:val="21"/>
                      <w:u w:val="single"/>
                    </w:rPr>
                    <w:t>非甲烷总</w:t>
                  </w:r>
                  <w:r>
                    <w:rPr>
                      <w:b/>
                      <w:bCs/>
                      <w:color w:val="auto"/>
                      <w:sz w:val="21"/>
                      <w:szCs w:val="21"/>
                      <w:u w:val="single"/>
                    </w:rPr>
                    <w:t>烃</w:t>
                  </w:r>
                </w:p>
              </w:tc>
              <w:tc>
                <w:tcPr>
                  <w:tcW w:w="1077"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rFonts w:ascii="Times New Roman" w:hAnsi="Times New Roman" w:eastAsia="Times New Roman" w:cs="Times New Roman"/>
                      <w:b/>
                      <w:bCs/>
                      <w:color w:val="auto"/>
                      <w:spacing w:val="-3"/>
                      <w:sz w:val="21"/>
                      <w:szCs w:val="21"/>
                      <w:u w:val="single"/>
                    </w:rPr>
                    <w:t>1</w:t>
                  </w:r>
                  <w:r>
                    <w:rPr>
                      <w:b/>
                      <w:bCs/>
                      <w:color w:val="auto"/>
                      <w:spacing w:val="-3"/>
                      <w:sz w:val="21"/>
                      <w:szCs w:val="21"/>
                      <w:u w:val="single"/>
                    </w:rPr>
                    <w:t>次</w:t>
                  </w:r>
                  <w:r>
                    <w:rPr>
                      <w:rFonts w:ascii="Times New Roman" w:hAnsi="Times New Roman" w:eastAsia="Times New Roman" w:cs="Times New Roman"/>
                      <w:b/>
                      <w:bCs/>
                      <w:color w:val="auto"/>
                      <w:spacing w:val="-3"/>
                      <w:sz w:val="21"/>
                      <w:szCs w:val="21"/>
                      <w:u w:val="single"/>
                    </w:rPr>
                    <w:t>/</w:t>
                  </w:r>
                  <w:r>
                    <w:rPr>
                      <w:b/>
                      <w:bCs/>
                      <w:color w:val="auto"/>
                      <w:spacing w:val="-3"/>
                      <w:sz w:val="21"/>
                      <w:szCs w:val="21"/>
                      <w:u w:val="single"/>
                    </w:rPr>
                    <w:t>年</w:t>
                  </w:r>
                </w:p>
              </w:tc>
              <w:tc>
                <w:tcPr>
                  <w:tcW w:w="4667" w:type="dxa"/>
                  <w:vAlign w:val="center"/>
                </w:tcPr>
                <w:p>
                  <w:pPr>
                    <w:keepNext w:val="0"/>
                    <w:pageBreakBefore w:val="0"/>
                    <w:widowControl/>
                    <w:kinsoku/>
                    <w:wordWrap/>
                    <w:overflowPunct/>
                    <w:topLinePunct w:val="0"/>
                    <w:autoSpaceDE w:val="0"/>
                    <w:autoSpaceDN w:val="0"/>
                    <w:bidi w:val="0"/>
                    <w:adjustRightInd w:val="0"/>
                    <w:snapToGrid w:val="0"/>
                    <w:jc w:val="center"/>
                    <w:textAlignment w:val="baseline"/>
                    <w:rPr>
                      <w:rFonts w:ascii="Arial"/>
                      <w:b/>
                      <w:bCs/>
                      <w:color w:val="auto"/>
                      <w:sz w:val="21"/>
                      <w:szCs w:val="21"/>
                      <w:u w:val="single"/>
                    </w:rPr>
                  </w:pPr>
                  <w:r>
                    <w:rPr>
                      <w:rFonts w:hint="default" w:ascii="Times New Roman" w:hAnsi="Times New Roman" w:cs="Times New Roman"/>
                      <w:b/>
                      <w:bCs/>
                      <w:color w:val="auto"/>
                      <w:spacing w:val="2"/>
                      <w:sz w:val="21"/>
                      <w:szCs w:val="21"/>
                      <w:u w:val="single"/>
                      <w:lang w:eastAsia="zh-CN"/>
                    </w:rPr>
                    <w:t>《工业涂装工序挥发性有机物排放标准》（DB41/1951—2020）家具制造业排放限值（非甲烷总烃排放浓度50mg/m</w:t>
                  </w:r>
                  <w:r>
                    <w:rPr>
                      <w:rFonts w:hint="default" w:ascii="Times New Roman" w:hAnsi="Times New Roman" w:cs="Times New Roman"/>
                      <w:b/>
                      <w:bCs/>
                      <w:color w:val="auto"/>
                      <w:spacing w:val="2"/>
                      <w:sz w:val="21"/>
                      <w:szCs w:val="21"/>
                      <w:u w:val="single"/>
                      <w:vertAlign w:val="superscript"/>
                      <w:lang w:eastAsia="zh-CN"/>
                    </w:rPr>
                    <w:t>3</w:t>
                  </w:r>
                  <w:r>
                    <w:rPr>
                      <w:rFonts w:hint="default" w:ascii="Times New Roman" w:hAnsi="Times New Roman" w:cs="Times New Roman"/>
                      <w:b/>
                      <w:bCs/>
                      <w:color w:val="auto"/>
                      <w:spacing w:val="2"/>
                      <w:sz w:val="21"/>
                      <w:szCs w:val="21"/>
                      <w:u w:val="single"/>
                      <w:lang w:eastAsia="zh-CN"/>
                    </w:rPr>
                    <w:t>）</w:t>
                  </w:r>
                  <w:r>
                    <w:rPr>
                      <w:rFonts w:hint="default" w:ascii="Times New Roman" w:hAnsi="Times New Roman" w:cs="Times New Roman"/>
                      <w:b/>
                      <w:bCs/>
                      <w:color w:val="auto"/>
                      <w:spacing w:val="9"/>
                      <w:sz w:val="21"/>
                      <w:szCs w:val="21"/>
                      <w:u w:val="single"/>
                      <w:lang w:eastAsia="zh-CN"/>
                    </w:rPr>
                    <w:t>及《重污染天气重点行业应急减排措施制定技术指南（2020年修订版）》</w:t>
                  </w:r>
                  <w:r>
                    <w:rPr>
                      <w:rFonts w:hint="default" w:ascii="Times New Roman" w:hAnsi="Times New Roman" w:cs="Times New Roman"/>
                      <w:b/>
                      <w:bCs/>
                      <w:color w:val="auto"/>
                      <w:spacing w:val="2"/>
                      <w:sz w:val="21"/>
                      <w:szCs w:val="21"/>
                      <w:u w:val="single"/>
                      <w:lang w:eastAsia="zh-CN"/>
                    </w:rPr>
                    <w:t>中家具制造</w:t>
                  </w:r>
                  <w:r>
                    <w:rPr>
                      <w:rFonts w:hint="default" w:ascii="Times New Roman" w:hAnsi="Times New Roman" w:cs="Times New Roman"/>
                      <w:b/>
                      <w:bCs/>
                      <w:color w:val="auto"/>
                      <w:spacing w:val="-2"/>
                      <w:sz w:val="21"/>
                      <w:szCs w:val="21"/>
                      <w:u w:val="single"/>
                      <w:lang w:eastAsia="zh-CN"/>
                    </w:rPr>
                    <w:t>行业</w:t>
                  </w:r>
                  <w:r>
                    <w:rPr>
                      <w:rFonts w:hint="default" w:ascii="Times New Roman" w:hAnsi="Times New Roman" w:eastAsia="Times New Roman" w:cs="Times New Roman"/>
                      <w:b/>
                      <w:bCs/>
                      <w:color w:val="auto"/>
                      <w:spacing w:val="-2"/>
                      <w:sz w:val="21"/>
                      <w:szCs w:val="21"/>
                      <w:u w:val="single"/>
                      <w:lang w:eastAsia="zh-CN"/>
                    </w:rPr>
                    <w:t>A</w:t>
                  </w:r>
                  <w:r>
                    <w:rPr>
                      <w:rFonts w:hint="default" w:ascii="Times New Roman" w:hAnsi="Times New Roman" w:cs="Times New Roman"/>
                      <w:b/>
                      <w:bCs/>
                      <w:color w:val="auto"/>
                      <w:spacing w:val="-2"/>
                      <w:sz w:val="21"/>
                      <w:szCs w:val="21"/>
                      <w:u w:val="single"/>
                      <w:lang w:eastAsia="zh-CN"/>
                    </w:rPr>
                    <w:t>级企业要求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7" w:hRule="atLeast"/>
              </w:trPr>
              <w:tc>
                <w:tcPr>
                  <w:tcW w:w="1249" w:type="dxa"/>
                  <w:vMerge w:val="restart"/>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6"/>
                      <w:sz w:val="21"/>
                      <w:szCs w:val="21"/>
                      <w:u w:val="single"/>
                    </w:rPr>
                    <w:t>无组织废</w:t>
                  </w:r>
                  <w:r>
                    <w:rPr>
                      <w:b/>
                      <w:bCs/>
                      <w:color w:val="auto"/>
                      <w:sz w:val="21"/>
                      <w:szCs w:val="21"/>
                      <w:u w:val="single"/>
                    </w:rPr>
                    <w:t>气</w:t>
                  </w:r>
                </w:p>
              </w:tc>
              <w:tc>
                <w:tcPr>
                  <w:tcW w:w="1064" w:type="dxa"/>
                  <w:vMerge w:val="restart"/>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b/>
                      <w:bCs/>
                      <w:color w:val="auto"/>
                      <w:spacing w:val="3"/>
                      <w:sz w:val="21"/>
                      <w:szCs w:val="21"/>
                      <w:u w:val="single"/>
                    </w:rPr>
                    <w:t>厂界</w:t>
                  </w:r>
                </w:p>
              </w:tc>
              <w:tc>
                <w:tcPr>
                  <w:tcW w:w="128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lang w:eastAsia="zh-CN"/>
                    </w:rPr>
                  </w:pPr>
                  <w:r>
                    <w:rPr>
                      <w:b/>
                      <w:bCs/>
                      <w:color w:val="auto"/>
                      <w:spacing w:val="5"/>
                      <w:sz w:val="21"/>
                      <w:szCs w:val="21"/>
                      <w:u w:val="single"/>
                      <w:lang w:eastAsia="zh-CN"/>
                    </w:rPr>
                    <w:t>颗粒物</w:t>
                  </w:r>
                </w:p>
              </w:tc>
              <w:tc>
                <w:tcPr>
                  <w:tcW w:w="1077"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rPr>
                  </w:pPr>
                  <w:r>
                    <w:rPr>
                      <w:rFonts w:ascii="Times New Roman" w:hAnsi="Times New Roman" w:eastAsia="Times New Roman" w:cs="Times New Roman"/>
                      <w:b/>
                      <w:bCs/>
                      <w:color w:val="auto"/>
                      <w:spacing w:val="-3"/>
                      <w:sz w:val="21"/>
                      <w:szCs w:val="21"/>
                      <w:u w:val="single"/>
                    </w:rPr>
                    <w:t>1</w:t>
                  </w:r>
                  <w:r>
                    <w:rPr>
                      <w:b/>
                      <w:bCs/>
                      <w:color w:val="auto"/>
                      <w:spacing w:val="-3"/>
                      <w:sz w:val="21"/>
                      <w:szCs w:val="21"/>
                      <w:u w:val="single"/>
                    </w:rPr>
                    <w:t>次</w:t>
                  </w:r>
                  <w:r>
                    <w:rPr>
                      <w:rFonts w:ascii="Times New Roman" w:hAnsi="Times New Roman" w:eastAsia="Times New Roman" w:cs="Times New Roman"/>
                      <w:b/>
                      <w:bCs/>
                      <w:color w:val="auto"/>
                      <w:spacing w:val="-3"/>
                      <w:sz w:val="21"/>
                      <w:szCs w:val="21"/>
                      <w:u w:val="single"/>
                    </w:rPr>
                    <w:t>/</w:t>
                  </w:r>
                  <w:r>
                    <w:rPr>
                      <w:rFonts w:hint="eastAsia"/>
                      <w:b/>
                      <w:bCs/>
                      <w:color w:val="auto"/>
                      <w:spacing w:val="-3"/>
                      <w:sz w:val="21"/>
                      <w:szCs w:val="21"/>
                      <w:u w:val="single"/>
                      <w:lang w:eastAsia="zh-CN"/>
                    </w:rPr>
                    <w:t>半</w:t>
                  </w:r>
                  <w:r>
                    <w:rPr>
                      <w:b/>
                      <w:bCs/>
                      <w:color w:val="auto"/>
                      <w:spacing w:val="-3"/>
                      <w:sz w:val="21"/>
                      <w:szCs w:val="21"/>
                      <w:u w:val="single"/>
                    </w:rPr>
                    <w:t>年</w:t>
                  </w:r>
                </w:p>
              </w:tc>
              <w:tc>
                <w:tcPr>
                  <w:tcW w:w="4667"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z w:val="21"/>
                      <w:szCs w:val="21"/>
                      <w:u w:val="single"/>
                      <w:lang w:eastAsia="zh-CN"/>
                    </w:rPr>
                  </w:pPr>
                  <w:r>
                    <w:rPr>
                      <w:rFonts w:hint="default" w:ascii="Times New Roman" w:hAnsi="Times New Roman" w:cs="Times New Roman"/>
                      <w:b/>
                      <w:bCs/>
                      <w:color w:val="auto"/>
                      <w:spacing w:val="24"/>
                      <w:sz w:val="21"/>
                      <w:szCs w:val="21"/>
                      <w:u w:val="single"/>
                      <w:lang w:eastAsia="zh-CN"/>
                    </w:rPr>
                    <w:t>《大气污染物综合排</w:t>
                  </w:r>
                  <w:r>
                    <w:rPr>
                      <w:rFonts w:hint="default" w:ascii="Times New Roman" w:hAnsi="Times New Roman" w:cs="Times New Roman"/>
                      <w:b/>
                      <w:bCs/>
                      <w:color w:val="auto"/>
                      <w:sz w:val="21"/>
                      <w:szCs w:val="21"/>
                      <w:u w:val="single"/>
                      <w:lang w:eastAsia="zh-CN"/>
                    </w:rPr>
                    <w:t>放标准》</w:t>
                  </w:r>
                  <w:r>
                    <w:rPr>
                      <w:rFonts w:hint="default" w:ascii="Times New Roman" w:hAnsi="Times New Roman" w:cs="Times New Roman"/>
                      <w:b/>
                      <w:bCs/>
                      <w:color w:val="auto"/>
                      <w:spacing w:val="1"/>
                      <w:sz w:val="21"/>
                      <w:szCs w:val="21"/>
                      <w:u w:val="single"/>
                      <w:lang w:eastAsia="zh-CN"/>
                    </w:rPr>
                    <w:t>（</w:t>
                  </w:r>
                  <w:r>
                    <w:rPr>
                      <w:rFonts w:hint="default" w:ascii="Times New Roman" w:hAnsi="Times New Roman" w:eastAsia="Times New Roman" w:cs="Times New Roman"/>
                      <w:b/>
                      <w:bCs/>
                      <w:color w:val="auto"/>
                      <w:sz w:val="21"/>
                      <w:szCs w:val="21"/>
                      <w:u w:val="single"/>
                      <w:lang w:eastAsia="zh-CN"/>
                    </w:rPr>
                    <w:t>GB</w:t>
                  </w:r>
                  <w:r>
                    <w:rPr>
                      <w:rFonts w:hint="default" w:ascii="Times New Roman" w:hAnsi="Times New Roman" w:eastAsia="Times New Roman" w:cs="Times New Roman"/>
                      <w:b/>
                      <w:bCs/>
                      <w:color w:val="auto"/>
                      <w:spacing w:val="1"/>
                      <w:sz w:val="21"/>
                      <w:szCs w:val="21"/>
                      <w:u w:val="single"/>
                      <w:lang w:eastAsia="zh-CN"/>
                    </w:rPr>
                    <w:t>16297-1996</w:t>
                  </w:r>
                  <w:r>
                    <w:rPr>
                      <w:rFonts w:hint="default" w:ascii="Times New Roman" w:hAnsi="Times New Roman" w:cs="Times New Roman"/>
                      <w:b/>
                      <w:bCs/>
                      <w:color w:val="auto"/>
                      <w:spacing w:val="1"/>
                      <w:sz w:val="21"/>
                      <w:szCs w:val="21"/>
                      <w:u w:val="single"/>
                      <w:lang w:eastAsia="zh-CN"/>
                    </w:rPr>
                    <w:t>）表</w:t>
                  </w:r>
                  <w:r>
                    <w:rPr>
                      <w:rFonts w:hint="default" w:ascii="Times New Roman" w:hAnsi="Times New Roman" w:eastAsia="Times New Roman" w:cs="Times New Roman"/>
                      <w:b/>
                      <w:bCs/>
                      <w:color w:val="auto"/>
                      <w:spacing w:val="1"/>
                      <w:sz w:val="21"/>
                      <w:szCs w:val="21"/>
                      <w:u w:val="single"/>
                      <w:lang w:eastAsia="zh-CN"/>
                    </w:rPr>
                    <w:t>2</w:t>
                  </w:r>
                  <w:r>
                    <w:rPr>
                      <w:rFonts w:hint="default" w:ascii="Times New Roman" w:hAnsi="Times New Roman" w:cs="Times New Roman"/>
                      <w:b/>
                      <w:bCs/>
                      <w:color w:val="auto"/>
                      <w:spacing w:val="2"/>
                      <w:sz w:val="21"/>
                      <w:szCs w:val="21"/>
                      <w:u w:val="single"/>
                      <w:lang w:eastAsia="zh-CN"/>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7" w:hRule="atLeast"/>
              </w:trPr>
              <w:tc>
                <w:tcPr>
                  <w:tcW w:w="1249" w:type="dxa"/>
                  <w:vMerge w:val="continue"/>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pPr>
                </w:p>
              </w:tc>
              <w:tc>
                <w:tcPr>
                  <w:tcW w:w="1064" w:type="dxa"/>
                  <w:vMerge w:val="continue"/>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pPr>
                </w:p>
              </w:tc>
              <w:tc>
                <w:tcPr>
                  <w:tcW w:w="128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pacing w:val="5"/>
                      <w:sz w:val="21"/>
                      <w:szCs w:val="21"/>
                      <w:u w:val="single"/>
                      <w:lang w:eastAsia="zh-CN"/>
                    </w:rPr>
                  </w:pPr>
                  <w:r>
                    <w:rPr>
                      <w:b/>
                      <w:bCs/>
                      <w:color w:val="auto"/>
                      <w:spacing w:val="-1"/>
                      <w:sz w:val="21"/>
                      <w:szCs w:val="21"/>
                      <w:u w:val="single"/>
                      <w:lang w:eastAsia="zh-CN"/>
                    </w:rPr>
                    <w:t>非甲烷</w:t>
                  </w:r>
                  <w:r>
                    <w:rPr>
                      <w:b/>
                      <w:bCs/>
                      <w:color w:val="auto"/>
                      <w:spacing w:val="2"/>
                      <w:sz w:val="21"/>
                      <w:szCs w:val="21"/>
                      <w:u w:val="single"/>
                      <w:lang w:eastAsia="zh-CN"/>
                    </w:rPr>
                    <w:t>总烃</w:t>
                  </w:r>
                </w:p>
              </w:tc>
              <w:tc>
                <w:tcPr>
                  <w:tcW w:w="1077"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pacing w:val="5"/>
                      <w:sz w:val="21"/>
                      <w:szCs w:val="21"/>
                      <w:u w:val="single"/>
                      <w:lang w:eastAsia="zh-CN"/>
                    </w:rPr>
                  </w:pPr>
                  <w:r>
                    <w:rPr>
                      <w:rFonts w:ascii="Times New Roman" w:hAnsi="Times New Roman" w:eastAsia="Times New Roman" w:cs="Times New Roman"/>
                      <w:b/>
                      <w:bCs/>
                      <w:color w:val="auto"/>
                      <w:spacing w:val="-3"/>
                      <w:sz w:val="21"/>
                      <w:szCs w:val="21"/>
                      <w:u w:val="single"/>
                    </w:rPr>
                    <w:t>1</w:t>
                  </w:r>
                  <w:r>
                    <w:rPr>
                      <w:b/>
                      <w:bCs/>
                      <w:color w:val="auto"/>
                      <w:spacing w:val="-3"/>
                      <w:sz w:val="21"/>
                      <w:szCs w:val="21"/>
                      <w:u w:val="single"/>
                    </w:rPr>
                    <w:t>次</w:t>
                  </w:r>
                  <w:r>
                    <w:rPr>
                      <w:rFonts w:ascii="Times New Roman" w:hAnsi="Times New Roman" w:eastAsia="Times New Roman" w:cs="Times New Roman"/>
                      <w:b/>
                      <w:bCs/>
                      <w:color w:val="auto"/>
                      <w:spacing w:val="-3"/>
                      <w:sz w:val="21"/>
                      <w:szCs w:val="21"/>
                      <w:u w:val="single"/>
                    </w:rPr>
                    <w:t>/</w:t>
                  </w:r>
                  <w:r>
                    <w:rPr>
                      <w:rFonts w:hint="eastAsia"/>
                      <w:b/>
                      <w:bCs/>
                      <w:color w:val="auto"/>
                      <w:spacing w:val="-3"/>
                      <w:sz w:val="21"/>
                      <w:szCs w:val="21"/>
                      <w:u w:val="single"/>
                      <w:lang w:eastAsia="zh-CN"/>
                    </w:rPr>
                    <w:t>半</w:t>
                  </w:r>
                  <w:r>
                    <w:rPr>
                      <w:b/>
                      <w:bCs/>
                      <w:color w:val="auto"/>
                      <w:spacing w:val="-3"/>
                      <w:sz w:val="21"/>
                      <w:szCs w:val="21"/>
                      <w:u w:val="single"/>
                    </w:rPr>
                    <w:t>年</w:t>
                  </w:r>
                </w:p>
              </w:tc>
              <w:tc>
                <w:tcPr>
                  <w:tcW w:w="4667"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b/>
                      <w:bCs/>
                      <w:color w:val="auto"/>
                      <w:spacing w:val="5"/>
                      <w:sz w:val="21"/>
                      <w:szCs w:val="21"/>
                      <w:u w:val="single"/>
                      <w:lang w:eastAsia="zh-CN"/>
                    </w:rPr>
                  </w:pPr>
                  <w:r>
                    <w:rPr>
                      <w:rFonts w:hint="eastAsia" w:ascii="Times New Roman" w:hAnsi="Times New Roman" w:cs="Times New Roman"/>
                      <w:b/>
                      <w:bCs/>
                      <w:color w:val="auto"/>
                      <w:spacing w:val="2"/>
                      <w:sz w:val="21"/>
                      <w:szCs w:val="21"/>
                      <w:u w:val="single"/>
                      <w:lang w:eastAsia="zh-CN"/>
                    </w:rPr>
                    <w:t>《工业涂装工序挥发性有机物排放标准》（DB41/1951—2020）（非甲烷总烃1h平均浓度限值6mg/m</w:t>
                  </w:r>
                  <w:r>
                    <w:rPr>
                      <w:rFonts w:hint="eastAsia" w:ascii="Times New Roman" w:hAnsi="Times New Roman" w:cs="Times New Roman"/>
                      <w:b/>
                      <w:bCs/>
                      <w:color w:val="auto"/>
                      <w:spacing w:val="2"/>
                      <w:sz w:val="21"/>
                      <w:szCs w:val="21"/>
                      <w:u w:val="single"/>
                      <w:vertAlign w:val="superscript"/>
                      <w:lang w:eastAsia="zh-CN"/>
                    </w:rPr>
                    <w:t>3</w:t>
                  </w:r>
                  <w:r>
                    <w:rPr>
                      <w:rFonts w:hint="eastAsia" w:ascii="Times New Roman" w:hAnsi="Times New Roman" w:cs="Times New Roman"/>
                      <w:b/>
                      <w:bCs/>
                      <w:color w:val="auto"/>
                      <w:spacing w:val="2"/>
                      <w:sz w:val="21"/>
                      <w:szCs w:val="21"/>
                      <w:u w:val="single"/>
                      <w:lang w:eastAsia="zh-CN"/>
                    </w:rPr>
                    <w:t>，一次浓度限值20mg/m</w:t>
                  </w:r>
                  <w:r>
                    <w:rPr>
                      <w:rFonts w:hint="eastAsia" w:ascii="Times New Roman" w:hAnsi="Times New Roman" w:cs="Times New Roman"/>
                      <w:b/>
                      <w:bCs/>
                      <w:color w:val="auto"/>
                      <w:spacing w:val="2"/>
                      <w:sz w:val="21"/>
                      <w:szCs w:val="21"/>
                      <w:u w:val="single"/>
                      <w:vertAlign w:val="superscript"/>
                      <w:lang w:eastAsia="zh-CN"/>
                    </w:rPr>
                    <w:t>3</w:t>
                  </w:r>
                  <w:r>
                    <w:rPr>
                      <w:rFonts w:hint="eastAsia" w:ascii="Times New Roman" w:hAnsi="Times New Roman" w:cs="Times New Roman"/>
                      <w:b/>
                      <w:bCs/>
                      <w:color w:val="auto"/>
                      <w:spacing w:val="2"/>
                      <w:sz w:val="21"/>
                      <w:szCs w:val="21"/>
                      <w:u w:val="single"/>
                      <w:lang w:eastAsia="zh-CN"/>
                    </w:rPr>
                    <w:t>）</w:t>
                  </w:r>
                  <w:r>
                    <w:rPr>
                      <w:rFonts w:hint="eastAsia" w:ascii="Times New Roman" w:hAnsi="Times New Roman" w:cs="Times New Roman"/>
                      <w:b/>
                      <w:bCs/>
                      <w:color w:val="auto"/>
                      <w:spacing w:val="2"/>
                      <w:sz w:val="21"/>
                      <w:szCs w:val="21"/>
                      <w:u w:val="single"/>
                      <w:lang w:val="en-US" w:eastAsia="zh-CN"/>
                    </w:rPr>
                    <w:t>及</w:t>
                  </w:r>
                  <w:r>
                    <w:rPr>
                      <w:rFonts w:hint="eastAsia" w:ascii="Times New Roman" w:hAnsi="Times New Roman" w:cs="Times New Roman"/>
                      <w:b/>
                      <w:bCs/>
                      <w:color w:val="auto"/>
                      <w:spacing w:val="2"/>
                      <w:sz w:val="21"/>
                      <w:szCs w:val="21"/>
                      <w:u w:val="single"/>
                      <w:lang w:eastAsia="zh-CN"/>
                    </w:rPr>
                    <w:t>《河南省环境污染防治攻坚战领导小组办公室文件》（豫环攻坚办[2017]162号）（企业边界挥发性有机物排放建议值2mg/m</w:t>
                  </w:r>
                  <w:r>
                    <w:rPr>
                      <w:rFonts w:hint="eastAsia" w:ascii="Times New Roman" w:hAnsi="Times New Roman" w:cs="Times New Roman"/>
                      <w:b/>
                      <w:bCs/>
                      <w:color w:val="auto"/>
                      <w:spacing w:val="2"/>
                      <w:sz w:val="21"/>
                      <w:szCs w:val="21"/>
                      <w:u w:val="single"/>
                      <w:vertAlign w:val="superscript"/>
                      <w:lang w:eastAsia="zh-CN"/>
                    </w:rPr>
                    <w:t>3</w:t>
                  </w:r>
                  <w:r>
                    <w:rPr>
                      <w:rFonts w:hint="eastAsia" w:ascii="Times New Roman" w:hAnsi="Times New Roman" w:cs="Times New Roman"/>
                      <w:b/>
                      <w:bCs/>
                      <w:color w:val="auto"/>
                      <w:spacing w:val="2"/>
                      <w:sz w:val="21"/>
                      <w:szCs w:val="21"/>
                      <w:u w:val="single"/>
                      <w:lang w:eastAsia="zh-CN"/>
                    </w:rPr>
                    <w:t>）</w:t>
                  </w:r>
                </w:p>
              </w:tc>
            </w:tr>
          </w:tbl>
          <w:p>
            <w:pPr>
              <w:keepNext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b/>
                <w:bCs/>
                <w:color w:val="auto"/>
              </w:rPr>
            </w:pPr>
            <w:r>
              <w:rPr>
                <w:b/>
                <w:bCs/>
                <w:color w:val="auto"/>
              </w:rPr>
              <w:t>二、废水环境影响及治理措施</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color w:val="auto"/>
              </w:rPr>
              <w:t>2.1废水排放情况</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color w:val="auto"/>
              </w:rPr>
              <w:t>项目运营期间产生的废水主要</w:t>
            </w:r>
            <w:r>
              <w:rPr>
                <w:rFonts w:hint="eastAsia"/>
                <w:color w:val="auto"/>
              </w:rPr>
              <w:t>为</w:t>
            </w:r>
            <w:r>
              <w:rPr>
                <w:color w:val="auto"/>
              </w:rPr>
              <w:t>生活污水。</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color w:val="auto"/>
              </w:rPr>
              <w:t>厂区雨污分流，雨水通过厂区雨水管网进入外部集聚区管网，排入潴泷河。</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color w:val="auto"/>
                <w:spacing w:val="-1"/>
              </w:rPr>
            </w:pPr>
            <w:r>
              <w:rPr>
                <w:color w:val="auto"/>
                <w:spacing w:val="-1"/>
              </w:rPr>
              <w:t>（</w:t>
            </w:r>
            <w:r>
              <w:rPr>
                <w:rFonts w:hint="eastAsia"/>
                <w:color w:val="auto"/>
                <w:spacing w:val="-1"/>
              </w:rPr>
              <w:t>1</w:t>
            </w:r>
            <w:r>
              <w:rPr>
                <w:color w:val="auto"/>
                <w:spacing w:val="-1"/>
              </w:rPr>
              <w:t>）生活污水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sz w:val="24"/>
                <w:highlight w:val="none"/>
                <w:u w:val="none"/>
                <w:lang w:val="en-US" w:eastAsia="zh-CN"/>
              </w:rPr>
            </w:pPr>
            <w:r>
              <w:rPr>
                <w:rFonts w:hint="default" w:ascii="Times New Roman" w:hAnsi="Times New Roman" w:eastAsia="宋体" w:cs="Times New Roman"/>
                <w:color w:val="auto"/>
                <w:sz w:val="24"/>
              </w:rPr>
              <w:t>本项目排水主要为职工生活污水，</w:t>
            </w:r>
            <w:r>
              <w:rPr>
                <w:rFonts w:hint="default" w:ascii="Times New Roman" w:hAnsi="Times New Roman" w:eastAsia="宋体" w:cs="Times New Roman"/>
                <w:b w:val="0"/>
                <w:bCs/>
                <w:color w:val="auto"/>
                <w:kern w:val="0"/>
                <w:sz w:val="24"/>
                <w:szCs w:val="24"/>
                <w:highlight w:val="none"/>
                <w:u w:val="none"/>
                <w:lang w:val="en-US" w:eastAsia="zh-CN"/>
              </w:rPr>
              <w:t>项目劳动定员30人，年工作</w:t>
            </w:r>
            <w:r>
              <w:rPr>
                <w:rFonts w:hint="eastAsia" w:cs="Times New Roman"/>
                <w:b w:val="0"/>
                <w:bCs/>
                <w:color w:val="auto"/>
                <w:kern w:val="0"/>
                <w:sz w:val="24"/>
                <w:szCs w:val="24"/>
                <w:highlight w:val="none"/>
                <w:u w:val="none"/>
                <w:lang w:val="en-US" w:eastAsia="zh-CN"/>
              </w:rPr>
              <w:t>300</w:t>
            </w:r>
            <w:r>
              <w:rPr>
                <w:rFonts w:hint="default" w:ascii="Times New Roman" w:hAnsi="Times New Roman" w:eastAsia="宋体" w:cs="Times New Roman"/>
                <w:b w:val="0"/>
                <w:bCs/>
                <w:color w:val="auto"/>
                <w:kern w:val="0"/>
                <w:sz w:val="24"/>
                <w:szCs w:val="24"/>
                <w:highlight w:val="none"/>
                <w:u w:val="none"/>
                <w:lang w:val="en-US" w:eastAsia="zh-CN"/>
              </w:rPr>
              <w:t>天，不在厂区食宿，根据《工业与城镇生活用水定额》（DB41/T385-2020），</w:t>
            </w:r>
            <w:r>
              <w:rPr>
                <w:rFonts w:hint="default" w:ascii="Times New Roman" w:hAnsi="Times New Roman" w:eastAsia="宋体" w:cs="Times New Roman"/>
                <w:color w:val="auto"/>
                <w:kern w:val="2"/>
                <w:sz w:val="24"/>
                <w:szCs w:val="32"/>
                <w:highlight w:val="none"/>
                <w:lang w:val="en-US" w:eastAsia="zh-CN" w:bidi="ar-SA"/>
              </w:rPr>
              <w:t>员工生活用水量按</w:t>
            </w:r>
            <w:r>
              <w:rPr>
                <w:rFonts w:hint="default" w:ascii="Times New Roman" w:hAnsi="Times New Roman" w:cs="Times New Roman"/>
                <w:color w:val="auto"/>
                <w:kern w:val="2"/>
                <w:sz w:val="24"/>
                <w:szCs w:val="32"/>
                <w:highlight w:val="none"/>
                <w:lang w:val="en-US" w:eastAsia="zh-CN" w:bidi="ar-SA"/>
              </w:rPr>
              <w:t>22m</w:t>
            </w:r>
            <w:r>
              <w:rPr>
                <w:rFonts w:hint="default" w:ascii="Times New Roman" w:hAnsi="Times New Roman" w:cs="Times New Roman"/>
                <w:color w:val="auto"/>
                <w:kern w:val="2"/>
                <w:sz w:val="24"/>
                <w:szCs w:val="32"/>
                <w:highlight w:val="none"/>
                <w:vertAlign w:val="superscript"/>
                <w:lang w:val="en-US" w:eastAsia="zh-CN" w:bidi="ar-SA"/>
              </w:rPr>
              <w:t>3</w:t>
            </w:r>
            <w:r>
              <w:rPr>
                <w:rFonts w:hint="default" w:ascii="Times New Roman" w:hAnsi="Times New Roman" w:eastAsia="宋体" w:cs="Times New Roman"/>
                <w:color w:val="auto"/>
                <w:kern w:val="2"/>
                <w:sz w:val="24"/>
                <w:szCs w:val="32"/>
                <w:highlight w:val="none"/>
                <w:lang w:val="en-US" w:eastAsia="zh-CN" w:bidi="ar-SA"/>
              </w:rPr>
              <w:t>/人·</w:t>
            </w:r>
            <w:r>
              <w:rPr>
                <w:rFonts w:hint="default" w:ascii="Times New Roman" w:hAnsi="Times New Roman" w:cs="Times New Roman"/>
                <w:color w:val="auto"/>
                <w:kern w:val="2"/>
                <w:sz w:val="24"/>
                <w:szCs w:val="32"/>
                <w:highlight w:val="none"/>
                <w:lang w:val="en-US" w:eastAsia="zh-CN" w:bidi="ar-SA"/>
              </w:rPr>
              <w:t>a</w:t>
            </w:r>
            <w:r>
              <w:rPr>
                <w:rFonts w:hint="default" w:ascii="Times New Roman" w:hAnsi="Times New Roman" w:eastAsia="宋体" w:cs="Times New Roman"/>
                <w:color w:val="auto"/>
                <w:kern w:val="2"/>
                <w:sz w:val="24"/>
                <w:szCs w:val="32"/>
                <w:highlight w:val="none"/>
                <w:lang w:val="en-US" w:eastAsia="zh-CN" w:bidi="ar-SA"/>
              </w:rPr>
              <w:t>计</w:t>
            </w:r>
            <w:r>
              <w:rPr>
                <w:rFonts w:hint="default" w:ascii="Times New Roman" w:hAnsi="Times New Roman" w:eastAsia="宋体" w:cs="Times New Roman"/>
                <w:b w:val="0"/>
                <w:bCs/>
                <w:color w:val="auto"/>
                <w:kern w:val="0"/>
                <w:sz w:val="24"/>
                <w:szCs w:val="24"/>
                <w:highlight w:val="none"/>
                <w:u w:val="none"/>
                <w:lang w:val="en-US" w:eastAsia="zh-CN"/>
              </w:rPr>
              <w:t>，则生活用水量</w:t>
            </w:r>
            <w:r>
              <w:rPr>
                <w:rFonts w:hint="eastAsia" w:cs="Times New Roman"/>
                <w:b w:val="0"/>
                <w:bCs/>
                <w:color w:val="auto"/>
                <w:kern w:val="0"/>
                <w:sz w:val="24"/>
                <w:szCs w:val="24"/>
                <w:highlight w:val="none"/>
                <w:u w:val="none"/>
                <w:lang w:val="en-US" w:eastAsia="zh-CN"/>
              </w:rPr>
              <w:t>2.2m</w:t>
            </w:r>
            <w:r>
              <w:rPr>
                <w:rFonts w:hint="eastAsia" w:eastAsia="宋体" w:cs="Times New Roman"/>
                <w:b w:val="0"/>
                <w:bCs/>
                <w:color w:val="auto"/>
                <w:kern w:val="0"/>
                <w:sz w:val="24"/>
                <w:szCs w:val="24"/>
                <w:highlight w:val="none"/>
                <w:u w:val="none"/>
                <w:vertAlign w:val="superscript"/>
                <w:lang w:val="en-US" w:eastAsia="zh-CN"/>
              </w:rPr>
              <w:t>3</w:t>
            </w:r>
            <w:r>
              <w:rPr>
                <w:rFonts w:hint="default" w:ascii="Times New Roman" w:hAnsi="Times New Roman" w:eastAsia="宋体" w:cs="Times New Roman"/>
                <w:b w:val="0"/>
                <w:bCs/>
                <w:color w:val="auto"/>
                <w:kern w:val="0"/>
                <w:sz w:val="24"/>
                <w:szCs w:val="24"/>
                <w:highlight w:val="none"/>
                <w:u w:val="none"/>
                <w:lang w:val="en-US" w:eastAsia="zh-CN"/>
              </w:rPr>
              <w:t>/d，</w:t>
            </w:r>
            <w:r>
              <w:rPr>
                <w:rFonts w:hint="eastAsia" w:cs="Times New Roman"/>
                <w:b w:val="0"/>
                <w:bCs/>
                <w:color w:val="auto"/>
                <w:kern w:val="0"/>
                <w:sz w:val="24"/>
                <w:szCs w:val="24"/>
                <w:highlight w:val="none"/>
                <w:u w:val="none"/>
                <w:lang w:val="en-US" w:eastAsia="zh-CN"/>
              </w:rPr>
              <w:t>660</w:t>
            </w:r>
            <w:r>
              <w:rPr>
                <w:rFonts w:hint="default" w:ascii="Times New Roman" w:hAnsi="Times New Roman" w:eastAsia="宋体" w:cs="Times New Roman"/>
                <w:b w:val="0"/>
                <w:bCs/>
                <w:color w:val="auto"/>
                <w:kern w:val="0"/>
                <w:sz w:val="24"/>
                <w:szCs w:val="24"/>
                <w:highlight w:val="none"/>
                <w:u w:val="none"/>
                <w:lang w:val="en-US" w:eastAsia="zh-CN"/>
              </w:rPr>
              <w:t>m</w:t>
            </w:r>
            <w:r>
              <w:rPr>
                <w:rFonts w:hint="eastAsia" w:eastAsia="宋体" w:cs="Times New Roman"/>
                <w:b w:val="0"/>
                <w:bCs/>
                <w:color w:val="auto"/>
                <w:kern w:val="0"/>
                <w:sz w:val="24"/>
                <w:szCs w:val="24"/>
                <w:highlight w:val="none"/>
                <w:u w:val="none"/>
                <w:vertAlign w:val="superscript"/>
                <w:lang w:val="en-US" w:eastAsia="zh-CN"/>
              </w:rPr>
              <w:t>3</w:t>
            </w:r>
            <w:r>
              <w:rPr>
                <w:rFonts w:hint="default" w:ascii="Times New Roman" w:hAnsi="Times New Roman" w:eastAsia="宋体" w:cs="Times New Roman"/>
                <w:b w:val="0"/>
                <w:bCs/>
                <w:color w:val="auto"/>
                <w:kern w:val="0"/>
                <w:sz w:val="24"/>
                <w:szCs w:val="24"/>
                <w:highlight w:val="none"/>
                <w:u w:val="none"/>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b w:val="0"/>
                <w:bCs/>
                <w:color w:val="auto"/>
                <w:kern w:val="0"/>
                <w:sz w:val="24"/>
                <w:szCs w:val="24"/>
                <w:highlight w:val="none"/>
                <w:u w:val="none"/>
                <w:lang w:val="en-US" w:eastAsia="zh-CN"/>
              </w:rPr>
              <w:t>根据《室外排水设计规范》（GB50014-2006）中3.1.2可知：居民生活污水定额和综合生活污水定额应根据当地采用的用水定额，结合建筑内部给排水设施水平确定，可按当地相关用水定额的80%~90%采用。本项目废水量按生活用水量的80%计算，</w:t>
            </w:r>
            <w:r>
              <w:rPr>
                <w:rFonts w:hint="default" w:ascii="Times New Roman" w:hAnsi="Times New Roman" w:eastAsia="宋体" w:cs="Times New Roman"/>
                <w:color w:val="auto"/>
                <w:sz w:val="24"/>
              </w:rPr>
              <w:t>则生活污水产生量为</w:t>
            </w:r>
            <w:r>
              <w:rPr>
                <w:rFonts w:hint="eastAsia" w:cs="Times New Roman"/>
                <w:color w:val="auto"/>
                <w:sz w:val="24"/>
                <w:lang w:val="en-US" w:eastAsia="zh-CN"/>
              </w:rPr>
              <w:t>1.76m</w:t>
            </w:r>
            <w:r>
              <w:rPr>
                <w:rFonts w:hint="default" w:ascii="Times New Roman" w:hAnsi="Times New Roman" w:eastAsia="宋体" w:cs="Times New Roman"/>
                <w:bCs/>
                <w:color w:val="auto"/>
                <w:sz w:val="24"/>
                <w:szCs w:val="24"/>
                <w:vertAlign w:val="superscript"/>
                <w:lang w:val="en-US" w:eastAsia="zh-CN"/>
              </w:rPr>
              <w:t>3</w:t>
            </w:r>
            <w:r>
              <w:rPr>
                <w:rFonts w:hint="default" w:ascii="Times New Roman" w:hAnsi="Times New Roman" w:eastAsia="宋体" w:cs="Times New Roman"/>
                <w:bCs/>
                <w:color w:val="auto"/>
                <w:sz w:val="24"/>
                <w:szCs w:val="24"/>
                <w:lang w:val="en-US" w:eastAsia="zh-CN"/>
              </w:rPr>
              <w:t>/d，</w:t>
            </w:r>
            <w:r>
              <w:rPr>
                <w:rFonts w:hint="eastAsia" w:cs="Times New Roman"/>
                <w:bCs/>
                <w:color w:val="auto"/>
                <w:sz w:val="24"/>
                <w:szCs w:val="24"/>
                <w:lang w:val="en-US" w:eastAsia="zh-CN"/>
              </w:rPr>
              <w:t>528</w:t>
            </w:r>
            <w:r>
              <w:rPr>
                <w:rFonts w:hint="default" w:ascii="Times New Roman" w:hAnsi="Times New Roman" w:eastAsia="宋体" w:cs="Times New Roman"/>
                <w:bCs/>
                <w:color w:val="auto"/>
                <w:sz w:val="24"/>
                <w:szCs w:val="24"/>
                <w:lang w:val="en-US" w:eastAsia="zh-CN"/>
              </w:rPr>
              <w:t>m</w:t>
            </w:r>
            <w:r>
              <w:rPr>
                <w:rFonts w:hint="default" w:ascii="Times New Roman" w:hAnsi="Times New Roman" w:eastAsia="宋体" w:cs="Times New Roman"/>
                <w:bCs/>
                <w:color w:val="auto"/>
                <w:sz w:val="24"/>
                <w:szCs w:val="24"/>
                <w:vertAlign w:val="superscript"/>
                <w:lang w:val="en-US" w:eastAsia="zh-CN"/>
              </w:rPr>
              <w:t>3</w:t>
            </w:r>
            <w:r>
              <w:rPr>
                <w:rFonts w:hint="default" w:ascii="Times New Roman" w:hAnsi="Times New Roman" w:eastAsia="宋体" w:cs="Times New Roman"/>
                <w:color w:val="auto"/>
                <w:sz w:val="24"/>
              </w:rPr>
              <w:t>/a</w:t>
            </w:r>
            <w:r>
              <w:rPr>
                <w:rFonts w:hint="default" w:ascii="Times New Roman" w:hAnsi="Times New Roman" w:eastAsia="宋体" w:cs="Times New Roman"/>
                <w:color w:val="auto"/>
                <w:sz w:val="24"/>
                <w:lang w:eastAsia="zh-CN"/>
              </w:rPr>
              <w:t>。类比</w:t>
            </w:r>
            <w:r>
              <w:rPr>
                <w:rFonts w:hint="eastAsia" w:eastAsia="宋体" w:cs="Times New Roman"/>
                <w:color w:val="auto"/>
                <w:sz w:val="24"/>
                <w:lang w:val="en-US" w:eastAsia="zh-CN"/>
              </w:rPr>
              <w:t>清丰县</w:t>
            </w:r>
            <w:r>
              <w:rPr>
                <w:rFonts w:hint="default" w:ascii="Times New Roman" w:hAnsi="Times New Roman" w:eastAsia="宋体" w:cs="Times New Roman"/>
                <w:color w:val="auto"/>
                <w:sz w:val="24"/>
                <w:lang w:eastAsia="zh-CN"/>
              </w:rPr>
              <w:t>一般生活污水水质，其中各污染物的浓度为：COD300mg/L、BOD</w:t>
            </w:r>
            <w:r>
              <w:rPr>
                <w:rFonts w:hint="default" w:ascii="Times New Roman" w:hAnsi="Times New Roman" w:eastAsia="宋体" w:cs="Times New Roman"/>
                <w:color w:val="auto"/>
                <w:sz w:val="24"/>
                <w:vertAlign w:val="subscript"/>
                <w:lang w:val="en-US" w:eastAsia="zh-CN"/>
              </w:rPr>
              <w:t>5</w:t>
            </w:r>
            <w:r>
              <w:rPr>
                <w:rFonts w:hint="default" w:ascii="Times New Roman" w:hAnsi="Times New Roman" w:eastAsia="宋体" w:cs="Times New Roman"/>
                <w:color w:val="auto"/>
                <w:sz w:val="24"/>
                <w:lang w:eastAsia="zh-CN"/>
              </w:rPr>
              <w:t>1</w:t>
            </w:r>
            <w:r>
              <w:rPr>
                <w:rFonts w:hint="eastAsia" w:cs="Times New Roman"/>
                <w:color w:val="auto"/>
                <w:sz w:val="24"/>
                <w:lang w:val="en-US" w:eastAsia="zh-CN"/>
              </w:rPr>
              <w:t>5</w:t>
            </w:r>
            <w:r>
              <w:rPr>
                <w:rFonts w:hint="default" w:ascii="Times New Roman" w:hAnsi="Times New Roman" w:eastAsia="宋体" w:cs="Times New Roman"/>
                <w:color w:val="auto"/>
                <w:sz w:val="24"/>
                <w:lang w:eastAsia="zh-CN"/>
              </w:rPr>
              <w:t>0mg/L、SS280mg/L、NH</w:t>
            </w:r>
            <w:r>
              <w:rPr>
                <w:rFonts w:hint="default" w:ascii="Times New Roman" w:hAnsi="Times New Roman" w:eastAsia="宋体" w:cs="Times New Roman"/>
                <w:color w:val="auto"/>
                <w:sz w:val="24"/>
                <w:vertAlign w:val="subscript"/>
                <w:lang w:eastAsia="zh-CN"/>
              </w:rPr>
              <w:t>3</w:t>
            </w:r>
            <w:r>
              <w:rPr>
                <w:rFonts w:hint="default" w:ascii="Times New Roman" w:hAnsi="Times New Roman" w:eastAsia="宋体" w:cs="Times New Roman"/>
                <w:color w:val="auto"/>
                <w:sz w:val="24"/>
                <w:lang w:eastAsia="zh-CN"/>
              </w:rPr>
              <w:t>-N25mg/L。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lang w:val="en-US" w:eastAsia="zh-CN"/>
              </w:rPr>
            </w:pPr>
            <w:r>
              <w:rPr>
                <w:rFonts w:hint="eastAsia" w:cs="Times New Roman"/>
                <w:color w:val="auto"/>
                <w:sz w:val="24"/>
                <w:lang w:val="en-US" w:eastAsia="zh-CN"/>
              </w:rPr>
              <w:t>项目生活污水利用伯特利家具产业园区已建成的化粪池进行处理，处理后确保水质达到</w:t>
            </w:r>
            <w:r>
              <w:rPr>
                <w:rFonts w:hint="default" w:ascii="Times New Roman" w:hAnsi="Times New Roman" w:eastAsia="宋体" w:cs="Times New Roman"/>
                <w:color w:val="auto"/>
                <w:sz w:val="24"/>
                <w:lang w:val="en-US" w:eastAsia="zh-CN"/>
              </w:rPr>
              <w:t>《污水综合排放标准》（GB8978-1996）表4三级标准和清丰中州水务有限公司第二污水处理厂的进水水质要求</w:t>
            </w:r>
            <w:r>
              <w:rPr>
                <w:rFonts w:hint="eastAsia" w:cs="Times New Roman"/>
                <w:color w:val="auto"/>
                <w:sz w:val="24"/>
                <w:lang w:val="en-US" w:eastAsia="zh-CN"/>
              </w:rPr>
              <w:t>后纳入市政污水管网，由</w:t>
            </w:r>
            <w:r>
              <w:rPr>
                <w:rFonts w:hint="eastAsia" w:eastAsia="宋体" w:cs="Times New Roman"/>
                <w:color w:val="auto"/>
                <w:sz w:val="24"/>
                <w:lang w:val="en-US" w:eastAsia="zh-CN"/>
              </w:rPr>
              <w:t>清丰中州水务有限公司第二污水处理厂</w:t>
            </w:r>
            <w:r>
              <w:rPr>
                <w:rFonts w:hint="eastAsia" w:cs="Times New Roman"/>
                <w:color w:val="auto"/>
                <w:sz w:val="24"/>
                <w:lang w:val="en-US" w:eastAsia="zh-CN"/>
              </w:rPr>
              <w:t>深度处理。</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color w:val="auto"/>
                <w:spacing w:val="-1"/>
              </w:rPr>
            </w:pPr>
            <w:r>
              <w:rPr>
                <w:color w:val="auto"/>
                <w:spacing w:val="-1"/>
              </w:rPr>
              <w:t>项目废水产排情况见下表。</w:t>
            </w:r>
          </w:p>
          <w:p>
            <w:pPr>
              <w:keepNext w:val="0"/>
              <w:pageBreakBefore w:val="0"/>
              <w:widowControl/>
              <w:kinsoku/>
              <w:wordWrap/>
              <w:overflowPunct/>
              <w:topLinePunct w:val="0"/>
              <w:autoSpaceDE w:val="0"/>
              <w:autoSpaceDN w:val="0"/>
              <w:bidi w:val="0"/>
              <w:adjustRightInd w:val="0"/>
              <w:snapToGrid w:val="0"/>
              <w:spacing w:line="360" w:lineRule="auto"/>
              <w:ind w:firstLine="478" w:firstLineChars="200"/>
              <w:jc w:val="center"/>
              <w:textAlignment w:val="baseline"/>
              <w:rPr>
                <w:b/>
                <w:bCs/>
                <w:color w:val="auto"/>
                <w:spacing w:val="-1"/>
              </w:rPr>
            </w:pPr>
            <w:r>
              <w:rPr>
                <w:b/>
                <w:bCs/>
                <w:color w:val="auto"/>
                <w:spacing w:val="-1"/>
              </w:rPr>
              <w:t>表4-</w:t>
            </w:r>
            <w:r>
              <w:rPr>
                <w:rFonts w:hint="eastAsia"/>
                <w:b/>
                <w:bCs/>
                <w:color w:val="auto"/>
                <w:spacing w:val="-1"/>
                <w:lang w:val="en-US" w:eastAsia="zh-CN"/>
              </w:rPr>
              <w:t>6</w:t>
            </w:r>
            <w:r>
              <w:rPr>
                <w:rFonts w:hint="eastAsia"/>
                <w:b/>
                <w:bCs/>
                <w:color w:val="auto"/>
                <w:spacing w:val="-1"/>
              </w:rPr>
              <w:t xml:space="preserve">  </w:t>
            </w:r>
            <w:r>
              <w:rPr>
                <w:b/>
                <w:bCs/>
                <w:color w:val="auto"/>
                <w:spacing w:val="-1"/>
              </w:rPr>
              <w:t>项目废水产排情况</w:t>
            </w:r>
          </w:p>
          <w:tbl>
            <w:tblPr>
              <w:tblStyle w:val="22"/>
              <w:tblW w:w="934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91"/>
              <w:gridCol w:w="800"/>
              <w:gridCol w:w="943"/>
              <w:gridCol w:w="828"/>
              <w:gridCol w:w="838"/>
              <w:gridCol w:w="1057"/>
              <w:gridCol w:w="1143"/>
              <w:gridCol w:w="1117"/>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1" w:type="dxa"/>
                  <w:vMerge w:val="restart"/>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b/>
                      <w:bCs/>
                      <w:color w:val="auto"/>
                      <w:sz w:val="21"/>
                      <w:szCs w:val="21"/>
                    </w:rPr>
                  </w:pPr>
                  <w:r>
                    <w:rPr>
                      <w:rFonts w:hint="default" w:ascii="Times New Roman" w:hAnsi="Times New Roman" w:eastAsia="宋体" w:cs="Times New Roman"/>
                      <w:b/>
                      <w:bCs w:val="0"/>
                      <w:color w:val="auto"/>
                      <w:sz w:val="21"/>
                      <w:szCs w:val="21"/>
                      <w:u w:val="none"/>
                      <w:vertAlign w:val="baseline"/>
                      <w:lang w:eastAsia="zh-CN"/>
                    </w:rPr>
                    <w:t>工序</w:t>
                  </w:r>
                </w:p>
              </w:tc>
              <w:tc>
                <w:tcPr>
                  <w:tcW w:w="991" w:type="dxa"/>
                  <w:vMerge w:val="restart"/>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b/>
                      <w:bCs/>
                      <w:color w:val="auto"/>
                      <w:sz w:val="21"/>
                      <w:szCs w:val="21"/>
                    </w:rPr>
                  </w:pPr>
                  <w:r>
                    <w:rPr>
                      <w:rFonts w:hint="default" w:ascii="Times New Roman" w:hAnsi="Times New Roman" w:eastAsia="宋体" w:cs="Times New Roman"/>
                      <w:b/>
                      <w:bCs w:val="0"/>
                      <w:color w:val="auto"/>
                      <w:sz w:val="21"/>
                      <w:szCs w:val="21"/>
                      <w:u w:val="none"/>
                      <w:vertAlign w:val="baseline"/>
                      <w:lang w:eastAsia="zh-CN"/>
                    </w:rPr>
                    <w:t>污染物</w:t>
                  </w:r>
                </w:p>
              </w:tc>
              <w:tc>
                <w:tcPr>
                  <w:tcW w:w="2571" w:type="dxa"/>
                  <w:gridSpan w:val="3"/>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b/>
                      <w:bCs/>
                      <w:color w:val="auto"/>
                      <w:sz w:val="21"/>
                      <w:szCs w:val="21"/>
                    </w:rPr>
                  </w:pPr>
                  <w:r>
                    <w:rPr>
                      <w:rFonts w:hint="default" w:ascii="Times New Roman" w:hAnsi="Times New Roman" w:eastAsia="宋体" w:cs="Times New Roman"/>
                      <w:b/>
                      <w:bCs w:val="0"/>
                      <w:color w:val="auto"/>
                      <w:sz w:val="21"/>
                      <w:szCs w:val="21"/>
                      <w:u w:val="none"/>
                      <w:vertAlign w:val="baseline"/>
                      <w:lang w:eastAsia="zh-CN"/>
                    </w:rPr>
                    <w:t>废水产生情况</w:t>
                  </w:r>
                </w:p>
              </w:tc>
              <w:tc>
                <w:tcPr>
                  <w:tcW w:w="1895" w:type="dxa"/>
                  <w:gridSpan w:val="2"/>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b/>
                      <w:bCs/>
                      <w:color w:val="auto"/>
                      <w:sz w:val="21"/>
                      <w:szCs w:val="21"/>
                    </w:rPr>
                  </w:pPr>
                  <w:r>
                    <w:rPr>
                      <w:rFonts w:hint="default" w:ascii="Times New Roman" w:hAnsi="Times New Roman" w:eastAsia="宋体" w:cs="Times New Roman"/>
                      <w:b/>
                      <w:bCs w:val="0"/>
                      <w:color w:val="auto"/>
                      <w:sz w:val="21"/>
                      <w:szCs w:val="21"/>
                      <w:u w:val="none"/>
                      <w:vertAlign w:val="baseline"/>
                      <w:lang w:val="en-US" w:eastAsia="zh-CN"/>
                    </w:rPr>
                    <w:t>处理措施</w:t>
                  </w:r>
                </w:p>
              </w:tc>
              <w:tc>
                <w:tcPr>
                  <w:tcW w:w="3081" w:type="dxa"/>
                  <w:gridSpan w:val="3"/>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b/>
                      <w:bCs/>
                      <w:color w:val="auto"/>
                      <w:sz w:val="21"/>
                      <w:szCs w:val="21"/>
                    </w:rPr>
                  </w:pPr>
                  <w:r>
                    <w:rPr>
                      <w:rFonts w:hint="default" w:ascii="Times New Roman" w:hAnsi="Times New Roman" w:eastAsia="宋体" w:cs="Times New Roman"/>
                      <w:b/>
                      <w:bCs w:val="0"/>
                      <w:color w:val="auto"/>
                      <w:sz w:val="21"/>
                      <w:szCs w:val="21"/>
                      <w:u w:val="none"/>
                      <w:vertAlign w:val="baseline"/>
                      <w:lang w:eastAsia="zh-CN"/>
                    </w:rPr>
                    <w:t>废水排放情况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1"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p>
              </w:tc>
              <w:tc>
                <w:tcPr>
                  <w:tcW w:w="991"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p>
              </w:tc>
              <w:tc>
                <w:tcPr>
                  <w:tcW w:w="800"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eastAsia" w:eastAsia="宋体"/>
                      <w:b/>
                      <w:bCs/>
                      <w:color w:val="auto"/>
                      <w:sz w:val="21"/>
                      <w:szCs w:val="21"/>
                      <w:lang w:eastAsia="zh-CN"/>
                    </w:rPr>
                  </w:pPr>
                  <w:r>
                    <w:rPr>
                      <w:rFonts w:hint="default" w:ascii="Times New Roman" w:hAnsi="Times New Roman" w:eastAsia="宋体" w:cs="Times New Roman"/>
                      <w:b/>
                      <w:bCs w:val="0"/>
                      <w:color w:val="auto"/>
                      <w:sz w:val="21"/>
                      <w:szCs w:val="21"/>
                      <w:u w:val="none"/>
                      <w:vertAlign w:val="baseline"/>
                      <w:lang w:eastAsia="zh-CN"/>
                    </w:rPr>
                    <w:t>废水量</w:t>
                  </w:r>
                  <w:r>
                    <w:rPr>
                      <w:rFonts w:hint="default" w:ascii="Times New Roman" w:hAnsi="Times New Roman" w:eastAsia="宋体" w:cs="Times New Roman"/>
                      <w:b/>
                      <w:bCs w:val="0"/>
                      <w:color w:val="auto"/>
                      <w:sz w:val="21"/>
                      <w:szCs w:val="21"/>
                      <w:u w:val="none"/>
                      <w:vertAlign w:val="baseline"/>
                      <w:lang w:val="en-US" w:eastAsia="zh-CN"/>
                    </w:rPr>
                    <w:t>t/a</w:t>
                  </w:r>
                </w:p>
              </w:tc>
              <w:tc>
                <w:tcPr>
                  <w:tcW w:w="943"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eastAsia" w:eastAsia="宋体"/>
                      <w:b/>
                      <w:bCs/>
                      <w:color w:val="auto"/>
                      <w:sz w:val="21"/>
                      <w:szCs w:val="21"/>
                      <w:lang w:eastAsia="zh-CN"/>
                    </w:rPr>
                  </w:pPr>
                  <w:r>
                    <w:rPr>
                      <w:rFonts w:hint="default" w:ascii="Times New Roman" w:hAnsi="Times New Roman" w:eastAsia="宋体" w:cs="Times New Roman"/>
                      <w:b/>
                      <w:bCs w:val="0"/>
                      <w:color w:val="auto"/>
                      <w:sz w:val="21"/>
                      <w:szCs w:val="21"/>
                      <w:u w:val="none"/>
                      <w:vertAlign w:val="baseline"/>
                      <w:lang w:eastAsia="zh-CN"/>
                    </w:rPr>
                    <w:t>产生浓度</w:t>
                  </w:r>
                  <w:r>
                    <w:rPr>
                      <w:rFonts w:hint="default" w:ascii="Times New Roman" w:hAnsi="Times New Roman" w:eastAsia="宋体" w:cs="Times New Roman"/>
                      <w:b/>
                      <w:bCs w:val="0"/>
                      <w:color w:val="auto"/>
                      <w:sz w:val="21"/>
                      <w:szCs w:val="21"/>
                      <w:u w:val="none"/>
                      <w:vertAlign w:val="baseline"/>
                      <w:lang w:val="en-US" w:eastAsia="zh-CN"/>
                    </w:rPr>
                    <w:t>mg/L</w:t>
                  </w:r>
                </w:p>
              </w:tc>
              <w:tc>
                <w:tcPr>
                  <w:tcW w:w="828"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rPr>
                  </w:pPr>
                  <w:r>
                    <w:rPr>
                      <w:rFonts w:hint="default" w:ascii="Times New Roman" w:hAnsi="Times New Roman" w:eastAsia="宋体" w:cs="Times New Roman"/>
                      <w:b/>
                      <w:bCs w:val="0"/>
                      <w:color w:val="auto"/>
                      <w:sz w:val="21"/>
                      <w:szCs w:val="21"/>
                      <w:u w:val="none"/>
                      <w:vertAlign w:val="baseline"/>
                      <w:lang w:eastAsia="zh-CN"/>
                    </w:rPr>
                    <w:t>产生量</w:t>
                  </w:r>
                  <w:r>
                    <w:rPr>
                      <w:rFonts w:hint="default" w:ascii="Times New Roman" w:hAnsi="Times New Roman" w:eastAsia="宋体" w:cs="Times New Roman"/>
                      <w:b/>
                      <w:bCs w:val="0"/>
                      <w:color w:val="auto"/>
                      <w:sz w:val="21"/>
                      <w:szCs w:val="21"/>
                      <w:u w:val="none"/>
                      <w:vertAlign w:val="baseline"/>
                      <w:lang w:val="en-US" w:eastAsia="zh-CN"/>
                    </w:rPr>
                    <w:t>t/a</w:t>
                  </w:r>
                </w:p>
              </w:tc>
              <w:tc>
                <w:tcPr>
                  <w:tcW w:w="838"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eastAsia" w:eastAsia="宋体"/>
                      <w:b/>
                      <w:bCs/>
                      <w:color w:val="auto"/>
                      <w:sz w:val="21"/>
                      <w:szCs w:val="21"/>
                      <w:lang w:eastAsia="zh-CN"/>
                    </w:rPr>
                  </w:pPr>
                  <w:r>
                    <w:rPr>
                      <w:rFonts w:hint="default" w:ascii="Times New Roman" w:hAnsi="Times New Roman" w:eastAsia="宋体" w:cs="Times New Roman"/>
                      <w:b/>
                      <w:bCs w:val="0"/>
                      <w:color w:val="auto"/>
                      <w:sz w:val="21"/>
                      <w:szCs w:val="21"/>
                      <w:u w:val="none"/>
                      <w:vertAlign w:val="baseline"/>
                      <w:lang w:eastAsia="zh-CN"/>
                    </w:rPr>
                    <w:t>处理工艺</w:t>
                  </w:r>
                </w:p>
              </w:tc>
              <w:tc>
                <w:tcPr>
                  <w:tcW w:w="1057"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eastAsia" w:eastAsia="宋体"/>
                      <w:b/>
                      <w:bCs/>
                      <w:color w:val="auto"/>
                      <w:sz w:val="21"/>
                      <w:szCs w:val="21"/>
                      <w:lang w:eastAsia="zh-CN"/>
                    </w:rPr>
                  </w:pPr>
                  <w:r>
                    <w:rPr>
                      <w:rFonts w:hint="default" w:ascii="Times New Roman" w:hAnsi="Times New Roman" w:eastAsia="宋体" w:cs="Times New Roman"/>
                      <w:b/>
                      <w:bCs w:val="0"/>
                      <w:color w:val="auto"/>
                      <w:sz w:val="21"/>
                      <w:szCs w:val="21"/>
                      <w:u w:val="none"/>
                      <w:vertAlign w:val="baseline"/>
                      <w:lang w:eastAsia="zh-CN"/>
                    </w:rPr>
                    <w:t>处理效率</w:t>
                  </w:r>
                </w:p>
              </w:tc>
              <w:tc>
                <w:tcPr>
                  <w:tcW w:w="1143"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eastAsia" w:eastAsia="宋体"/>
                      <w:b/>
                      <w:bCs/>
                      <w:color w:val="auto"/>
                      <w:sz w:val="21"/>
                      <w:szCs w:val="21"/>
                      <w:lang w:eastAsia="zh-CN"/>
                    </w:rPr>
                  </w:pPr>
                  <w:r>
                    <w:rPr>
                      <w:rFonts w:hint="default" w:ascii="Times New Roman" w:hAnsi="Times New Roman" w:eastAsia="宋体" w:cs="Times New Roman"/>
                      <w:b/>
                      <w:bCs w:val="0"/>
                      <w:color w:val="auto"/>
                      <w:sz w:val="21"/>
                      <w:szCs w:val="21"/>
                      <w:u w:val="none"/>
                      <w:vertAlign w:val="baseline"/>
                      <w:lang w:eastAsia="zh-CN"/>
                    </w:rPr>
                    <w:t>废水量</w:t>
                  </w:r>
                  <w:r>
                    <w:rPr>
                      <w:rFonts w:hint="default" w:ascii="Times New Roman" w:hAnsi="Times New Roman" w:eastAsia="宋体" w:cs="Times New Roman"/>
                      <w:b/>
                      <w:bCs w:val="0"/>
                      <w:color w:val="auto"/>
                      <w:sz w:val="21"/>
                      <w:szCs w:val="21"/>
                      <w:u w:val="none"/>
                      <w:vertAlign w:val="baseline"/>
                      <w:lang w:val="en-US" w:eastAsia="zh-CN"/>
                    </w:rPr>
                    <w:t>t/a</w:t>
                  </w:r>
                </w:p>
              </w:tc>
              <w:tc>
                <w:tcPr>
                  <w:tcW w:w="1117"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eastAsia" w:eastAsia="宋体"/>
                      <w:b/>
                      <w:bCs/>
                      <w:color w:val="auto"/>
                      <w:sz w:val="21"/>
                      <w:szCs w:val="21"/>
                      <w:lang w:eastAsia="zh-CN"/>
                    </w:rPr>
                  </w:pPr>
                  <w:r>
                    <w:rPr>
                      <w:rFonts w:hint="default" w:ascii="Times New Roman" w:hAnsi="Times New Roman" w:eastAsia="宋体" w:cs="Times New Roman"/>
                      <w:b/>
                      <w:bCs w:val="0"/>
                      <w:color w:val="auto"/>
                      <w:sz w:val="21"/>
                      <w:szCs w:val="21"/>
                      <w:u w:val="none"/>
                      <w:vertAlign w:val="baseline"/>
                      <w:lang w:eastAsia="zh-CN"/>
                    </w:rPr>
                    <w:t>排放浓度</w:t>
                  </w:r>
                  <w:r>
                    <w:rPr>
                      <w:rFonts w:hint="default" w:ascii="Times New Roman" w:hAnsi="Times New Roman" w:eastAsia="宋体" w:cs="Times New Roman"/>
                      <w:b/>
                      <w:bCs w:val="0"/>
                      <w:color w:val="auto"/>
                      <w:sz w:val="21"/>
                      <w:szCs w:val="21"/>
                      <w:u w:val="none"/>
                      <w:vertAlign w:val="baseline"/>
                      <w:lang w:val="en-US" w:eastAsia="zh-CN"/>
                    </w:rPr>
                    <w:t>mg/L</w:t>
                  </w:r>
                </w:p>
              </w:tc>
              <w:tc>
                <w:tcPr>
                  <w:tcW w:w="821"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rPr>
                  </w:pPr>
                  <w:r>
                    <w:rPr>
                      <w:rFonts w:hint="default" w:ascii="Times New Roman" w:hAnsi="Times New Roman" w:eastAsia="宋体" w:cs="Times New Roman"/>
                      <w:b/>
                      <w:bCs w:val="0"/>
                      <w:color w:val="auto"/>
                      <w:sz w:val="21"/>
                      <w:szCs w:val="21"/>
                      <w:u w:val="none"/>
                      <w:vertAlign w:val="baseline"/>
                      <w:lang w:eastAsia="zh-CN"/>
                    </w:rPr>
                    <w:t>排放量</w:t>
                  </w:r>
                  <w:r>
                    <w:rPr>
                      <w:rFonts w:hint="default" w:ascii="Times New Roman" w:hAnsi="Times New Roman" w:eastAsia="宋体" w:cs="Times New Roman"/>
                      <w:b/>
                      <w:bCs w:val="0"/>
                      <w:color w:val="auto"/>
                      <w:sz w:val="21"/>
                      <w:szCs w:val="21"/>
                      <w:u w:val="none"/>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11" w:type="dxa"/>
                  <w:vMerge w:val="restart"/>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r>
                    <w:rPr>
                      <w:rFonts w:hint="default" w:ascii="Times New Roman" w:hAnsi="Times New Roman" w:eastAsia="宋体" w:cs="Times New Roman"/>
                      <w:b w:val="0"/>
                      <w:bCs/>
                      <w:color w:val="auto"/>
                      <w:sz w:val="21"/>
                      <w:szCs w:val="21"/>
                      <w:u w:val="none"/>
                      <w:vertAlign w:val="baseline"/>
                      <w:lang w:eastAsia="zh-CN"/>
                    </w:rPr>
                    <w:t>生活污水</w:t>
                  </w:r>
                </w:p>
              </w:tc>
              <w:tc>
                <w:tcPr>
                  <w:tcW w:w="991"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sz w:val="21"/>
                      <w:szCs w:val="21"/>
                      <w:lang w:val="en-US" w:eastAsia="zh-CN"/>
                    </w:rPr>
                  </w:pPr>
                  <w:r>
                    <w:rPr>
                      <w:rFonts w:hint="default" w:ascii="Times New Roman" w:hAnsi="Times New Roman" w:eastAsia="宋体" w:cs="Times New Roman"/>
                      <w:b w:val="0"/>
                      <w:bCs/>
                      <w:color w:val="auto"/>
                      <w:sz w:val="21"/>
                      <w:szCs w:val="21"/>
                      <w:u w:val="none"/>
                      <w:vertAlign w:val="baseline"/>
                      <w:lang w:val="en-US" w:eastAsia="zh-CN"/>
                    </w:rPr>
                    <w:t>COD</w:t>
                  </w:r>
                </w:p>
              </w:tc>
              <w:tc>
                <w:tcPr>
                  <w:tcW w:w="800" w:type="dxa"/>
                  <w:vMerge w:val="restart"/>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color w:val="auto"/>
                      <w:sz w:val="21"/>
                      <w:szCs w:val="21"/>
                      <w:lang w:val="en-US"/>
                    </w:rPr>
                  </w:pPr>
                  <w:r>
                    <w:rPr>
                      <w:rFonts w:hint="eastAsia" w:cs="Times New Roman"/>
                      <w:b w:val="0"/>
                      <w:bCs/>
                      <w:color w:val="auto"/>
                      <w:sz w:val="21"/>
                      <w:szCs w:val="21"/>
                      <w:u w:val="none"/>
                      <w:vertAlign w:val="baseline"/>
                      <w:lang w:val="en-US" w:eastAsia="zh-CN"/>
                    </w:rPr>
                    <w:t>528</w:t>
                  </w:r>
                </w:p>
              </w:tc>
              <w:tc>
                <w:tcPr>
                  <w:tcW w:w="943"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828"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0.1584</w:t>
                  </w:r>
                </w:p>
              </w:tc>
              <w:tc>
                <w:tcPr>
                  <w:tcW w:w="838" w:type="dxa"/>
                  <w:vMerge w:val="restart"/>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r>
                    <w:rPr>
                      <w:rFonts w:hint="eastAsia" w:ascii="Times New Roman" w:hAnsi="Times New Roman" w:eastAsia="宋体" w:cs="Times New Roman"/>
                      <w:b w:val="0"/>
                      <w:bCs/>
                      <w:color w:val="auto"/>
                      <w:sz w:val="21"/>
                      <w:szCs w:val="21"/>
                      <w:u w:val="none"/>
                      <w:vertAlign w:val="baseline"/>
                      <w:lang w:val="en-US" w:eastAsia="zh-CN"/>
                    </w:rPr>
                    <w:t>化粪池</w:t>
                  </w:r>
                </w:p>
              </w:tc>
              <w:tc>
                <w:tcPr>
                  <w:tcW w:w="1057"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r>
                    <w:rPr>
                      <w:rFonts w:hint="eastAsia" w:ascii="Times New Roman" w:hAnsi="Times New Roman" w:eastAsia="宋体" w:cs="Times New Roman"/>
                      <w:b w:val="0"/>
                      <w:bCs/>
                      <w:color w:val="auto"/>
                      <w:sz w:val="21"/>
                      <w:szCs w:val="21"/>
                      <w:u w:val="none"/>
                      <w:vertAlign w:val="baseline"/>
                      <w:lang w:val="en-US" w:eastAsia="zh-CN"/>
                    </w:rPr>
                    <w:t>1</w:t>
                  </w:r>
                  <w:r>
                    <w:rPr>
                      <w:rFonts w:hint="default" w:ascii="Times New Roman" w:hAnsi="Times New Roman" w:eastAsia="宋体" w:cs="Times New Roman"/>
                      <w:b w:val="0"/>
                      <w:bCs/>
                      <w:color w:val="auto"/>
                      <w:sz w:val="21"/>
                      <w:szCs w:val="21"/>
                      <w:u w:val="none"/>
                      <w:vertAlign w:val="baseline"/>
                      <w:lang w:val="en-US" w:eastAsia="zh-CN"/>
                    </w:rPr>
                    <w:t>0%</w:t>
                  </w:r>
                </w:p>
              </w:tc>
              <w:tc>
                <w:tcPr>
                  <w:tcW w:w="1143" w:type="dxa"/>
                  <w:vMerge w:val="restart"/>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color w:val="auto"/>
                      <w:sz w:val="21"/>
                      <w:szCs w:val="21"/>
                      <w:lang w:val="en-US"/>
                    </w:rPr>
                  </w:pPr>
                  <w:r>
                    <w:rPr>
                      <w:rFonts w:hint="eastAsia" w:cs="Times New Roman"/>
                      <w:b w:val="0"/>
                      <w:bCs/>
                      <w:color w:val="auto"/>
                      <w:sz w:val="21"/>
                      <w:szCs w:val="21"/>
                      <w:u w:val="none"/>
                      <w:vertAlign w:val="baseline"/>
                      <w:lang w:val="en-US" w:eastAsia="zh-CN"/>
                    </w:rPr>
                    <w:t>52</w:t>
                  </w:r>
                  <w:r>
                    <w:rPr>
                      <w:rFonts w:hint="eastAsia" w:ascii="Times New Roman" w:hAnsi="Times New Roman" w:eastAsia="宋体" w:cs="Times New Roman"/>
                      <w:b w:val="0"/>
                      <w:bCs/>
                      <w:color w:val="auto"/>
                      <w:sz w:val="21"/>
                      <w:szCs w:val="21"/>
                      <w:u w:val="none"/>
                      <w:vertAlign w:val="baseline"/>
                      <w:lang w:val="en-US" w:eastAsia="zh-CN"/>
                    </w:rPr>
                    <w:t>8</w:t>
                  </w:r>
                </w:p>
              </w:tc>
              <w:tc>
                <w:tcPr>
                  <w:tcW w:w="1117"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255</w:t>
                  </w:r>
                </w:p>
              </w:tc>
              <w:tc>
                <w:tcPr>
                  <w:tcW w:w="821"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0.1346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11"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p>
              </w:tc>
              <w:tc>
                <w:tcPr>
                  <w:tcW w:w="991"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sz w:val="21"/>
                      <w:szCs w:val="21"/>
                      <w:lang w:val="en-US" w:eastAsia="zh-CN"/>
                    </w:rPr>
                  </w:pPr>
                  <w:r>
                    <w:rPr>
                      <w:rFonts w:hint="default" w:ascii="Times New Roman" w:hAnsi="Times New Roman" w:eastAsia="宋体" w:cs="Times New Roman"/>
                      <w:b w:val="0"/>
                      <w:bCs/>
                      <w:color w:val="auto"/>
                      <w:sz w:val="21"/>
                      <w:szCs w:val="21"/>
                      <w:u w:val="none"/>
                      <w:vertAlign w:val="baseline"/>
                      <w:lang w:val="en-US" w:eastAsia="zh-CN"/>
                    </w:rPr>
                    <w:t>BOD</w:t>
                  </w:r>
                  <w:r>
                    <w:rPr>
                      <w:rFonts w:hint="default" w:ascii="Times New Roman" w:hAnsi="Times New Roman" w:eastAsia="宋体" w:cs="Times New Roman"/>
                      <w:b w:val="0"/>
                      <w:bCs/>
                      <w:color w:val="auto"/>
                      <w:sz w:val="21"/>
                      <w:szCs w:val="21"/>
                      <w:u w:val="none"/>
                      <w:vertAlign w:val="subscript"/>
                      <w:lang w:val="en-US" w:eastAsia="zh-CN"/>
                    </w:rPr>
                    <w:t>5</w:t>
                  </w:r>
                </w:p>
              </w:tc>
              <w:tc>
                <w:tcPr>
                  <w:tcW w:w="800"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p>
              </w:tc>
              <w:tc>
                <w:tcPr>
                  <w:tcW w:w="943"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0</w:t>
                  </w:r>
                </w:p>
              </w:tc>
              <w:tc>
                <w:tcPr>
                  <w:tcW w:w="828"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0.0792</w:t>
                  </w:r>
                </w:p>
              </w:tc>
              <w:tc>
                <w:tcPr>
                  <w:tcW w:w="838"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p>
              </w:tc>
              <w:tc>
                <w:tcPr>
                  <w:tcW w:w="1057"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r>
                    <w:rPr>
                      <w:rFonts w:hint="eastAsia" w:ascii="Times New Roman" w:hAnsi="Times New Roman" w:eastAsia="宋体" w:cs="Times New Roman"/>
                      <w:b w:val="0"/>
                      <w:bCs/>
                      <w:color w:val="auto"/>
                      <w:sz w:val="21"/>
                      <w:szCs w:val="21"/>
                      <w:u w:val="none"/>
                      <w:vertAlign w:val="baseline"/>
                      <w:lang w:val="en-US" w:eastAsia="zh-CN"/>
                    </w:rPr>
                    <w:t>10%</w:t>
                  </w:r>
                </w:p>
              </w:tc>
              <w:tc>
                <w:tcPr>
                  <w:tcW w:w="1143"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sz w:val="21"/>
                      <w:szCs w:val="21"/>
                    </w:rPr>
                  </w:pPr>
                </w:p>
              </w:tc>
              <w:tc>
                <w:tcPr>
                  <w:tcW w:w="1117"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136.5</w:t>
                  </w:r>
                </w:p>
              </w:tc>
              <w:tc>
                <w:tcPr>
                  <w:tcW w:w="821"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0.0721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11"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kern w:val="0"/>
                      <w:sz w:val="21"/>
                      <w:szCs w:val="21"/>
                      <w:lang w:bidi="ar"/>
                    </w:rPr>
                  </w:pPr>
                </w:p>
              </w:tc>
              <w:tc>
                <w:tcPr>
                  <w:tcW w:w="991"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SS</w:t>
                  </w:r>
                </w:p>
              </w:tc>
              <w:tc>
                <w:tcPr>
                  <w:tcW w:w="800"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943"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r>
                    <w:rPr>
                      <w:rFonts w:hint="eastAsia" w:cs="Times New Roman"/>
                      <w:i w:val="0"/>
                      <w:iCs w:val="0"/>
                      <w:color w:val="auto"/>
                      <w:kern w:val="0"/>
                      <w:sz w:val="21"/>
                      <w:szCs w:val="21"/>
                      <w:u w:val="none"/>
                      <w:lang w:val="en-US" w:eastAsia="zh-CN" w:bidi="ar"/>
                    </w:rPr>
                    <w:t>8</w:t>
                  </w:r>
                  <w:r>
                    <w:rPr>
                      <w:rFonts w:hint="default" w:ascii="Times New Roman" w:hAnsi="Times New Roman" w:eastAsia="宋体" w:cs="Times New Roman"/>
                      <w:i w:val="0"/>
                      <w:iCs w:val="0"/>
                      <w:color w:val="auto"/>
                      <w:kern w:val="0"/>
                      <w:sz w:val="21"/>
                      <w:szCs w:val="21"/>
                      <w:u w:val="none"/>
                      <w:lang w:val="en-US" w:eastAsia="zh-CN" w:bidi="ar"/>
                    </w:rPr>
                    <w:t>0</w:t>
                  </w:r>
                </w:p>
              </w:tc>
              <w:tc>
                <w:tcPr>
                  <w:tcW w:w="828"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0.1478</w:t>
                  </w:r>
                </w:p>
              </w:tc>
              <w:tc>
                <w:tcPr>
                  <w:tcW w:w="838"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1057"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b w:val="0"/>
                      <w:bCs/>
                      <w:color w:val="auto"/>
                      <w:sz w:val="21"/>
                      <w:szCs w:val="21"/>
                      <w:u w:val="none"/>
                      <w:vertAlign w:val="baseline"/>
                      <w:lang w:val="en-US" w:eastAsia="zh-CN"/>
                    </w:rPr>
                    <w:t>10</w:t>
                  </w:r>
                  <w:r>
                    <w:rPr>
                      <w:rFonts w:hint="default" w:ascii="Times New Roman" w:hAnsi="Times New Roman" w:eastAsia="宋体" w:cs="Times New Roman"/>
                      <w:b w:val="0"/>
                      <w:bCs/>
                      <w:color w:val="auto"/>
                      <w:sz w:val="21"/>
                      <w:szCs w:val="21"/>
                      <w:u w:val="none"/>
                      <w:vertAlign w:val="baseline"/>
                      <w:lang w:val="en-US" w:eastAsia="zh-CN"/>
                    </w:rPr>
                    <w:t>%</w:t>
                  </w:r>
                </w:p>
              </w:tc>
              <w:tc>
                <w:tcPr>
                  <w:tcW w:w="1143"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1117"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196</w:t>
                  </w:r>
                </w:p>
              </w:tc>
              <w:tc>
                <w:tcPr>
                  <w:tcW w:w="821"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0.1035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11"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color w:val="auto"/>
                      <w:kern w:val="0"/>
                      <w:sz w:val="21"/>
                      <w:szCs w:val="21"/>
                      <w:lang w:bidi="ar"/>
                    </w:rPr>
                  </w:pPr>
                </w:p>
              </w:tc>
              <w:tc>
                <w:tcPr>
                  <w:tcW w:w="991"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NH</w:t>
                  </w:r>
                  <w:r>
                    <w:rPr>
                      <w:rFonts w:hint="default" w:ascii="Times New Roman" w:hAnsi="Times New Roman" w:eastAsia="宋体" w:cs="Times New Roman"/>
                      <w:b w:val="0"/>
                      <w:bCs/>
                      <w:color w:val="auto"/>
                      <w:sz w:val="21"/>
                      <w:szCs w:val="21"/>
                      <w:u w:val="none"/>
                      <w:vertAlign w:val="subscript"/>
                      <w:lang w:val="en-US" w:eastAsia="zh-CN"/>
                    </w:rPr>
                    <w:t>3</w:t>
                  </w:r>
                  <w:r>
                    <w:rPr>
                      <w:rFonts w:hint="default" w:ascii="Times New Roman" w:hAnsi="Times New Roman" w:eastAsia="宋体" w:cs="Times New Roman"/>
                      <w:b w:val="0"/>
                      <w:bCs/>
                      <w:color w:val="auto"/>
                      <w:sz w:val="21"/>
                      <w:szCs w:val="21"/>
                      <w:u w:val="none"/>
                      <w:vertAlign w:val="baseline"/>
                      <w:lang w:val="en-US" w:eastAsia="zh-CN"/>
                    </w:rPr>
                    <w:t>-N</w:t>
                  </w:r>
                </w:p>
              </w:tc>
              <w:tc>
                <w:tcPr>
                  <w:tcW w:w="800"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943"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25</w:t>
                  </w:r>
                </w:p>
              </w:tc>
              <w:tc>
                <w:tcPr>
                  <w:tcW w:w="828"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0.0132</w:t>
                  </w:r>
                </w:p>
              </w:tc>
              <w:tc>
                <w:tcPr>
                  <w:tcW w:w="838"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1057" w:type="dxa"/>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b w:val="0"/>
                      <w:bCs/>
                      <w:color w:val="auto"/>
                      <w:sz w:val="21"/>
                      <w:szCs w:val="21"/>
                      <w:u w:val="none"/>
                      <w:vertAlign w:val="baseline"/>
                      <w:lang w:val="en-US" w:eastAsia="zh-CN"/>
                    </w:rPr>
                    <w:t>0%</w:t>
                  </w:r>
                </w:p>
              </w:tc>
              <w:tc>
                <w:tcPr>
                  <w:tcW w:w="1143" w:type="dxa"/>
                  <w:vMerge w:val="continue"/>
                  <w:shd w:val="clear" w:color="auto" w:fill="auto"/>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1117"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24.25</w:t>
                  </w:r>
                </w:p>
              </w:tc>
              <w:tc>
                <w:tcPr>
                  <w:tcW w:w="821" w:type="dxa"/>
                  <w:shd w:val="clear" w:color="auto" w:fill="auto"/>
                  <w:vAlign w:val="center"/>
                </w:tcPr>
                <w:p>
                  <w:pPr>
                    <w:keepNext w:val="0"/>
                    <w:keepLines w:val="0"/>
                    <w:pageBreakBefore w:val="0"/>
                    <w:widowControl/>
                    <w:suppressLineNumbers w:val="0"/>
                    <w:kinsoku/>
                    <w:wordWrap/>
                    <w:overflowPunct/>
                    <w:topLinePunct w:val="0"/>
                    <w:bidi w:val="0"/>
                    <w:jc w:val="center"/>
                    <w:textAlignment w:val="center"/>
                    <w:rPr>
                      <w:rFonts w:hint="default" w:eastAsia="宋体"/>
                      <w:color w:val="auto"/>
                      <w:sz w:val="21"/>
                      <w:szCs w:val="21"/>
                      <w:lang w:val="en-US" w:eastAsia="zh-CN"/>
                    </w:rPr>
                  </w:pPr>
                  <w:r>
                    <w:rPr>
                      <w:rFonts w:hint="eastAsia"/>
                      <w:color w:val="auto"/>
                      <w:sz w:val="21"/>
                      <w:szCs w:val="21"/>
                      <w:lang w:val="en-US" w:eastAsia="zh-CN"/>
                    </w:rPr>
                    <w:t>0.0128</w:t>
                  </w:r>
                </w:p>
              </w:tc>
            </w:tr>
          </w:tbl>
          <w:p>
            <w:pPr>
              <w:keepNext w:val="0"/>
              <w:keepLines/>
              <w:pageBreakBefore w:val="0"/>
              <w:widowControl/>
              <w:kinsoku/>
              <w:wordWrap/>
              <w:overflowPunct/>
              <w:topLinePunct w:val="0"/>
              <w:autoSpaceDE/>
              <w:autoSpaceDN/>
              <w:bidi w:val="0"/>
              <w:spacing w:line="480" w:lineRule="exact"/>
              <w:ind w:firstLine="422" w:firstLineChars="200"/>
              <w:jc w:val="center"/>
              <w:textAlignment w:val="auto"/>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eastAsia="zh-CN"/>
              </w:rPr>
              <w:t>表</w:t>
            </w:r>
            <w:r>
              <w:rPr>
                <w:rFonts w:hint="eastAsia" w:eastAsia="宋体" w:cs="Times New Roman"/>
                <w:b/>
                <w:bCs w:val="0"/>
                <w:color w:val="auto"/>
                <w:sz w:val="21"/>
                <w:szCs w:val="21"/>
                <w:lang w:val="en-US" w:eastAsia="zh-CN"/>
              </w:rPr>
              <w:t>4-7</w:t>
            </w:r>
            <w:r>
              <w:rPr>
                <w:rFonts w:hint="default" w:ascii="Times New Roman" w:hAnsi="Times New Roman" w:eastAsia="宋体" w:cs="Times New Roman"/>
                <w:b/>
                <w:bCs w:val="0"/>
                <w:color w:val="auto"/>
                <w:sz w:val="21"/>
                <w:szCs w:val="21"/>
                <w:lang w:val="en-US" w:eastAsia="zh-CN"/>
              </w:rPr>
              <w:t xml:space="preserve">  污水排放口情况一览表</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2"/>
              <w:gridCol w:w="901"/>
              <w:gridCol w:w="517"/>
              <w:gridCol w:w="897"/>
              <w:gridCol w:w="427"/>
              <w:gridCol w:w="839"/>
              <w:gridCol w:w="749"/>
              <w:gridCol w:w="882"/>
              <w:gridCol w:w="599"/>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946"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污染物</w:t>
                  </w:r>
                </w:p>
              </w:tc>
              <w:tc>
                <w:tcPr>
                  <w:tcW w:w="942"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z w:val="21"/>
                      <w:szCs w:val="21"/>
                      <w:vertAlign w:val="baseline"/>
                      <w:lang w:eastAsia="zh-CN"/>
                    </w:rPr>
                    <w:t>污染物</w:t>
                  </w:r>
                  <w:r>
                    <w:rPr>
                      <w:rFonts w:hint="eastAsia" w:cs="Times New Roman"/>
                      <w:b/>
                      <w:bCs w:val="0"/>
                      <w:color w:val="auto"/>
                      <w:sz w:val="21"/>
                      <w:szCs w:val="21"/>
                      <w:vertAlign w:val="baseline"/>
                      <w:lang w:eastAsia="zh-CN"/>
                    </w:rPr>
                    <w:t>浓度</w:t>
                  </w:r>
                  <w:r>
                    <w:rPr>
                      <w:rFonts w:hint="eastAsia" w:cs="Times New Roman"/>
                      <w:b/>
                      <w:bCs w:val="0"/>
                      <w:color w:val="auto"/>
                      <w:sz w:val="21"/>
                      <w:szCs w:val="21"/>
                      <w:vertAlign w:val="baseline"/>
                      <w:lang w:val="en-US" w:eastAsia="zh-CN"/>
                    </w:rPr>
                    <w:t>mg/L</w:t>
                  </w:r>
                </w:p>
              </w:tc>
              <w:tc>
                <w:tcPr>
                  <w:tcW w:w="901"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排放量</w:t>
                  </w:r>
                </w:p>
              </w:tc>
              <w:tc>
                <w:tcPr>
                  <w:tcW w:w="517"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排放方式</w:t>
                  </w:r>
                </w:p>
              </w:tc>
              <w:tc>
                <w:tcPr>
                  <w:tcW w:w="897"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排放去向</w:t>
                  </w:r>
                </w:p>
              </w:tc>
              <w:tc>
                <w:tcPr>
                  <w:tcW w:w="427"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排放规律</w:t>
                  </w:r>
                </w:p>
              </w:tc>
              <w:tc>
                <w:tcPr>
                  <w:tcW w:w="839"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排放标准限值</w:t>
                  </w:r>
                </w:p>
              </w:tc>
              <w:tc>
                <w:tcPr>
                  <w:tcW w:w="749"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是否达标</w:t>
                  </w:r>
                </w:p>
              </w:tc>
              <w:tc>
                <w:tcPr>
                  <w:tcW w:w="3132" w:type="dxa"/>
                  <w:gridSpan w:val="3"/>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946"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rPr>
                  </w:pPr>
                </w:p>
              </w:tc>
              <w:tc>
                <w:tcPr>
                  <w:tcW w:w="942"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rPr>
                  </w:pPr>
                </w:p>
              </w:tc>
              <w:tc>
                <w:tcPr>
                  <w:tcW w:w="901"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rPr>
                  </w:pPr>
                </w:p>
              </w:tc>
              <w:tc>
                <w:tcPr>
                  <w:tcW w:w="51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rPr>
                  </w:pPr>
                </w:p>
              </w:tc>
              <w:tc>
                <w:tcPr>
                  <w:tcW w:w="89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rPr>
                  </w:pPr>
                </w:p>
              </w:tc>
              <w:tc>
                <w:tcPr>
                  <w:tcW w:w="42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rPr>
                  </w:pPr>
                </w:p>
              </w:tc>
              <w:tc>
                <w:tcPr>
                  <w:tcW w:w="839"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rPr>
                  </w:pPr>
                </w:p>
              </w:tc>
              <w:tc>
                <w:tcPr>
                  <w:tcW w:w="749"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auto"/>
                    </w:rPr>
                  </w:pPr>
                </w:p>
              </w:tc>
              <w:tc>
                <w:tcPr>
                  <w:tcW w:w="882"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编号及名称</w:t>
                  </w:r>
                </w:p>
              </w:tc>
              <w:tc>
                <w:tcPr>
                  <w:tcW w:w="599"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类型</w:t>
                  </w:r>
                </w:p>
              </w:tc>
              <w:tc>
                <w:tcPr>
                  <w:tcW w:w="1651"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eastAsia="zh-CN"/>
                    </w:rPr>
                    <w:t>地理坐标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lang w:val="en-US" w:eastAsia="zh-CN"/>
                    </w:rPr>
                    <w:t>COD</w:t>
                  </w:r>
                </w:p>
              </w:tc>
              <w:tc>
                <w:tcPr>
                  <w:tcW w:w="942" w:type="dxa"/>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szCs w:val="21"/>
                      <w:lang w:val="en-US" w:eastAsia="zh-CN"/>
                    </w:rPr>
                    <w:t>255</w:t>
                  </w:r>
                </w:p>
              </w:tc>
              <w:tc>
                <w:tcPr>
                  <w:tcW w:w="901" w:type="dxa"/>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szCs w:val="21"/>
                      <w:lang w:val="en-US" w:eastAsia="zh-CN"/>
                    </w:rPr>
                    <w:t>0.1346</w:t>
                  </w:r>
                </w:p>
              </w:tc>
              <w:tc>
                <w:tcPr>
                  <w:tcW w:w="517"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eastAsia="zh-CN"/>
                    </w:rPr>
                  </w:pPr>
                  <w:r>
                    <w:rPr>
                      <w:rFonts w:hint="default" w:ascii="Times New Roman" w:hAnsi="Times New Roman" w:eastAsia="宋体" w:cs="Times New Roman"/>
                      <w:b w:val="0"/>
                      <w:bCs/>
                      <w:color w:val="auto"/>
                      <w:sz w:val="21"/>
                      <w:szCs w:val="21"/>
                      <w:vertAlign w:val="baseline"/>
                      <w:lang w:eastAsia="zh-CN"/>
                    </w:rPr>
                    <w:t>间断排放</w:t>
                  </w:r>
                </w:p>
              </w:tc>
              <w:tc>
                <w:tcPr>
                  <w:tcW w:w="897"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eastAsia="zh-CN"/>
                    </w:rPr>
                  </w:pPr>
                  <w:r>
                    <w:rPr>
                      <w:rFonts w:hint="default" w:ascii="Times New Roman" w:hAnsi="Times New Roman" w:eastAsia="宋体" w:cs="Times New Roman"/>
                      <w:b w:val="0"/>
                      <w:bCs/>
                      <w:color w:val="auto"/>
                      <w:sz w:val="21"/>
                      <w:szCs w:val="21"/>
                      <w:vertAlign w:val="baseline"/>
                      <w:lang w:eastAsia="zh-CN"/>
                    </w:rPr>
                    <w:t>清丰中州水务有限公司第二污水处理厂</w:t>
                  </w:r>
                </w:p>
              </w:tc>
              <w:tc>
                <w:tcPr>
                  <w:tcW w:w="427"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eastAsia="zh-CN"/>
                    </w:rPr>
                  </w:pPr>
                  <w:r>
                    <w:rPr>
                      <w:rFonts w:hint="default" w:ascii="Times New Roman" w:hAnsi="Times New Roman" w:eastAsia="宋体" w:cs="Times New Roman"/>
                      <w:b w:val="0"/>
                      <w:bCs/>
                      <w:color w:val="auto"/>
                      <w:sz w:val="21"/>
                      <w:szCs w:val="21"/>
                      <w:vertAlign w:val="baseline"/>
                      <w:lang w:eastAsia="zh-CN"/>
                    </w:rPr>
                    <w:t>间断排放</w:t>
                  </w:r>
                </w:p>
              </w:tc>
              <w:tc>
                <w:tcPr>
                  <w:tcW w:w="839"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eastAsia="宋体" w:cs="Times New Roman"/>
                      <w:b w:val="0"/>
                      <w:bCs/>
                      <w:color w:val="auto"/>
                      <w:sz w:val="21"/>
                      <w:szCs w:val="21"/>
                      <w:vertAlign w:val="baseline"/>
                      <w:lang w:val="en-US" w:eastAsia="zh-CN"/>
                    </w:rPr>
                    <w:t>3</w:t>
                  </w:r>
                  <w:r>
                    <w:rPr>
                      <w:rFonts w:hint="eastAsia" w:ascii="Times New Roman" w:hAnsi="Times New Roman" w:eastAsia="宋体" w:cs="Times New Roman"/>
                      <w:b w:val="0"/>
                      <w:bCs/>
                      <w:color w:val="auto"/>
                      <w:sz w:val="21"/>
                      <w:szCs w:val="21"/>
                      <w:vertAlign w:val="baseline"/>
                      <w:lang w:val="en-US" w:eastAsia="zh-CN"/>
                    </w:rPr>
                    <w:t>50</w:t>
                  </w:r>
                </w:p>
              </w:tc>
              <w:tc>
                <w:tcPr>
                  <w:tcW w:w="749"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lang w:eastAsia="zh-CN"/>
                    </w:rPr>
                    <w:t>达标</w:t>
                  </w:r>
                </w:p>
              </w:tc>
              <w:tc>
                <w:tcPr>
                  <w:tcW w:w="882"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DW001</w:t>
                  </w:r>
                  <w:r>
                    <w:rPr>
                      <w:rFonts w:hint="eastAsia"/>
                      <w:color w:val="auto"/>
                      <w:lang w:eastAsia="zh-CN"/>
                    </w:rPr>
                    <w:t>厂区</w:t>
                  </w:r>
                  <w:r>
                    <w:rPr>
                      <w:rFonts w:hint="eastAsia" w:ascii="Times New Roman" w:hAnsi="Times New Roman" w:eastAsia="宋体" w:cs="Times New Roman"/>
                      <w:b w:val="0"/>
                      <w:bCs/>
                      <w:color w:val="auto"/>
                      <w:sz w:val="21"/>
                      <w:szCs w:val="21"/>
                      <w:vertAlign w:val="baseline"/>
                      <w:lang w:val="en-US" w:eastAsia="zh-CN"/>
                    </w:rPr>
                    <w:t>污水总</w:t>
                  </w:r>
                  <w:r>
                    <w:rPr>
                      <w:rFonts w:hint="default" w:ascii="Times New Roman" w:hAnsi="Times New Roman" w:eastAsia="宋体" w:cs="Times New Roman"/>
                      <w:b w:val="0"/>
                      <w:bCs/>
                      <w:color w:val="auto"/>
                      <w:sz w:val="21"/>
                      <w:szCs w:val="21"/>
                      <w:vertAlign w:val="baseline"/>
                      <w:lang w:val="en-US" w:eastAsia="zh-CN"/>
                    </w:rPr>
                    <w:t>排放口</w:t>
                  </w:r>
                </w:p>
              </w:tc>
              <w:tc>
                <w:tcPr>
                  <w:tcW w:w="599"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eastAsia="zh-CN"/>
                    </w:rPr>
                  </w:pPr>
                  <w:r>
                    <w:rPr>
                      <w:rFonts w:hint="default" w:ascii="Times New Roman" w:hAnsi="Times New Roman" w:eastAsia="宋体" w:cs="Times New Roman"/>
                      <w:b w:val="0"/>
                      <w:bCs/>
                      <w:color w:val="auto"/>
                      <w:sz w:val="21"/>
                      <w:szCs w:val="21"/>
                      <w:vertAlign w:val="baseline"/>
                      <w:lang w:eastAsia="zh-CN"/>
                    </w:rPr>
                    <w:t>一般排放口</w:t>
                  </w:r>
                </w:p>
              </w:tc>
              <w:tc>
                <w:tcPr>
                  <w:tcW w:w="1651" w:type="dxa"/>
                  <w:vMerge w:val="restart"/>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E115.14254711</w:t>
                  </w:r>
                </w:p>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r>
                    <w:rPr>
                      <w:rFonts w:hint="eastAsia" w:cs="Times New Roman"/>
                      <w:b w:val="0"/>
                      <w:bCs/>
                      <w:color w:val="auto"/>
                      <w:sz w:val="21"/>
                      <w:szCs w:val="21"/>
                      <w:vertAlign w:val="baseline"/>
                      <w:lang w:val="en-US" w:eastAsia="zh-CN"/>
                    </w:rPr>
                    <w:t>N</w:t>
                  </w:r>
                  <w:r>
                    <w:rPr>
                      <w:rFonts w:hint="default" w:ascii="Times New Roman" w:hAnsi="Times New Roman" w:eastAsia="宋体" w:cs="Times New Roman"/>
                      <w:b w:val="0"/>
                      <w:bCs/>
                      <w:color w:val="auto"/>
                      <w:sz w:val="21"/>
                      <w:szCs w:val="21"/>
                      <w:vertAlign w:val="baseline"/>
                      <w:lang w:val="en-US" w:eastAsia="zh-CN"/>
                    </w:rPr>
                    <w:t>35.86618651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lang w:val="en-US" w:eastAsia="zh-CN"/>
                    </w:rPr>
                    <w:t>BOD</w:t>
                  </w:r>
                  <w:r>
                    <w:rPr>
                      <w:rFonts w:hint="default" w:ascii="Times New Roman" w:hAnsi="Times New Roman" w:eastAsia="宋体" w:cs="Times New Roman"/>
                      <w:b w:val="0"/>
                      <w:bCs/>
                      <w:color w:val="auto"/>
                      <w:sz w:val="21"/>
                      <w:szCs w:val="21"/>
                      <w:vertAlign w:val="subscript"/>
                      <w:lang w:val="en-US" w:eastAsia="zh-CN"/>
                    </w:rPr>
                    <w:t>5</w:t>
                  </w:r>
                </w:p>
              </w:tc>
              <w:tc>
                <w:tcPr>
                  <w:tcW w:w="942" w:type="dxa"/>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szCs w:val="21"/>
                      <w:lang w:val="en-US" w:eastAsia="zh-CN"/>
                    </w:rPr>
                    <w:t>136.5</w:t>
                  </w:r>
                </w:p>
              </w:tc>
              <w:tc>
                <w:tcPr>
                  <w:tcW w:w="901" w:type="dxa"/>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szCs w:val="21"/>
                      <w:lang w:val="en-US" w:eastAsia="zh-CN"/>
                    </w:rPr>
                    <w:t>0.0721</w:t>
                  </w:r>
                </w:p>
              </w:tc>
              <w:tc>
                <w:tcPr>
                  <w:tcW w:w="51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89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42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839"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eastAsia="宋体" w:cs="Times New Roman"/>
                      <w:b w:val="0"/>
                      <w:bCs/>
                      <w:color w:val="auto"/>
                      <w:sz w:val="21"/>
                      <w:szCs w:val="21"/>
                      <w:vertAlign w:val="baseline"/>
                      <w:lang w:val="en-US" w:eastAsia="zh-CN"/>
                    </w:rPr>
                    <w:t>170</w:t>
                  </w:r>
                </w:p>
              </w:tc>
              <w:tc>
                <w:tcPr>
                  <w:tcW w:w="749"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lang w:eastAsia="zh-CN"/>
                    </w:rPr>
                    <w:t>达标</w:t>
                  </w:r>
                </w:p>
              </w:tc>
              <w:tc>
                <w:tcPr>
                  <w:tcW w:w="882"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599"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1651"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946"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lang w:val="en-US" w:eastAsia="zh-CN"/>
                    </w:rPr>
                    <w:t>SS</w:t>
                  </w:r>
                </w:p>
              </w:tc>
              <w:tc>
                <w:tcPr>
                  <w:tcW w:w="942" w:type="dxa"/>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auto"/>
                      <w:kern w:val="0"/>
                      <w:sz w:val="21"/>
                      <w:szCs w:val="21"/>
                      <w:u w:val="none"/>
                      <w:lang w:val="en-US" w:eastAsia="zh-CN" w:bidi="ar"/>
                    </w:rPr>
                    <w:t>196</w:t>
                  </w:r>
                </w:p>
              </w:tc>
              <w:tc>
                <w:tcPr>
                  <w:tcW w:w="901" w:type="dxa"/>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szCs w:val="21"/>
                      <w:lang w:val="en-US" w:eastAsia="zh-CN"/>
                    </w:rPr>
                    <w:t>0.1035</w:t>
                  </w:r>
                </w:p>
              </w:tc>
              <w:tc>
                <w:tcPr>
                  <w:tcW w:w="51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89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42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839"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eastAsia="宋体" w:cs="Times New Roman"/>
                      <w:b w:val="0"/>
                      <w:bCs/>
                      <w:color w:val="auto"/>
                      <w:sz w:val="21"/>
                      <w:szCs w:val="21"/>
                      <w:vertAlign w:val="baseline"/>
                      <w:lang w:val="en-US" w:eastAsia="zh-CN"/>
                    </w:rPr>
                    <w:t>21</w:t>
                  </w:r>
                  <w:r>
                    <w:rPr>
                      <w:rFonts w:hint="default" w:ascii="Times New Roman" w:hAnsi="Times New Roman" w:eastAsia="宋体" w:cs="Times New Roman"/>
                      <w:b w:val="0"/>
                      <w:bCs/>
                      <w:color w:val="auto"/>
                      <w:sz w:val="21"/>
                      <w:szCs w:val="21"/>
                      <w:vertAlign w:val="baseline"/>
                      <w:lang w:val="en-US" w:eastAsia="zh-CN"/>
                    </w:rPr>
                    <w:t>0</w:t>
                  </w:r>
                </w:p>
              </w:tc>
              <w:tc>
                <w:tcPr>
                  <w:tcW w:w="749"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lang w:eastAsia="zh-CN"/>
                    </w:rPr>
                    <w:t>达标</w:t>
                  </w:r>
                </w:p>
              </w:tc>
              <w:tc>
                <w:tcPr>
                  <w:tcW w:w="882"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599"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1651"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lang w:val="en-US" w:eastAsia="zh-CN"/>
                    </w:rPr>
                    <w:t>NH</w:t>
                  </w:r>
                  <w:r>
                    <w:rPr>
                      <w:rFonts w:hint="default" w:ascii="Times New Roman" w:hAnsi="Times New Roman" w:eastAsia="宋体" w:cs="Times New Roman"/>
                      <w:b w:val="0"/>
                      <w:bCs/>
                      <w:color w:val="auto"/>
                      <w:sz w:val="21"/>
                      <w:szCs w:val="21"/>
                      <w:vertAlign w:val="subscript"/>
                      <w:lang w:val="en-US" w:eastAsia="zh-CN"/>
                    </w:rPr>
                    <w:t>3</w:t>
                  </w:r>
                  <w:r>
                    <w:rPr>
                      <w:rFonts w:hint="default" w:ascii="Times New Roman" w:hAnsi="Times New Roman" w:eastAsia="宋体" w:cs="Times New Roman"/>
                      <w:b w:val="0"/>
                      <w:bCs/>
                      <w:color w:val="auto"/>
                      <w:sz w:val="21"/>
                      <w:szCs w:val="21"/>
                      <w:vertAlign w:val="baseline"/>
                      <w:lang w:val="en-US" w:eastAsia="zh-CN"/>
                    </w:rPr>
                    <w:t>-N</w:t>
                  </w:r>
                </w:p>
              </w:tc>
              <w:tc>
                <w:tcPr>
                  <w:tcW w:w="942" w:type="dxa"/>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s="Times New Roman"/>
                      <w:i w:val="0"/>
                      <w:iCs w:val="0"/>
                      <w:color w:val="auto"/>
                      <w:kern w:val="0"/>
                      <w:sz w:val="21"/>
                      <w:szCs w:val="21"/>
                      <w:u w:val="none"/>
                      <w:lang w:val="en-US" w:eastAsia="zh-CN" w:bidi="ar"/>
                    </w:rPr>
                    <w:t>24.25</w:t>
                  </w:r>
                </w:p>
              </w:tc>
              <w:tc>
                <w:tcPr>
                  <w:tcW w:w="901" w:type="dxa"/>
                  <w:vAlign w:val="center"/>
                </w:tcPr>
                <w:p>
                  <w:pPr>
                    <w:keepNext w:val="0"/>
                    <w:keepLines w:val="0"/>
                    <w:pageBreakBefore w:val="0"/>
                    <w:widowControl/>
                    <w:suppressLineNumbers w:val="0"/>
                    <w:kinsoku/>
                    <w:wordWrap/>
                    <w:overflowPunct/>
                    <w:topLinePunct w:val="0"/>
                    <w:bidi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eastAsia"/>
                      <w:color w:val="auto"/>
                      <w:sz w:val="21"/>
                      <w:szCs w:val="21"/>
                      <w:lang w:val="en-US" w:eastAsia="zh-CN"/>
                    </w:rPr>
                    <w:t>0.0128</w:t>
                  </w:r>
                </w:p>
              </w:tc>
              <w:tc>
                <w:tcPr>
                  <w:tcW w:w="51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89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427"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839"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lang w:val="en-US" w:eastAsia="zh-CN"/>
                    </w:rPr>
                  </w:pPr>
                  <w:r>
                    <w:rPr>
                      <w:rFonts w:hint="eastAsia" w:eastAsia="宋体" w:cs="Times New Roman"/>
                      <w:b w:val="0"/>
                      <w:bCs/>
                      <w:color w:val="auto"/>
                      <w:sz w:val="21"/>
                      <w:szCs w:val="21"/>
                      <w:vertAlign w:val="baseline"/>
                      <w:lang w:val="en-US" w:eastAsia="zh-CN"/>
                    </w:rPr>
                    <w:t>4</w:t>
                  </w:r>
                  <w:r>
                    <w:rPr>
                      <w:rFonts w:hint="eastAsia" w:ascii="Times New Roman" w:hAnsi="Times New Roman" w:eastAsia="宋体" w:cs="Times New Roman"/>
                      <w:b w:val="0"/>
                      <w:bCs/>
                      <w:color w:val="auto"/>
                      <w:sz w:val="21"/>
                      <w:szCs w:val="21"/>
                      <w:vertAlign w:val="baseline"/>
                      <w:lang w:val="en-US" w:eastAsia="zh-CN"/>
                    </w:rPr>
                    <w:t>0</w:t>
                  </w:r>
                </w:p>
              </w:tc>
              <w:tc>
                <w:tcPr>
                  <w:tcW w:w="749" w:type="dxa"/>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vertAlign w:val="baseline"/>
                      <w:lang w:eastAsia="zh-CN"/>
                    </w:rPr>
                    <w:t>达标</w:t>
                  </w:r>
                </w:p>
              </w:tc>
              <w:tc>
                <w:tcPr>
                  <w:tcW w:w="882"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599"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c>
                <w:tcPr>
                  <w:tcW w:w="1651" w:type="dxa"/>
                  <w:vMerge w:val="continue"/>
                  <w:vAlign w:val="center"/>
                </w:tcPr>
                <w:p>
                  <w:pPr>
                    <w:keepNext w:val="0"/>
                    <w:keepLines/>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val="0"/>
                      <w:bCs/>
                      <w:color w:val="auto"/>
                      <w:sz w:val="21"/>
                      <w:szCs w:val="21"/>
                      <w:vertAlign w:val="baseline"/>
                    </w:rPr>
                  </w:pPr>
                </w:p>
              </w:tc>
            </w:tr>
          </w:tbl>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color w:val="auto"/>
                <w:spacing w:val="-1"/>
              </w:rPr>
            </w:pPr>
            <w:r>
              <w:rPr>
                <w:color w:val="auto"/>
                <w:spacing w:val="-1"/>
              </w:rPr>
              <w:t>由上表可知，项目</w:t>
            </w:r>
            <w:r>
              <w:rPr>
                <w:rFonts w:hint="eastAsia"/>
                <w:color w:val="auto"/>
                <w:spacing w:val="-1"/>
                <w:lang w:eastAsia="zh-CN"/>
              </w:rPr>
              <w:t>生活污水</w:t>
            </w:r>
            <w:r>
              <w:rPr>
                <w:color w:val="auto"/>
                <w:spacing w:val="-1"/>
              </w:rPr>
              <w:t>经厂区化粪池处理后满足清丰中州水务有限公司第二污水处理厂水质收纳标准，同时满足《污水综合排放标准》（GB8978-1996）表4三级标准。</w:t>
            </w:r>
          </w:p>
          <w:p>
            <w:pPr>
              <w:keepNext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b/>
                <w:bCs/>
                <w:color w:val="auto"/>
              </w:rPr>
            </w:pPr>
            <w:r>
              <w:rPr>
                <w:rFonts w:hint="eastAsia"/>
                <w:b/>
                <w:bCs/>
                <w:color w:val="auto"/>
                <w:lang w:eastAsia="zh-CN"/>
              </w:rPr>
              <w:t>（</w:t>
            </w:r>
            <w:r>
              <w:rPr>
                <w:rFonts w:hint="eastAsia"/>
                <w:b/>
                <w:bCs/>
                <w:color w:val="auto"/>
                <w:lang w:val="en-US" w:eastAsia="zh-CN"/>
              </w:rPr>
              <w:t>2</w:t>
            </w:r>
            <w:r>
              <w:rPr>
                <w:rFonts w:hint="eastAsia"/>
                <w:b/>
                <w:bCs/>
                <w:color w:val="auto"/>
                <w:lang w:eastAsia="zh-CN"/>
              </w:rPr>
              <w:t>）</w:t>
            </w:r>
            <w:r>
              <w:rPr>
                <w:rFonts w:hint="eastAsia"/>
                <w:b/>
                <w:bCs/>
                <w:color w:val="auto"/>
              </w:rPr>
              <w:t>排入清丰中州水务有限公司第二污水处理厂可行性分析</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rPr>
            </w:pPr>
            <w:r>
              <w:rPr>
                <w:rFonts w:hint="eastAsia"/>
                <w:color w:val="auto"/>
                <w:lang w:val="en-US" w:eastAsia="zh-CN"/>
              </w:rPr>
              <w:t>①</w:t>
            </w:r>
            <w:r>
              <w:rPr>
                <w:rFonts w:hint="eastAsia"/>
                <w:color w:val="auto"/>
              </w:rPr>
              <w:t>处理工艺及水质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rPr>
            </w:pPr>
            <w:r>
              <w:rPr>
                <w:rFonts w:hint="eastAsia"/>
                <w:color w:val="auto"/>
              </w:rPr>
              <w:t>清丰中州水务有限公司第二污水处理厂设计处理工艺采用改良型Carrousel氧化沟工艺</w:t>
            </w:r>
            <w:r>
              <w:rPr>
                <w:rFonts w:hint="eastAsia"/>
                <w:color w:val="auto"/>
                <w:lang w:eastAsia="zh-CN"/>
              </w:rPr>
              <w:t>，</w:t>
            </w:r>
            <w:r>
              <w:rPr>
                <w:rFonts w:hint="eastAsia"/>
                <w:color w:val="auto"/>
              </w:rPr>
              <w:t>出水水质达到《地表水环境质量标准》（GB3838-2002）Ⅴ类标准。设计进水水质为COD：350mg/L、BOD</w:t>
            </w:r>
            <w:r>
              <w:rPr>
                <w:rFonts w:hint="eastAsia"/>
                <w:color w:val="auto"/>
                <w:vertAlign w:val="subscript"/>
              </w:rPr>
              <w:t>5</w:t>
            </w:r>
            <w:r>
              <w:rPr>
                <w:rFonts w:hint="eastAsia"/>
                <w:color w:val="auto"/>
              </w:rPr>
              <w:t>：1</w:t>
            </w:r>
            <w:r>
              <w:rPr>
                <w:rFonts w:hint="eastAsia"/>
                <w:color w:val="auto"/>
                <w:lang w:val="en-US" w:eastAsia="zh-CN"/>
              </w:rPr>
              <w:t>7</w:t>
            </w:r>
            <w:r>
              <w:rPr>
                <w:rFonts w:hint="eastAsia"/>
                <w:color w:val="auto"/>
              </w:rPr>
              <w:t>0mg/L、SS：2</w:t>
            </w:r>
            <w:r>
              <w:rPr>
                <w:rFonts w:hint="eastAsia"/>
                <w:color w:val="auto"/>
                <w:lang w:val="en-US" w:eastAsia="zh-CN"/>
              </w:rPr>
              <w:t>1</w:t>
            </w:r>
            <w:r>
              <w:rPr>
                <w:rFonts w:hint="eastAsia"/>
                <w:color w:val="auto"/>
              </w:rPr>
              <w:t>0mg/L、NH</w:t>
            </w:r>
            <w:r>
              <w:rPr>
                <w:rFonts w:hint="eastAsia"/>
                <w:color w:val="auto"/>
                <w:vertAlign w:val="subscript"/>
              </w:rPr>
              <w:t>3</w:t>
            </w:r>
            <w:r>
              <w:rPr>
                <w:rFonts w:hint="eastAsia"/>
                <w:color w:val="auto"/>
              </w:rPr>
              <w:t>-N：40mg/L；出水水质为《地表水环境质量标准》（GB3838-2002）Ⅴ类标准（COD：40mg/L、NH</w:t>
            </w:r>
            <w:r>
              <w:rPr>
                <w:rFonts w:hint="eastAsia"/>
                <w:color w:val="auto"/>
                <w:vertAlign w:val="subscript"/>
              </w:rPr>
              <w:t>3</w:t>
            </w:r>
            <w:r>
              <w:rPr>
                <w:rFonts w:hint="eastAsia"/>
                <w:color w:val="auto"/>
              </w:rPr>
              <w:t>-N2mg/L）。根据上述分析，本项目</w:t>
            </w:r>
            <w:r>
              <w:rPr>
                <w:rFonts w:hint="default" w:ascii="Times New Roman" w:hAnsi="Times New Roman" w:eastAsia="宋体" w:cs="Times New Roman"/>
                <w:color w:val="auto"/>
                <w:sz w:val="24"/>
                <w:lang w:val="en-US" w:eastAsia="zh-CN"/>
              </w:rPr>
              <w:t>外排污水各污染物种类及浓度为COD</w:t>
            </w:r>
            <w:r>
              <w:rPr>
                <w:rFonts w:hint="eastAsia" w:cs="Times New Roman"/>
                <w:color w:val="auto"/>
                <w:sz w:val="24"/>
                <w:lang w:val="en-US" w:eastAsia="zh-CN"/>
              </w:rPr>
              <w:t xml:space="preserve"> 255</w:t>
            </w:r>
            <w:r>
              <w:rPr>
                <w:rFonts w:hint="default" w:ascii="Times New Roman" w:hAnsi="Times New Roman" w:eastAsia="宋体" w:cs="Times New Roman"/>
                <w:color w:val="auto"/>
                <w:sz w:val="24"/>
                <w:lang w:val="en-US" w:eastAsia="zh-CN"/>
              </w:rPr>
              <w:t>mg/L、BOD</w:t>
            </w:r>
            <w:r>
              <w:rPr>
                <w:rFonts w:hint="default" w:ascii="Times New Roman" w:hAnsi="Times New Roman" w:eastAsia="宋体" w:cs="Times New Roman"/>
                <w:color w:val="auto"/>
                <w:sz w:val="24"/>
                <w:vertAlign w:val="subscript"/>
                <w:lang w:val="en-US" w:eastAsia="zh-CN"/>
              </w:rPr>
              <w:t>5</w:t>
            </w:r>
            <w:r>
              <w:rPr>
                <w:rFonts w:hint="eastAsia" w:cs="Times New Roman"/>
                <w:color w:val="auto"/>
                <w:sz w:val="24"/>
                <w:vertAlign w:val="baseline"/>
                <w:lang w:val="en-US" w:eastAsia="zh-CN"/>
              </w:rPr>
              <w:t>136.5</w:t>
            </w:r>
            <w:r>
              <w:rPr>
                <w:rFonts w:hint="default" w:ascii="Times New Roman" w:hAnsi="Times New Roman" w:eastAsia="宋体" w:cs="Times New Roman"/>
                <w:color w:val="auto"/>
                <w:sz w:val="24"/>
                <w:lang w:val="en-US" w:eastAsia="zh-CN"/>
              </w:rPr>
              <w:t>mg/L、SS</w:t>
            </w:r>
            <w:r>
              <w:rPr>
                <w:rFonts w:hint="eastAsia" w:cs="Times New Roman"/>
                <w:color w:val="auto"/>
                <w:sz w:val="24"/>
                <w:lang w:val="en-US" w:eastAsia="zh-CN"/>
              </w:rPr>
              <w:t xml:space="preserve"> 196</w:t>
            </w:r>
            <w:r>
              <w:rPr>
                <w:rFonts w:hint="default" w:ascii="Times New Roman" w:hAnsi="Times New Roman" w:eastAsia="宋体" w:cs="Times New Roman"/>
                <w:color w:val="auto"/>
                <w:sz w:val="24"/>
                <w:lang w:val="en-US" w:eastAsia="zh-CN"/>
              </w:rPr>
              <w:t>mg/L、NH</w:t>
            </w:r>
            <w:r>
              <w:rPr>
                <w:rFonts w:hint="default" w:ascii="Times New Roman" w:hAnsi="Times New Roman" w:eastAsia="宋体" w:cs="Times New Roman"/>
                <w:color w:val="auto"/>
                <w:sz w:val="24"/>
                <w:vertAlign w:val="subscript"/>
                <w:lang w:val="en-US" w:eastAsia="zh-CN"/>
              </w:rPr>
              <w:t>3</w:t>
            </w:r>
            <w:r>
              <w:rPr>
                <w:rFonts w:hint="default" w:ascii="Times New Roman" w:hAnsi="Times New Roman" w:eastAsia="宋体" w:cs="Times New Roman"/>
                <w:color w:val="auto"/>
                <w:sz w:val="24"/>
                <w:lang w:val="en-US" w:eastAsia="zh-CN"/>
              </w:rPr>
              <w:t>-N</w:t>
            </w:r>
            <w:r>
              <w:rPr>
                <w:rFonts w:hint="eastAsia" w:cs="Times New Roman"/>
                <w:color w:val="auto"/>
                <w:sz w:val="24"/>
                <w:lang w:val="en-US" w:eastAsia="zh-CN"/>
              </w:rPr>
              <w:t>24.25</w:t>
            </w:r>
            <w:r>
              <w:rPr>
                <w:rFonts w:hint="default" w:ascii="Times New Roman" w:hAnsi="Times New Roman" w:eastAsia="宋体" w:cs="Times New Roman"/>
                <w:color w:val="auto"/>
                <w:sz w:val="24"/>
                <w:lang w:val="en-US" w:eastAsia="zh-CN"/>
              </w:rPr>
              <w:t>mg/L</w:t>
            </w:r>
            <w:r>
              <w:rPr>
                <w:rFonts w:hint="eastAsia"/>
                <w:color w:val="auto"/>
              </w:rPr>
              <w:t>，可以满足清丰中州水务有限公司第二污水处理厂进水水质要求。</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rPr>
            </w:pPr>
            <w:r>
              <w:rPr>
                <w:rFonts w:hint="eastAsia"/>
                <w:color w:val="auto"/>
                <w:lang w:val="en-US" w:eastAsia="zh-CN"/>
              </w:rPr>
              <w:t>②</w:t>
            </w:r>
            <w:r>
              <w:rPr>
                <w:rFonts w:hint="eastAsia"/>
                <w:color w:val="auto"/>
              </w:rPr>
              <w:t>水量</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rPr>
            </w:pPr>
            <w:r>
              <w:rPr>
                <w:rFonts w:hint="eastAsia"/>
                <w:color w:val="auto"/>
              </w:rPr>
              <w:t>目前清丰中州水务有限公司第二污水处理厂已收纳1</w:t>
            </w:r>
            <w:r>
              <w:rPr>
                <w:rFonts w:hint="eastAsia"/>
                <w:color w:val="auto"/>
                <w:lang w:val="en-US" w:eastAsia="zh-CN"/>
              </w:rPr>
              <w:t>.3~1.4</w:t>
            </w:r>
            <w:r>
              <w:rPr>
                <w:rFonts w:hint="eastAsia"/>
                <w:color w:val="auto"/>
              </w:rPr>
              <w:t>万m</w:t>
            </w:r>
            <w:r>
              <w:rPr>
                <w:rFonts w:hint="eastAsia"/>
                <w:color w:val="auto"/>
                <w:vertAlign w:val="superscript"/>
              </w:rPr>
              <w:t>3</w:t>
            </w:r>
            <w:r>
              <w:rPr>
                <w:rFonts w:hint="eastAsia"/>
                <w:color w:val="auto"/>
                <w:lang w:val="en-US" w:eastAsia="zh-CN"/>
              </w:rPr>
              <w:t>/</w:t>
            </w:r>
            <w:r>
              <w:rPr>
                <w:rFonts w:hint="eastAsia"/>
                <w:color w:val="auto"/>
              </w:rPr>
              <w:t>d，剩余</w:t>
            </w:r>
            <w:r>
              <w:rPr>
                <w:rFonts w:hint="eastAsia"/>
                <w:color w:val="auto"/>
                <w:lang w:val="en-US" w:eastAsia="zh-CN"/>
              </w:rPr>
              <w:t>0.6</w:t>
            </w:r>
            <w:r>
              <w:rPr>
                <w:rFonts w:hint="eastAsia"/>
                <w:color w:val="auto"/>
              </w:rPr>
              <w:t>万m</w:t>
            </w:r>
            <w:r>
              <w:rPr>
                <w:rFonts w:hint="eastAsia"/>
                <w:color w:val="auto"/>
                <w:vertAlign w:val="superscript"/>
              </w:rPr>
              <w:t>3</w:t>
            </w:r>
            <w:r>
              <w:rPr>
                <w:rFonts w:hint="eastAsia"/>
                <w:color w:val="auto"/>
                <w:lang w:val="en-US" w:eastAsia="zh-CN"/>
              </w:rPr>
              <w:t>/</w:t>
            </w:r>
            <w:r>
              <w:rPr>
                <w:rFonts w:hint="eastAsia"/>
                <w:color w:val="auto"/>
              </w:rPr>
              <w:t>d。本项目废水总排放量为</w:t>
            </w:r>
            <w:r>
              <w:rPr>
                <w:rFonts w:hint="eastAsia"/>
                <w:color w:val="auto"/>
                <w:lang w:val="en-US" w:eastAsia="zh-CN"/>
              </w:rPr>
              <w:t>1.76</w:t>
            </w:r>
            <w:r>
              <w:rPr>
                <w:rFonts w:hint="eastAsia"/>
                <w:color w:val="auto"/>
              </w:rPr>
              <w:t>m</w:t>
            </w:r>
            <w:r>
              <w:rPr>
                <w:rFonts w:hint="eastAsia"/>
                <w:color w:val="auto"/>
                <w:vertAlign w:val="superscript"/>
              </w:rPr>
              <w:t>3</w:t>
            </w:r>
            <w:r>
              <w:rPr>
                <w:rFonts w:hint="eastAsia"/>
                <w:color w:val="auto"/>
                <w:lang w:val="en-US" w:eastAsia="zh-CN"/>
              </w:rPr>
              <w:t>/</w:t>
            </w:r>
            <w:r>
              <w:rPr>
                <w:rFonts w:hint="eastAsia"/>
                <w:color w:val="auto"/>
              </w:rPr>
              <w:t>d，约占污水处理厂剩余日处理污水规模的0.0</w:t>
            </w:r>
            <w:r>
              <w:rPr>
                <w:rFonts w:hint="eastAsia"/>
                <w:color w:val="auto"/>
                <w:lang w:val="en-US" w:eastAsia="zh-CN"/>
              </w:rPr>
              <w:t>293</w:t>
            </w:r>
            <w:r>
              <w:rPr>
                <w:rFonts w:hint="eastAsia"/>
                <w:color w:val="auto"/>
              </w:rPr>
              <w:t>%，排放浓度满足清丰中州水务有限公司第二污水处理厂的受纳水质要求，排放量及浓度对其冲击影响很小。</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rPr>
            </w:pPr>
            <w:r>
              <w:rPr>
                <w:rFonts w:hint="eastAsia"/>
                <w:color w:val="auto"/>
                <w:lang w:val="en-US" w:eastAsia="zh-CN"/>
              </w:rPr>
              <w:t>③</w:t>
            </w:r>
            <w:r>
              <w:rPr>
                <w:rFonts w:hint="eastAsia"/>
                <w:color w:val="auto"/>
              </w:rPr>
              <w:t>管网</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eastAsia="宋体"/>
                <w:color w:val="auto"/>
                <w:lang w:val="en-US" w:eastAsia="zh-CN"/>
              </w:rPr>
            </w:pPr>
            <w:r>
              <w:rPr>
                <w:rFonts w:hint="eastAsia"/>
                <w:color w:val="auto"/>
              </w:rPr>
              <w:t>清丰中州水务有限公司第二污水处理厂位于清丰县金水路与106国道交叉口西北角，主要收集清丰县城东部地区和清丰县先进制造业开发区的生活污水和工业废水</w:t>
            </w:r>
            <w:r>
              <w:rPr>
                <w:rFonts w:hint="eastAsia"/>
                <w:color w:val="auto"/>
                <w:lang w:eastAsia="zh-CN"/>
              </w:rPr>
              <w:t>，</w:t>
            </w:r>
            <w:r>
              <w:rPr>
                <w:rFonts w:hint="eastAsia"/>
                <w:color w:val="auto"/>
                <w:lang w:val="en-US" w:eastAsia="zh-CN"/>
              </w:rPr>
              <w:t>污水管网已铺设至本项目北侧道路。</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rPr>
            </w:pPr>
            <w:r>
              <w:rPr>
                <w:rFonts w:hint="eastAsia"/>
                <w:color w:val="auto"/>
              </w:rPr>
              <w:t>综上分析，本项目废水排入清丰中州水务有限公司第二污水处理厂，依托可行。</w:t>
            </w:r>
          </w:p>
          <w:p>
            <w:pPr>
              <w:keepNext w:val="0"/>
              <w:pageBreakBefore w:val="0"/>
              <w:widowControl/>
              <w:kinsoku/>
              <w:wordWrap/>
              <w:overflowPunct/>
              <w:topLinePunct w:val="0"/>
              <w:autoSpaceDE w:val="0"/>
              <w:autoSpaceDN w:val="0"/>
              <w:bidi w:val="0"/>
              <w:adjustRightInd w:val="0"/>
              <w:snapToGrid w:val="0"/>
              <w:spacing w:line="360" w:lineRule="auto"/>
              <w:ind w:firstLine="478" w:firstLineChars="200"/>
              <w:textAlignment w:val="baseline"/>
              <w:rPr>
                <w:b/>
                <w:bCs/>
                <w:color w:val="auto"/>
                <w:spacing w:val="-1"/>
              </w:rPr>
            </w:pPr>
            <w:r>
              <w:rPr>
                <w:rFonts w:hint="eastAsia"/>
                <w:b/>
                <w:bCs/>
                <w:color w:val="auto"/>
                <w:spacing w:val="-1"/>
                <w:lang w:eastAsia="zh-CN"/>
              </w:rPr>
              <w:t>（</w:t>
            </w:r>
            <w:r>
              <w:rPr>
                <w:rFonts w:hint="eastAsia"/>
                <w:b/>
                <w:bCs/>
                <w:color w:val="auto"/>
                <w:spacing w:val="-1"/>
                <w:lang w:val="en-US" w:eastAsia="zh-CN"/>
              </w:rPr>
              <w:t>3</w:t>
            </w:r>
            <w:r>
              <w:rPr>
                <w:rFonts w:hint="eastAsia"/>
                <w:b/>
                <w:bCs/>
                <w:color w:val="auto"/>
                <w:spacing w:val="-1"/>
                <w:lang w:eastAsia="zh-CN"/>
              </w:rPr>
              <w:t>）</w:t>
            </w:r>
            <w:r>
              <w:rPr>
                <w:b/>
                <w:bCs/>
                <w:color w:val="auto"/>
                <w:spacing w:val="-1"/>
              </w:rPr>
              <w:t>废水例行监测计划</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color w:val="auto"/>
                <w:spacing w:val="-1"/>
              </w:rPr>
            </w:pPr>
            <w:r>
              <w:rPr>
                <w:color w:val="auto"/>
                <w:spacing w:val="-1"/>
              </w:rPr>
              <w:t>按照《排污单位自行监测技术指南涂装》（HJ1086-2020）中的监测要求，本项目废水例行监测计划内容如下：</w:t>
            </w:r>
          </w:p>
          <w:p>
            <w:pPr>
              <w:pStyle w:val="33"/>
              <w:keepNext w:val="0"/>
              <w:pageBreakBefore w:val="0"/>
              <w:kinsoku/>
              <w:wordWrap/>
              <w:overflowPunct/>
              <w:topLinePunct w:val="0"/>
              <w:bidi w:val="0"/>
              <w:spacing w:before="181" w:line="213" w:lineRule="auto"/>
              <w:ind w:left="2782"/>
              <w:rPr>
                <w:b/>
                <w:bCs/>
                <w:color w:val="auto"/>
                <w:u w:val="single"/>
              </w:rPr>
            </w:pPr>
            <w:r>
              <w:rPr>
                <w:b/>
                <w:bCs/>
                <w:color w:val="auto"/>
                <w:spacing w:val="-3"/>
                <w:u w:val="single"/>
              </w:rPr>
              <w:t>表</w:t>
            </w:r>
            <w:r>
              <w:rPr>
                <w:rFonts w:ascii="Times New Roman" w:hAnsi="Times New Roman" w:eastAsia="Times New Roman" w:cs="Times New Roman"/>
                <w:b/>
                <w:bCs/>
                <w:color w:val="auto"/>
                <w:spacing w:val="-3"/>
                <w:u w:val="single"/>
              </w:rPr>
              <w:t>4-</w:t>
            </w:r>
            <w:r>
              <w:rPr>
                <w:rFonts w:hint="eastAsia" w:ascii="Times New Roman" w:hAnsi="Times New Roman" w:cs="Times New Roman"/>
                <w:b/>
                <w:bCs/>
                <w:color w:val="auto"/>
                <w:spacing w:val="-3"/>
                <w:u w:val="single"/>
                <w:lang w:val="en-US" w:eastAsia="zh-CN"/>
              </w:rPr>
              <w:t>8</w:t>
            </w:r>
            <w:r>
              <w:rPr>
                <w:rFonts w:hint="eastAsia" w:ascii="Times New Roman" w:hAnsi="Times New Roman" w:cs="Times New Roman"/>
                <w:b/>
                <w:bCs/>
                <w:color w:val="auto"/>
                <w:spacing w:val="-3"/>
                <w:u w:val="single"/>
                <w:lang w:eastAsia="zh-CN"/>
              </w:rPr>
              <w:t xml:space="preserve">  </w:t>
            </w:r>
            <w:r>
              <w:rPr>
                <w:b/>
                <w:bCs/>
                <w:color w:val="auto"/>
                <w:spacing w:val="-3"/>
                <w:u w:val="single"/>
              </w:rPr>
              <w:t>本项目废水监测计划</w:t>
            </w:r>
          </w:p>
          <w:tbl>
            <w:tblPr>
              <w:tblStyle w:val="32"/>
              <w:tblW w:w="93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251"/>
              <w:gridCol w:w="1494"/>
              <w:gridCol w:w="1048"/>
              <w:gridCol w:w="43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8" w:hRule="atLeast"/>
              </w:trPr>
              <w:tc>
                <w:tcPr>
                  <w:tcW w:w="1168"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监测项目</w:t>
                  </w:r>
                </w:p>
              </w:tc>
              <w:tc>
                <w:tcPr>
                  <w:tcW w:w="1251"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监测点位</w:t>
                  </w:r>
                </w:p>
              </w:tc>
              <w:tc>
                <w:tcPr>
                  <w:tcW w:w="1494"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监测指标</w:t>
                  </w:r>
                </w:p>
              </w:tc>
              <w:tc>
                <w:tcPr>
                  <w:tcW w:w="1048"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监测频次</w:t>
                  </w:r>
                </w:p>
              </w:tc>
              <w:tc>
                <w:tcPr>
                  <w:tcW w:w="4396"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执行标准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79" w:hRule="atLeast"/>
              </w:trPr>
              <w:tc>
                <w:tcPr>
                  <w:tcW w:w="1168"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废水</w:t>
                  </w:r>
                </w:p>
              </w:tc>
              <w:tc>
                <w:tcPr>
                  <w:tcW w:w="1251"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废水排放口</w:t>
                  </w:r>
                </w:p>
              </w:tc>
              <w:tc>
                <w:tcPr>
                  <w:tcW w:w="1494" w:type="dxa"/>
                  <w:vAlign w:val="center"/>
                </w:tcPr>
                <w:p>
                  <w:pPr>
                    <w:keepNext w:val="0"/>
                    <w:pageBreakBefore w:val="0"/>
                    <w:kinsoku/>
                    <w:wordWrap/>
                    <w:overflowPunct/>
                    <w:topLinePunct w:val="0"/>
                    <w:bidi w:val="0"/>
                    <w:jc w:val="center"/>
                    <w:rPr>
                      <w:b/>
                      <w:bCs/>
                      <w:color w:val="auto"/>
                      <w:sz w:val="21"/>
                      <w:szCs w:val="21"/>
                      <w:u w:val="single"/>
                    </w:rPr>
                  </w:pPr>
                  <w:r>
                    <w:rPr>
                      <w:rFonts w:hint="eastAsia"/>
                      <w:b/>
                      <w:bCs/>
                      <w:color w:val="auto"/>
                      <w:sz w:val="21"/>
                      <w:szCs w:val="21"/>
                      <w:u w:val="single"/>
                      <w:lang w:val="en-US" w:eastAsia="zh-CN"/>
                    </w:rPr>
                    <w:t>p</w:t>
                  </w:r>
                  <w:r>
                    <w:rPr>
                      <w:b/>
                      <w:bCs/>
                      <w:color w:val="auto"/>
                      <w:sz w:val="21"/>
                      <w:szCs w:val="21"/>
                      <w:u w:val="single"/>
                    </w:rPr>
                    <w:t>H、COD、氨氮、BOD</w:t>
                  </w:r>
                  <w:r>
                    <w:rPr>
                      <w:b/>
                      <w:bCs/>
                      <w:color w:val="auto"/>
                      <w:sz w:val="21"/>
                      <w:szCs w:val="21"/>
                      <w:u w:val="single"/>
                      <w:vertAlign w:val="subscript"/>
                    </w:rPr>
                    <w:t>5</w:t>
                  </w:r>
                  <w:r>
                    <w:rPr>
                      <w:rFonts w:hint="eastAsia"/>
                      <w:b/>
                      <w:bCs/>
                      <w:color w:val="auto"/>
                      <w:sz w:val="21"/>
                      <w:szCs w:val="21"/>
                      <w:u w:val="single"/>
                    </w:rPr>
                    <w:t>、</w:t>
                  </w:r>
                  <w:r>
                    <w:rPr>
                      <w:b/>
                      <w:bCs/>
                      <w:color w:val="auto"/>
                      <w:sz w:val="21"/>
                      <w:szCs w:val="21"/>
                      <w:u w:val="single"/>
                    </w:rPr>
                    <w:t>SS</w:t>
                  </w:r>
                </w:p>
              </w:tc>
              <w:tc>
                <w:tcPr>
                  <w:tcW w:w="1048"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1次/</w:t>
                  </w:r>
                  <w:r>
                    <w:rPr>
                      <w:rFonts w:hint="eastAsia"/>
                      <w:b/>
                      <w:bCs/>
                      <w:color w:val="auto"/>
                      <w:sz w:val="21"/>
                      <w:szCs w:val="21"/>
                      <w:u w:val="single"/>
                    </w:rPr>
                    <w:t>年</w:t>
                  </w:r>
                </w:p>
              </w:tc>
              <w:tc>
                <w:tcPr>
                  <w:tcW w:w="4396"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清丰中州水务有限公司第二污水处理厂受</w:t>
                  </w:r>
                </w:p>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纳水质标准以及《污水综合排放标准》（GB8978-1996）表4三级标准</w:t>
                  </w:r>
                </w:p>
              </w:tc>
            </w:tr>
          </w:tbl>
          <w:p>
            <w:pPr>
              <w:keepNext w:val="0"/>
              <w:pageBreakBefore w:val="0"/>
              <w:widowControl/>
              <w:kinsoku/>
              <w:wordWrap/>
              <w:overflowPunct/>
              <w:topLinePunct w:val="0"/>
              <w:autoSpaceDE w:val="0"/>
              <w:autoSpaceDN w:val="0"/>
              <w:bidi w:val="0"/>
              <w:adjustRightInd w:val="0"/>
              <w:snapToGrid w:val="0"/>
              <w:spacing w:line="360" w:lineRule="auto"/>
              <w:ind w:firstLine="478" w:firstLineChars="200"/>
              <w:textAlignment w:val="baseline"/>
              <w:rPr>
                <w:b/>
                <w:bCs/>
                <w:color w:val="auto"/>
                <w:spacing w:val="-1"/>
              </w:rPr>
            </w:pPr>
            <w:r>
              <w:rPr>
                <w:b/>
                <w:bCs/>
                <w:color w:val="auto"/>
                <w:spacing w:val="-1"/>
              </w:rPr>
              <w:t>三、噪声环境影响及治理措施</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color w:val="auto"/>
                <w:spacing w:val="-1"/>
              </w:rPr>
            </w:pPr>
            <w:r>
              <w:rPr>
                <w:color w:val="auto"/>
                <w:spacing w:val="-1"/>
              </w:rPr>
              <w:t>3.1噪声源强及降噪措施</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color w:val="auto"/>
                <w:spacing w:val="-1"/>
              </w:rPr>
            </w:pPr>
            <w:r>
              <w:rPr>
                <w:color w:val="auto"/>
                <w:spacing w:val="-1"/>
              </w:rPr>
              <w:t>本项目噪声污染源主要为</w:t>
            </w:r>
            <w:r>
              <w:rPr>
                <w:rFonts w:hint="eastAsia"/>
                <w:color w:val="auto"/>
                <w:spacing w:val="-1"/>
                <w:lang w:val="en-US" w:eastAsia="zh-CN"/>
              </w:rPr>
              <w:t>电子锯、</w:t>
            </w:r>
            <w:r>
              <w:rPr>
                <w:color w:val="auto"/>
                <w:spacing w:val="-1"/>
              </w:rPr>
              <w:t>推台锯、</w:t>
            </w:r>
            <w:r>
              <w:rPr>
                <w:rFonts w:hint="eastAsia"/>
                <w:color w:val="auto"/>
                <w:spacing w:val="-1"/>
                <w:lang w:val="en-US" w:eastAsia="zh-CN"/>
              </w:rPr>
              <w:t>六面钻、立铣、封边机</w:t>
            </w:r>
            <w:r>
              <w:rPr>
                <w:color w:val="auto"/>
                <w:spacing w:val="-1"/>
              </w:rPr>
              <w:t>等设备运行时产生的机械噪声，噪声源强为75～85dB</w:t>
            </w:r>
            <w:r>
              <w:rPr>
                <w:rFonts w:hint="eastAsia"/>
                <w:color w:val="auto"/>
                <w:spacing w:val="-1"/>
                <w:lang w:eastAsia="zh-CN"/>
              </w:rPr>
              <w:t>（</w:t>
            </w:r>
            <w:r>
              <w:rPr>
                <w:color w:val="auto"/>
                <w:spacing w:val="-1"/>
              </w:rPr>
              <w:t>A</w:t>
            </w:r>
            <w:r>
              <w:rPr>
                <w:rFonts w:hint="eastAsia"/>
                <w:color w:val="auto"/>
                <w:spacing w:val="-1"/>
                <w:lang w:eastAsia="zh-CN"/>
              </w:rPr>
              <w:t>）</w:t>
            </w:r>
            <w:r>
              <w:rPr>
                <w:color w:val="auto"/>
                <w:spacing w:val="-1"/>
              </w:rPr>
              <w:t>。</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color w:val="auto"/>
                <w:spacing w:val="-1"/>
              </w:rPr>
            </w:pPr>
            <w:r>
              <w:rPr>
                <w:color w:val="auto"/>
                <w:spacing w:val="-1"/>
              </w:rPr>
              <w:t>为最大限度</w:t>
            </w:r>
            <w:r>
              <w:rPr>
                <w:rFonts w:hint="eastAsia"/>
                <w:color w:val="auto"/>
                <w:spacing w:val="-1"/>
              </w:rPr>
              <w:t>地</w:t>
            </w:r>
            <w:r>
              <w:rPr>
                <w:color w:val="auto"/>
                <w:spacing w:val="-1"/>
              </w:rPr>
              <w:t>减小噪声影响，目前企业在项目实施过程中已落实了以下</w:t>
            </w:r>
            <w:r>
              <w:rPr>
                <w:rFonts w:hint="eastAsia"/>
                <w:color w:val="auto"/>
                <w:spacing w:val="-1"/>
                <w:lang w:eastAsia="zh-CN"/>
              </w:rPr>
              <w:t>几项</w:t>
            </w:r>
            <w:r>
              <w:rPr>
                <w:color w:val="auto"/>
                <w:spacing w:val="-1"/>
              </w:rPr>
              <w:t>噪声防治措施：</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color w:val="auto"/>
                <w:spacing w:val="-1"/>
              </w:rPr>
            </w:pPr>
            <w:r>
              <w:rPr>
                <w:color w:val="auto"/>
                <w:spacing w:val="-1"/>
              </w:rPr>
              <w:t>（1）对</w:t>
            </w:r>
            <w:r>
              <w:rPr>
                <w:rFonts w:hint="eastAsia"/>
                <w:color w:val="auto"/>
                <w:spacing w:val="-1"/>
                <w:lang w:val="en-US" w:eastAsia="zh-CN"/>
              </w:rPr>
              <w:t>电子锯、</w:t>
            </w:r>
            <w:r>
              <w:rPr>
                <w:color w:val="auto"/>
                <w:spacing w:val="-1"/>
              </w:rPr>
              <w:t>推台锯、</w:t>
            </w:r>
            <w:r>
              <w:rPr>
                <w:rFonts w:hint="eastAsia"/>
                <w:color w:val="auto"/>
                <w:spacing w:val="-1"/>
                <w:lang w:val="en-US" w:eastAsia="zh-CN"/>
              </w:rPr>
              <w:t>六面钻、立铣、封边机</w:t>
            </w:r>
            <w:r>
              <w:rPr>
                <w:color w:val="auto"/>
                <w:spacing w:val="-1"/>
              </w:rPr>
              <w:t>等设备做基础防震</w:t>
            </w:r>
            <w:r>
              <w:rPr>
                <w:rFonts w:hint="eastAsia"/>
                <w:color w:val="auto"/>
                <w:spacing w:val="-1"/>
                <w:lang w:val="en-US" w:eastAsia="zh-CN"/>
              </w:rPr>
              <w:t>或</w:t>
            </w:r>
            <w:r>
              <w:rPr>
                <w:rFonts w:hint="eastAsia"/>
                <w:color w:val="auto"/>
                <w:spacing w:val="-1"/>
              </w:rPr>
              <w:t>隔声</w:t>
            </w:r>
            <w:r>
              <w:rPr>
                <w:color w:val="auto"/>
                <w:spacing w:val="-1"/>
              </w:rPr>
              <w:t>。</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rFonts w:hint="eastAsia" w:eastAsia="宋体"/>
                <w:color w:val="auto"/>
                <w:spacing w:val="-1"/>
                <w:lang w:val="en-US" w:eastAsia="zh-CN"/>
              </w:rPr>
            </w:pPr>
            <w:r>
              <w:rPr>
                <w:color w:val="auto"/>
                <w:spacing w:val="-1"/>
              </w:rPr>
              <w:t>（2）企业在生产时尽可能</w:t>
            </w:r>
            <w:r>
              <w:rPr>
                <w:rFonts w:hint="eastAsia"/>
                <w:color w:val="auto"/>
                <w:spacing w:val="-1"/>
                <w:lang w:eastAsia="zh-CN"/>
              </w:rPr>
              <w:t>地</w:t>
            </w:r>
            <w:r>
              <w:rPr>
                <w:color w:val="auto"/>
                <w:spacing w:val="-1"/>
              </w:rPr>
              <w:t>关门、关窗作业，并严格控制生产时间，夜间不组织生产</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color w:val="auto"/>
                <w:spacing w:val="-1"/>
              </w:rPr>
            </w:pPr>
            <w:r>
              <w:rPr>
                <w:color w:val="auto"/>
                <w:spacing w:val="-1"/>
              </w:rPr>
              <w:t>（3）加强工人的日常操作管理和设备日常维护，物品中转运输过程中注意轻放，避免非正常噪声的发生。</w:t>
            </w:r>
          </w:p>
          <w:p>
            <w:pPr>
              <w:keepNext w:val="0"/>
              <w:pageBreakBefore w:val="0"/>
              <w:widowControl/>
              <w:kinsoku/>
              <w:wordWrap/>
              <w:overflowPunct/>
              <w:topLinePunct w:val="0"/>
              <w:autoSpaceDE w:val="0"/>
              <w:autoSpaceDN w:val="0"/>
              <w:bidi w:val="0"/>
              <w:adjustRightInd w:val="0"/>
              <w:snapToGrid w:val="0"/>
              <w:spacing w:line="360" w:lineRule="auto"/>
              <w:ind w:firstLine="476" w:firstLineChars="200"/>
              <w:textAlignment w:val="baseline"/>
              <w:rPr>
                <w:b/>
                <w:bCs/>
                <w:color w:val="auto"/>
                <w:u w:val="none"/>
              </w:rPr>
            </w:pPr>
            <w:r>
              <w:rPr>
                <w:color w:val="auto"/>
                <w:spacing w:val="-1"/>
              </w:rPr>
              <w:t>采取以上措施后，各产噪设备源强见下表。</w:t>
            </w:r>
          </w:p>
          <w:p>
            <w:pPr>
              <w:keepNext w:val="0"/>
              <w:pageBreakBefore w:val="0"/>
              <w:kinsoku/>
              <w:wordWrap/>
              <w:overflowPunct/>
              <w:topLinePunct w:val="0"/>
              <w:bidi w:val="0"/>
              <w:jc w:val="center"/>
              <w:rPr>
                <w:b/>
                <w:bCs/>
                <w:color w:val="auto"/>
                <w:u w:val="none"/>
              </w:rPr>
            </w:pPr>
            <w:r>
              <w:rPr>
                <w:b/>
                <w:bCs/>
                <w:color w:val="auto"/>
                <w:u w:val="none"/>
              </w:rPr>
              <w:t>表4-</w:t>
            </w:r>
            <w:r>
              <w:rPr>
                <w:rFonts w:hint="eastAsia"/>
                <w:b/>
                <w:bCs/>
                <w:color w:val="auto"/>
                <w:u w:val="none"/>
                <w:lang w:val="en-US" w:eastAsia="zh-CN"/>
              </w:rPr>
              <w:t xml:space="preserve">9 </w:t>
            </w:r>
            <w:r>
              <w:rPr>
                <w:rFonts w:hint="eastAsia"/>
                <w:b/>
                <w:bCs/>
                <w:color w:val="auto"/>
                <w:u w:val="none"/>
              </w:rPr>
              <w:t xml:space="preserve"> </w:t>
            </w:r>
            <w:r>
              <w:rPr>
                <w:b/>
                <w:bCs/>
                <w:color w:val="auto"/>
                <w:u w:val="none"/>
              </w:rPr>
              <w:t>本项目噪声源强一览表</w:t>
            </w:r>
          </w:p>
          <w:tbl>
            <w:tblPr>
              <w:tblStyle w:val="32"/>
              <w:tblW w:w="936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000"/>
              <w:gridCol w:w="1284"/>
              <w:gridCol w:w="1106"/>
              <w:gridCol w:w="1600"/>
              <w:gridCol w:w="1318"/>
              <w:gridCol w:w="13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0" w:hRule="atLeast"/>
              </w:trPr>
              <w:tc>
                <w:tcPr>
                  <w:tcW w:w="735"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bCs/>
                      <w:color w:val="auto"/>
                      <w:spacing w:val="0"/>
                      <w:sz w:val="21"/>
                      <w:szCs w:val="21"/>
                      <w:u w:val="none"/>
                      <w:lang w:eastAsia="zh-CN"/>
                    </w:rPr>
                  </w:pPr>
                  <w:r>
                    <w:rPr>
                      <w:rFonts w:ascii="Times New Roman" w:hAnsi="Times New Roman" w:cs="Times New Roman"/>
                      <w:b/>
                      <w:bCs/>
                      <w:color w:val="auto"/>
                      <w:spacing w:val="0"/>
                      <w:sz w:val="21"/>
                      <w:szCs w:val="21"/>
                      <w:u w:val="none"/>
                      <w:lang w:eastAsia="zh-CN"/>
                    </w:rPr>
                    <w:t>车间</w:t>
                  </w:r>
                </w:p>
              </w:tc>
              <w:tc>
                <w:tcPr>
                  <w:tcW w:w="2000"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bCs/>
                      <w:color w:val="auto"/>
                      <w:spacing w:val="0"/>
                      <w:sz w:val="21"/>
                      <w:szCs w:val="21"/>
                      <w:u w:val="none"/>
                      <w:lang w:eastAsia="zh-CN"/>
                    </w:rPr>
                  </w:pPr>
                  <w:r>
                    <w:rPr>
                      <w:rFonts w:ascii="Times New Roman" w:hAnsi="Times New Roman" w:cs="Times New Roman"/>
                      <w:b/>
                      <w:bCs/>
                      <w:color w:val="auto"/>
                      <w:spacing w:val="0"/>
                      <w:sz w:val="21"/>
                      <w:szCs w:val="21"/>
                      <w:u w:val="none"/>
                      <w:lang w:eastAsia="zh-CN"/>
                    </w:rPr>
                    <w:t>设备名称</w:t>
                  </w:r>
                </w:p>
              </w:tc>
              <w:tc>
                <w:tcPr>
                  <w:tcW w:w="1284"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bCs/>
                      <w:color w:val="auto"/>
                      <w:spacing w:val="0"/>
                      <w:sz w:val="21"/>
                      <w:szCs w:val="21"/>
                      <w:u w:val="none"/>
                      <w:lang w:eastAsia="zh-CN"/>
                    </w:rPr>
                  </w:pPr>
                  <w:r>
                    <w:rPr>
                      <w:rFonts w:ascii="Times New Roman" w:hAnsi="Times New Roman" w:cs="Times New Roman"/>
                      <w:b/>
                      <w:bCs/>
                      <w:color w:val="auto"/>
                      <w:spacing w:val="0"/>
                      <w:sz w:val="21"/>
                      <w:szCs w:val="21"/>
                      <w:u w:val="none"/>
                      <w:lang w:eastAsia="zh-CN"/>
                    </w:rPr>
                    <w:t>数量（台</w:t>
                  </w:r>
                  <w:r>
                    <w:rPr>
                      <w:rFonts w:ascii="Times New Roman" w:hAnsi="Times New Roman" w:eastAsia="Times New Roman" w:cs="Times New Roman"/>
                      <w:b/>
                      <w:bCs/>
                      <w:color w:val="auto"/>
                      <w:spacing w:val="0"/>
                      <w:sz w:val="21"/>
                      <w:szCs w:val="21"/>
                      <w:u w:val="none"/>
                      <w:lang w:eastAsia="zh-CN"/>
                    </w:rPr>
                    <w:t>/</w:t>
                  </w:r>
                  <w:r>
                    <w:rPr>
                      <w:rFonts w:ascii="Times New Roman" w:hAnsi="Times New Roman" w:cs="Times New Roman"/>
                      <w:b/>
                      <w:bCs/>
                      <w:color w:val="auto"/>
                      <w:spacing w:val="0"/>
                      <w:sz w:val="21"/>
                      <w:szCs w:val="21"/>
                      <w:u w:val="none"/>
                      <w:lang w:eastAsia="zh-CN"/>
                    </w:rPr>
                    <w:t>套）</w:t>
                  </w:r>
                </w:p>
              </w:tc>
              <w:tc>
                <w:tcPr>
                  <w:tcW w:w="1106"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bCs/>
                      <w:color w:val="auto"/>
                      <w:spacing w:val="0"/>
                      <w:sz w:val="21"/>
                      <w:szCs w:val="21"/>
                      <w:u w:val="none"/>
                      <w:lang w:eastAsia="zh-CN"/>
                    </w:rPr>
                  </w:pPr>
                  <w:r>
                    <w:rPr>
                      <w:rFonts w:ascii="Times New Roman" w:hAnsi="Times New Roman" w:cs="Times New Roman"/>
                      <w:b/>
                      <w:bCs/>
                      <w:color w:val="auto"/>
                      <w:spacing w:val="0"/>
                      <w:sz w:val="21"/>
                      <w:szCs w:val="21"/>
                      <w:u w:val="none"/>
                      <w:lang w:eastAsia="zh-CN"/>
                    </w:rPr>
                    <w:t>产生源强</w:t>
                  </w:r>
                  <w:r>
                    <w:rPr>
                      <w:rFonts w:ascii="Times New Roman" w:hAnsi="Times New Roman" w:eastAsia="Times New Roman" w:cs="Times New Roman"/>
                      <w:b/>
                      <w:bCs/>
                      <w:color w:val="auto"/>
                      <w:spacing w:val="0"/>
                      <w:sz w:val="21"/>
                      <w:szCs w:val="21"/>
                      <w:u w:val="none"/>
                      <w:lang w:eastAsia="zh-CN"/>
                    </w:rPr>
                    <w:t>dB</w:t>
                  </w:r>
                  <w:r>
                    <w:rPr>
                      <w:rFonts w:ascii="Times New Roman" w:hAnsi="Times New Roman" w:cs="Times New Roman"/>
                      <w:b/>
                      <w:bCs/>
                      <w:color w:val="auto"/>
                      <w:spacing w:val="0"/>
                      <w:sz w:val="21"/>
                      <w:szCs w:val="21"/>
                      <w:u w:val="none"/>
                      <w:lang w:eastAsia="zh-CN"/>
                    </w:rPr>
                    <w:t>（</w:t>
                  </w:r>
                  <w:r>
                    <w:rPr>
                      <w:rFonts w:ascii="Times New Roman" w:hAnsi="Times New Roman" w:eastAsia="Times New Roman" w:cs="Times New Roman"/>
                      <w:b/>
                      <w:bCs/>
                      <w:color w:val="auto"/>
                      <w:spacing w:val="0"/>
                      <w:sz w:val="21"/>
                      <w:szCs w:val="21"/>
                      <w:u w:val="none"/>
                      <w:lang w:eastAsia="zh-CN"/>
                    </w:rPr>
                    <w:t>A</w:t>
                  </w:r>
                  <w:r>
                    <w:rPr>
                      <w:rFonts w:ascii="Times New Roman" w:hAnsi="Times New Roman" w:cs="Times New Roman"/>
                      <w:b/>
                      <w:bCs/>
                      <w:color w:val="auto"/>
                      <w:spacing w:val="0"/>
                      <w:sz w:val="21"/>
                      <w:szCs w:val="21"/>
                      <w:u w:val="none"/>
                      <w:lang w:eastAsia="zh-CN"/>
                    </w:rPr>
                    <w:t>）</w:t>
                  </w:r>
                </w:p>
              </w:tc>
              <w:tc>
                <w:tcPr>
                  <w:tcW w:w="1600"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bCs/>
                      <w:color w:val="auto"/>
                      <w:spacing w:val="0"/>
                      <w:sz w:val="21"/>
                      <w:szCs w:val="21"/>
                      <w:u w:val="none"/>
                      <w:lang w:eastAsia="zh-CN"/>
                    </w:rPr>
                  </w:pPr>
                  <w:r>
                    <w:rPr>
                      <w:rFonts w:ascii="Times New Roman" w:hAnsi="Times New Roman" w:cs="Times New Roman"/>
                      <w:b/>
                      <w:bCs/>
                      <w:color w:val="auto"/>
                      <w:spacing w:val="0"/>
                      <w:sz w:val="21"/>
                      <w:szCs w:val="21"/>
                      <w:u w:val="none"/>
                      <w:lang w:eastAsia="zh-CN"/>
                    </w:rPr>
                    <w:t>处置措施</w:t>
                  </w:r>
                </w:p>
              </w:tc>
              <w:tc>
                <w:tcPr>
                  <w:tcW w:w="1318" w:type="dxa"/>
                  <w:tcBorders>
                    <w:right w:val="single" w:color="000000" w:sz="10" w:space="0"/>
                  </w:tcBorders>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bCs/>
                      <w:color w:val="auto"/>
                      <w:spacing w:val="0"/>
                      <w:sz w:val="21"/>
                      <w:szCs w:val="21"/>
                      <w:u w:val="none"/>
                      <w:lang w:eastAsia="zh-CN"/>
                    </w:rPr>
                  </w:pPr>
                  <w:r>
                    <w:rPr>
                      <w:rFonts w:ascii="Times New Roman" w:hAnsi="Times New Roman" w:cs="Times New Roman"/>
                      <w:b/>
                      <w:bCs/>
                      <w:color w:val="auto"/>
                      <w:spacing w:val="0"/>
                      <w:sz w:val="21"/>
                      <w:szCs w:val="21"/>
                      <w:u w:val="none"/>
                      <w:lang w:eastAsia="zh-CN"/>
                    </w:rPr>
                    <w:t>排放源强</w:t>
                  </w:r>
                  <w:r>
                    <w:rPr>
                      <w:rFonts w:ascii="Times New Roman" w:hAnsi="Times New Roman" w:eastAsia="Times New Roman" w:cs="Times New Roman"/>
                      <w:b/>
                      <w:bCs/>
                      <w:color w:val="auto"/>
                      <w:spacing w:val="0"/>
                      <w:sz w:val="21"/>
                      <w:szCs w:val="21"/>
                      <w:u w:val="none"/>
                      <w:lang w:eastAsia="zh-CN"/>
                    </w:rPr>
                    <w:t>dB</w:t>
                  </w:r>
                  <w:r>
                    <w:rPr>
                      <w:rFonts w:ascii="Times New Roman" w:hAnsi="Times New Roman" w:cs="Times New Roman"/>
                      <w:b/>
                      <w:bCs/>
                      <w:color w:val="auto"/>
                      <w:spacing w:val="0"/>
                      <w:sz w:val="21"/>
                      <w:szCs w:val="21"/>
                      <w:u w:val="none"/>
                      <w:lang w:eastAsia="zh-CN"/>
                    </w:rPr>
                    <w:t>（</w:t>
                  </w:r>
                  <w:r>
                    <w:rPr>
                      <w:rFonts w:ascii="Times New Roman" w:hAnsi="Times New Roman" w:eastAsia="Times New Roman" w:cs="Times New Roman"/>
                      <w:b/>
                      <w:bCs/>
                      <w:color w:val="auto"/>
                      <w:spacing w:val="0"/>
                      <w:sz w:val="21"/>
                      <w:szCs w:val="21"/>
                      <w:u w:val="none"/>
                      <w:lang w:eastAsia="zh-CN"/>
                    </w:rPr>
                    <w:t>A</w:t>
                  </w:r>
                  <w:r>
                    <w:rPr>
                      <w:rFonts w:ascii="Times New Roman" w:hAnsi="Times New Roman" w:cs="Times New Roman"/>
                      <w:b/>
                      <w:bCs/>
                      <w:color w:val="auto"/>
                      <w:spacing w:val="0"/>
                      <w:sz w:val="21"/>
                      <w:szCs w:val="21"/>
                      <w:u w:val="none"/>
                      <w:lang w:eastAsia="zh-CN"/>
                    </w:rPr>
                    <w:t>）</w:t>
                  </w:r>
                </w:p>
              </w:tc>
              <w:tc>
                <w:tcPr>
                  <w:tcW w:w="1318" w:type="dxa"/>
                  <w:tcBorders>
                    <w:right w:val="single" w:color="000000" w:sz="10" w:space="0"/>
                  </w:tcBorders>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bCs/>
                      <w:color w:val="auto"/>
                      <w:spacing w:val="0"/>
                      <w:sz w:val="21"/>
                      <w:szCs w:val="21"/>
                      <w:u w:val="none"/>
                      <w:lang w:eastAsia="zh-CN"/>
                    </w:rPr>
                  </w:pPr>
                  <w:r>
                    <w:rPr>
                      <w:rFonts w:hint="eastAsia" w:ascii="Times New Roman" w:hAnsi="Times New Roman" w:cs="Times New Roman"/>
                      <w:b/>
                      <w:bCs/>
                      <w:color w:val="auto"/>
                      <w:spacing w:val="0"/>
                      <w:sz w:val="21"/>
                      <w:szCs w:val="21"/>
                      <w:u w:val="none"/>
                      <w:lang w:eastAsia="zh-CN"/>
                    </w:rPr>
                    <w:t>持续时间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val="0"/>
                      <w:bCs w:val="0"/>
                      <w:color w:val="auto"/>
                      <w:spacing w:val="0"/>
                      <w:sz w:val="21"/>
                      <w:szCs w:val="21"/>
                      <w:u w:val="none"/>
                      <w:lang w:eastAsia="zh-CN"/>
                    </w:rPr>
                  </w:pPr>
                  <w:r>
                    <w:rPr>
                      <w:rFonts w:ascii="Times New Roman" w:hAnsi="Times New Roman" w:cs="Times New Roman"/>
                      <w:b w:val="0"/>
                      <w:bCs w:val="0"/>
                      <w:color w:val="auto"/>
                      <w:spacing w:val="0"/>
                      <w:sz w:val="21"/>
                      <w:szCs w:val="21"/>
                      <w:u w:val="none"/>
                      <w:lang w:eastAsia="zh-CN"/>
                    </w:rPr>
                    <w:t>生产车间</w:t>
                  </w:r>
                </w:p>
              </w:tc>
              <w:tc>
                <w:tcPr>
                  <w:tcW w:w="2000"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default" w:ascii="Times New Roman" w:hAnsi="Times New Roman" w:cs="Times New Roman"/>
                      <w:b w:val="0"/>
                      <w:bCs w:val="0"/>
                      <w:color w:val="auto"/>
                      <w:spacing w:val="0"/>
                      <w:sz w:val="21"/>
                      <w:szCs w:val="21"/>
                      <w:u w:val="none"/>
                      <w:lang w:val="en-US" w:eastAsia="zh-CN"/>
                    </w:rPr>
                  </w:pPr>
                  <w:r>
                    <w:rPr>
                      <w:rFonts w:hint="eastAsia" w:ascii="Times New Roman" w:hAnsi="Times New Roman" w:cs="Times New Roman"/>
                      <w:b w:val="0"/>
                      <w:bCs w:val="0"/>
                      <w:color w:val="auto"/>
                      <w:spacing w:val="0"/>
                      <w:sz w:val="21"/>
                      <w:szCs w:val="21"/>
                      <w:u w:val="none"/>
                      <w:lang w:val="en-US" w:eastAsia="zh-CN"/>
                    </w:rPr>
                    <w:t>电子锯</w:t>
                  </w:r>
                </w:p>
              </w:tc>
              <w:tc>
                <w:tcPr>
                  <w:tcW w:w="12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eastAsia" w:eastAsia="宋体"/>
                      <w:b w:val="0"/>
                      <w:bCs w:val="0"/>
                      <w:color w:val="auto"/>
                      <w:spacing w:val="0"/>
                      <w:sz w:val="21"/>
                      <w:szCs w:val="21"/>
                      <w:u w:val="none"/>
                      <w:lang w:eastAsia="zh-CN"/>
                    </w:rPr>
                  </w:pPr>
                  <w:r>
                    <w:rPr>
                      <w:rFonts w:hint="eastAsia"/>
                      <w:b w:val="0"/>
                      <w:bCs w:val="0"/>
                      <w:color w:val="auto"/>
                      <w:spacing w:val="0"/>
                      <w:sz w:val="21"/>
                      <w:szCs w:val="21"/>
                      <w:u w:val="none"/>
                      <w:lang w:val="en-US" w:eastAsia="zh-CN"/>
                    </w:rPr>
                    <w:t>2</w:t>
                  </w:r>
                </w:p>
              </w:tc>
              <w:tc>
                <w:tcPr>
                  <w:tcW w:w="110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eastAsia="Times New Roman"/>
                      <w:b w:val="0"/>
                      <w:bCs w:val="0"/>
                      <w:color w:val="auto"/>
                      <w:spacing w:val="0"/>
                      <w:sz w:val="21"/>
                      <w:szCs w:val="21"/>
                      <w:u w:val="none"/>
                    </w:rPr>
                  </w:pPr>
                  <w:r>
                    <w:rPr>
                      <w:rFonts w:eastAsia="Times New Roman"/>
                      <w:b w:val="0"/>
                      <w:bCs w:val="0"/>
                      <w:color w:val="auto"/>
                      <w:spacing w:val="0"/>
                      <w:sz w:val="21"/>
                      <w:szCs w:val="21"/>
                      <w:u w:val="none"/>
                    </w:rPr>
                    <w:t>85</w:t>
                  </w:r>
                </w:p>
              </w:tc>
              <w:tc>
                <w:tcPr>
                  <w:tcW w:w="1600" w:type="dxa"/>
                  <w:vMerge w:val="restart"/>
                  <w:tcBorders>
                    <w:bottom w:val="nil"/>
                  </w:tcBorders>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val="0"/>
                      <w:bCs w:val="0"/>
                      <w:color w:val="auto"/>
                      <w:spacing w:val="0"/>
                      <w:sz w:val="21"/>
                      <w:szCs w:val="21"/>
                      <w:u w:val="none"/>
                      <w:lang w:eastAsia="zh-CN"/>
                    </w:rPr>
                  </w:pPr>
                  <w:r>
                    <w:rPr>
                      <w:rFonts w:ascii="Times New Roman" w:hAnsi="Times New Roman" w:cs="Times New Roman"/>
                      <w:b w:val="0"/>
                      <w:bCs w:val="0"/>
                      <w:color w:val="auto"/>
                      <w:spacing w:val="0"/>
                      <w:sz w:val="21"/>
                      <w:szCs w:val="21"/>
                      <w:u w:val="none"/>
                      <w:lang w:eastAsia="zh-CN"/>
                    </w:rPr>
                    <w:t>基础减震、厂房隔声</w:t>
                  </w:r>
                </w:p>
              </w:tc>
              <w:tc>
                <w:tcPr>
                  <w:tcW w:w="1318" w:type="dxa"/>
                  <w:tcBorders>
                    <w:right w:val="single" w:color="000000" w:sz="10"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eastAsia="Times New Roman"/>
                      <w:b w:val="0"/>
                      <w:bCs w:val="0"/>
                      <w:color w:val="auto"/>
                      <w:spacing w:val="0"/>
                      <w:sz w:val="21"/>
                      <w:szCs w:val="21"/>
                      <w:u w:val="none"/>
                    </w:rPr>
                  </w:pPr>
                  <w:r>
                    <w:rPr>
                      <w:rFonts w:eastAsia="Times New Roman"/>
                      <w:b w:val="0"/>
                      <w:bCs w:val="0"/>
                      <w:color w:val="auto"/>
                      <w:spacing w:val="0"/>
                      <w:sz w:val="21"/>
                      <w:szCs w:val="21"/>
                      <w:u w:val="none"/>
                    </w:rPr>
                    <w:t>65</w:t>
                  </w:r>
                </w:p>
              </w:tc>
              <w:tc>
                <w:tcPr>
                  <w:tcW w:w="1318" w:type="dxa"/>
                  <w:vMerge w:val="restart"/>
                  <w:tcBorders>
                    <w:right w:val="single" w:color="000000" w:sz="10" w:space="0"/>
                  </w:tcBorders>
                  <w:vAlign w:val="center"/>
                </w:tcPr>
                <w:p>
                  <w:pPr>
                    <w:keepNext w:val="0"/>
                    <w:keepLines w:val="0"/>
                    <w:pageBreakBefore w:val="0"/>
                    <w:kinsoku/>
                    <w:wordWrap/>
                    <w:overflowPunct/>
                    <w:topLinePunct w:val="0"/>
                    <w:bidi w:val="0"/>
                    <w:spacing w:line="240" w:lineRule="auto"/>
                    <w:ind w:right="0" w:firstLine="0"/>
                    <w:jc w:val="center"/>
                    <w:rPr>
                      <w:rFonts w:eastAsia="Times New Roman"/>
                      <w:b w:val="0"/>
                      <w:bCs w:val="0"/>
                      <w:color w:val="auto"/>
                      <w:spacing w:val="0"/>
                      <w:sz w:val="21"/>
                      <w:szCs w:val="21"/>
                      <w:u w:val="none"/>
                    </w:rPr>
                  </w:pPr>
                  <w:r>
                    <w:rPr>
                      <w:rFonts w:hint="eastAsia"/>
                      <w:b w:val="0"/>
                      <w:bCs w:val="0"/>
                      <w:color w:val="auto"/>
                      <w:spacing w:val="0"/>
                      <w:sz w:val="21"/>
                      <w:szCs w:val="21"/>
                      <w:u w:val="none"/>
                    </w:rPr>
                    <w:t>生产期间连续排放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735" w:type="dxa"/>
                  <w:vMerge w:val="continue"/>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val="0"/>
                      <w:bCs w:val="0"/>
                      <w:color w:val="auto"/>
                      <w:spacing w:val="0"/>
                      <w:sz w:val="21"/>
                      <w:szCs w:val="21"/>
                      <w:u w:val="none"/>
                      <w:lang w:eastAsia="zh-CN"/>
                    </w:rPr>
                  </w:pPr>
                </w:p>
              </w:tc>
              <w:tc>
                <w:tcPr>
                  <w:tcW w:w="2000"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eastAsia" w:ascii="Times New Roman" w:hAnsi="Times New Roman" w:cs="Times New Roman"/>
                      <w:b w:val="0"/>
                      <w:bCs w:val="0"/>
                      <w:color w:val="auto"/>
                      <w:spacing w:val="0"/>
                      <w:sz w:val="21"/>
                      <w:szCs w:val="21"/>
                      <w:u w:val="none"/>
                      <w:lang w:val="en-US" w:eastAsia="zh-CN"/>
                    </w:rPr>
                  </w:pPr>
                  <w:r>
                    <w:rPr>
                      <w:rFonts w:hint="eastAsia" w:ascii="Times New Roman" w:hAnsi="Times New Roman" w:cs="Times New Roman"/>
                      <w:b w:val="0"/>
                      <w:bCs w:val="0"/>
                      <w:color w:val="auto"/>
                      <w:spacing w:val="0"/>
                      <w:sz w:val="21"/>
                      <w:szCs w:val="21"/>
                      <w:u w:val="none"/>
                      <w:lang w:val="en-US" w:eastAsia="zh-CN"/>
                    </w:rPr>
                    <w:t>立铣</w:t>
                  </w:r>
                </w:p>
              </w:tc>
              <w:tc>
                <w:tcPr>
                  <w:tcW w:w="12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default"/>
                      <w:b w:val="0"/>
                      <w:bCs w:val="0"/>
                      <w:color w:val="auto"/>
                      <w:spacing w:val="0"/>
                      <w:sz w:val="21"/>
                      <w:szCs w:val="21"/>
                      <w:u w:val="none"/>
                      <w:lang w:val="en-US" w:eastAsia="zh-CN"/>
                    </w:rPr>
                  </w:pPr>
                  <w:r>
                    <w:rPr>
                      <w:rFonts w:hint="eastAsia"/>
                      <w:b w:val="0"/>
                      <w:bCs w:val="0"/>
                      <w:color w:val="auto"/>
                      <w:spacing w:val="0"/>
                      <w:sz w:val="21"/>
                      <w:szCs w:val="21"/>
                      <w:u w:val="none"/>
                      <w:lang w:val="en-US" w:eastAsia="zh-CN"/>
                    </w:rPr>
                    <w:t>3</w:t>
                  </w:r>
                </w:p>
              </w:tc>
              <w:tc>
                <w:tcPr>
                  <w:tcW w:w="110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eastAsia="Times New Roman"/>
                      <w:b w:val="0"/>
                      <w:bCs w:val="0"/>
                      <w:color w:val="auto"/>
                      <w:spacing w:val="0"/>
                      <w:sz w:val="21"/>
                      <w:szCs w:val="21"/>
                      <w:u w:val="none"/>
                    </w:rPr>
                  </w:pPr>
                  <w:r>
                    <w:rPr>
                      <w:rFonts w:eastAsia="Times New Roman"/>
                      <w:b w:val="0"/>
                      <w:bCs w:val="0"/>
                      <w:color w:val="auto"/>
                      <w:spacing w:val="0"/>
                      <w:sz w:val="21"/>
                      <w:szCs w:val="21"/>
                      <w:u w:val="none"/>
                    </w:rPr>
                    <w:t>85</w:t>
                  </w:r>
                </w:p>
              </w:tc>
              <w:tc>
                <w:tcPr>
                  <w:tcW w:w="1600" w:type="dxa"/>
                  <w:vMerge w:val="continue"/>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val="0"/>
                      <w:bCs w:val="0"/>
                      <w:color w:val="auto"/>
                      <w:spacing w:val="0"/>
                      <w:sz w:val="21"/>
                      <w:szCs w:val="21"/>
                      <w:u w:val="none"/>
                      <w:lang w:eastAsia="zh-CN"/>
                    </w:rPr>
                  </w:pPr>
                </w:p>
              </w:tc>
              <w:tc>
                <w:tcPr>
                  <w:tcW w:w="1318" w:type="dxa"/>
                  <w:tcBorders>
                    <w:right w:val="single" w:color="000000" w:sz="10"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default" w:eastAsia="宋体"/>
                      <w:b w:val="0"/>
                      <w:bCs w:val="0"/>
                      <w:color w:val="auto"/>
                      <w:spacing w:val="0"/>
                      <w:sz w:val="21"/>
                      <w:szCs w:val="21"/>
                      <w:u w:val="none"/>
                      <w:lang w:val="en-US" w:eastAsia="zh-CN"/>
                    </w:rPr>
                  </w:pPr>
                  <w:r>
                    <w:rPr>
                      <w:rFonts w:hint="eastAsia" w:eastAsia="宋体"/>
                      <w:b w:val="0"/>
                      <w:bCs w:val="0"/>
                      <w:color w:val="auto"/>
                      <w:spacing w:val="0"/>
                      <w:sz w:val="21"/>
                      <w:szCs w:val="21"/>
                      <w:u w:val="none"/>
                      <w:lang w:val="en-US" w:eastAsia="zh-CN"/>
                    </w:rPr>
                    <w:t>65</w:t>
                  </w:r>
                </w:p>
              </w:tc>
              <w:tc>
                <w:tcPr>
                  <w:tcW w:w="1318" w:type="dxa"/>
                  <w:vMerge w:val="continue"/>
                  <w:tcBorders>
                    <w:right w:val="single" w:color="000000" w:sz="10" w:space="0"/>
                  </w:tcBorders>
                  <w:vAlign w:val="center"/>
                </w:tcPr>
                <w:p>
                  <w:pPr>
                    <w:keepNext w:val="0"/>
                    <w:keepLines w:val="0"/>
                    <w:pageBreakBefore w:val="0"/>
                    <w:kinsoku/>
                    <w:wordWrap/>
                    <w:overflowPunct/>
                    <w:topLinePunct w:val="0"/>
                    <w:bidi w:val="0"/>
                    <w:spacing w:line="240" w:lineRule="auto"/>
                    <w:ind w:right="0" w:firstLine="0"/>
                    <w:jc w:val="center"/>
                    <w:rPr>
                      <w:rFonts w:hint="eastAsia"/>
                      <w:b w:val="0"/>
                      <w:bCs w:val="0"/>
                      <w:color w:val="auto"/>
                      <w:spacing w:val="0"/>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7" w:hRule="atLeast"/>
              </w:trPr>
              <w:tc>
                <w:tcPr>
                  <w:tcW w:w="735" w:type="dxa"/>
                  <w:vMerge w:val="continue"/>
                  <w:tcBorders>
                    <w:top w:val="nil"/>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b w:val="0"/>
                      <w:bCs w:val="0"/>
                      <w:color w:val="auto"/>
                      <w:spacing w:val="0"/>
                      <w:sz w:val="21"/>
                      <w:szCs w:val="21"/>
                      <w:u w:val="none"/>
                    </w:rPr>
                  </w:pPr>
                </w:p>
              </w:tc>
              <w:tc>
                <w:tcPr>
                  <w:tcW w:w="2000"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ascii="Times New Roman" w:hAnsi="Times New Roman" w:cs="Times New Roman"/>
                      <w:b w:val="0"/>
                      <w:bCs w:val="0"/>
                      <w:color w:val="auto"/>
                      <w:spacing w:val="0"/>
                      <w:sz w:val="21"/>
                      <w:szCs w:val="21"/>
                      <w:u w:val="none"/>
                      <w:lang w:eastAsia="zh-CN"/>
                    </w:rPr>
                  </w:pPr>
                  <w:r>
                    <w:rPr>
                      <w:rFonts w:hint="eastAsia" w:ascii="Times New Roman" w:hAnsi="Times New Roman" w:cs="Times New Roman"/>
                      <w:b w:val="0"/>
                      <w:bCs w:val="0"/>
                      <w:color w:val="auto"/>
                      <w:spacing w:val="0"/>
                      <w:sz w:val="21"/>
                      <w:szCs w:val="21"/>
                      <w:u w:val="none"/>
                      <w:lang w:eastAsia="zh-CN"/>
                    </w:rPr>
                    <w:t>推台锯</w:t>
                  </w:r>
                </w:p>
              </w:tc>
              <w:tc>
                <w:tcPr>
                  <w:tcW w:w="12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eastAsia" w:eastAsia="宋体"/>
                      <w:b w:val="0"/>
                      <w:bCs w:val="0"/>
                      <w:color w:val="auto"/>
                      <w:spacing w:val="0"/>
                      <w:sz w:val="21"/>
                      <w:szCs w:val="21"/>
                      <w:u w:val="none"/>
                      <w:lang w:eastAsia="zh-CN"/>
                    </w:rPr>
                  </w:pPr>
                  <w:r>
                    <w:rPr>
                      <w:rFonts w:hint="eastAsia" w:eastAsia="宋体"/>
                      <w:b w:val="0"/>
                      <w:bCs w:val="0"/>
                      <w:color w:val="auto"/>
                      <w:spacing w:val="0"/>
                      <w:sz w:val="21"/>
                      <w:szCs w:val="21"/>
                      <w:u w:val="none"/>
                      <w:lang w:val="en-US" w:eastAsia="zh-CN"/>
                    </w:rPr>
                    <w:t>4</w:t>
                  </w:r>
                </w:p>
              </w:tc>
              <w:tc>
                <w:tcPr>
                  <w:tcW w:w="110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eastAsia="Times New Roman"/>
                      <w:b w:val="0"/>
                      <w:bCs w:val="0"/>
                      <w:color w:val="auto"/>
                      <w:spacing w:val="0"/>
                      <w:sz w:val="21"/>
                      <w:szCs w:val="21"/>
                      <w:u w:val="none"/>
                    </w:rPr>
                  </w:pPr>
                  <w:r>
                    <w:rPr>
                      <w:rFonts w:eastAsia="Times New Roman"/>
                      <w:b w:val="0"/>
                      <w:bCs w:val="0"/>
                      <w:color w:val="auto"/>
                      <w:spacing w:val="0"/>
                      <w:sz w:val="21"/>
                      <w:szCs w:val="21"/>
                      <w:u w:val="none"/>
                    </w:rPr>
                    <w:t>85</w:t>
                  </w:r>
                </w:p>
              </w:tc>
              <w:tc>
                <w:tcPr>
                  <w:tcW w:w="1600" w:type="dxa"/>
                  <w:vMerge w:val="continue"/>
                  <w:tcBorders>
                    <w:top w:val="nil"/>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b w:val="0"/>
                      <w:bCs w:val="0"/>
                      <w:color w:val="auto"/>
                      <w:spacing w:val="0"/>
                      <w:sz w:val="21"/>
                      <w:szCs w:val="21"/>
                      <w:u w:val="none"/>
                    </w:rPr>
                  </w:pPr>
                </w:p>
              </w:tc>
              <w:tc>
                <w:tcPr>
                  <w:tcW w:w="1318" w:type="dxa"/>
                  <w:tcBorders>
                    <w:right w:val="single" w:color="000000" w:sz="10"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eastAsia="Times New Roman"/>
                      <w:b w:val="0"/>
                      <w:bCs w:val="0"/>
                      <w:color w:val="auto"/>
                      <w:spacing w:val="0"/>
                      <w:sz w:val="21"/>
                      <w:szCs w:val="21"/>
                      <w:u w:val="none"/>
                    </w:rPr>
                  </w:pPr>
                  <w:r>
                    <w:rPr>
                      <w:rFonts w:eastAsia="Times New Roman"/>
                      <w:b w:val="0"/>
                      <w:bCs w:val="0"/>
                      <w:color w:val="auto"/>
                      <w:spacing w:val="0"/>
                      <w:sz w:val="21"/>
                      <w:szCs w:val="21"/>
                      <w:u w:val="none"/>
                    </w:rPr>
                    <w:t>65</w:t>
                  </w:r>
                </w:p>
              </w:tc>
              <w:tc>
                <w:tcPr>
                  <w:tcW w:w="1318" w:type="dxa"/>
                  <w:vMerge w:val="continue"/>
                  <w:tcBorders>
                    <w:right w:val="single" w:color="000000" w:sz="10" w:space="0"/>
                  </w:tcBorders>
                  <w:vAlign w:val="center"/>
                </w:tcPr>
                <w:p>
                  <w:pPr>
                    <w:keepNext w:val="0"/>
                    <w:keepLines w:val="0"/>
                    <w:pageBreakBefore w:val="0"/>
                    <w:kinsoku/>
                    <w:wordWrap/>
                    <w:overflowPunct/>
                    <w:topLinePunct w:val="0"/>
                    <w:bidi w:val="0"/>
                    <w:spacing w:line="240" w:lineRule="auto"/>
                    <w:ind w:right="0" w:firstLine="0"/>
                    <w:jc w:val="center"/>
                    <w:rPr>
                      <w:rFonts w:eastAsia="Times New Roman"/>
                      <w:b w:val="0"/>
                      <w:bCs w:val="0"/>
                      <w:color w:val="auto"/>
                      <w:spacing w:val="0"/>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735" w:type="dxa"/>
                  <w:vMerge w:val="continue"/>
                  <w:tcBorders>
                    <w:top w:val="nil"/>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b w:val="0"/>
                      <w:bCs w:val="0"/>
                      <w:color w:val="auto"/>
                      <w:spacing w:val="0"/>
                      <w:sz w:val="21"/>
                      <w:szCs w:val="21"/>
                      <w:u w:val="none"/>
                    </w:rPr>
                  </w:pPr>
                </w:p>
              </w:tc>
              <w:tc>
                <w:tcPr>
                  <w:tcW w:w="2000"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default" w:ascii="Times New Roman" w:hAnsi="Times New Roman" w:cs="Times New Roman"/>
                      <w:b w:val="0"/>
                      <w:bCs w:val="0"/>
                      <w:color w:val="auto"/>
                      <w:spacing w:val="0"/>
                      <w:sz w:val="21"/>
                      <w:szCs w:val="21"/>
                      <w:u w:val="none"/>
                      <w:lang w:val="en-US" w:eastAsia="zh-CN"/>
                    </w:rPr>
                  </w:pPr>
                  <w:r>
                    <w:rPr>
                      <w:rFonts w:hint="eastAsia" w:ascii="Times New Roman" w:hAnsi="Times New Roman" w:cs="Times New Roman"/>
                      <w:b w:val="0"/>
                      <w:bCs w:val="0"/>
                      <w:color w:val="auto"/>
                      <w:spacing w:val="0"/>
                      <w:sz w:val="21"/>
                      <w:szCs w:val="21"/>
                      <w:u w:val="none"/>
                      <w:lang w:val="en-US" w:eastAsia="zh-CN"/>
                    </w:rPr>
                    <w:t>六面钻</w:t>
                  </w:r>
                </w:p>
              </w:tc>
              <w:tc>
                <w:tcPr>
                  <w:tcW w:w="12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eastAsia" w:eastAsia="宋体"/>
                      <w:b w:val="0"/>
                      <w:bCs w:val="0"/>
                      <w:color w:val="auto"/>
                      <w:spacing w:val="0"/>
                      <w:sz w:val="21"/>
                      <w:szCs w:val="21"/>
                      <w:u w:val="none"/>
                      <w:lang w:val="en-US" w:eastAsia="zh-CN"/>
                    </w:rPr>
                  </w:pPr>
                  <w:r>
                    <w:rPr>
                      <w:rFonts w:hint="eastAsia"/>
                      <w:b w:val="0"/>
                      <w:bCs w:val="0"/>
                      <w:color w:val="auto"/>
                      <w:spacing w:val="0"/>
                      <w:sz w:val="21"/>
                      <w:szCs w:val="21"/>
                      <w:u w:val="none"/>
                      <w:lang w:val="en-US" w:eastAsia="zh-CN"/>
                    </w:rPr>
                    <w:t>4</w:t>
                  </w:r>
                </w:p>
              </w:tc>
              <w:tc>
                <w:tcPr>
                  <w:tcW w:w="110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eastAsia="Times New Roman"/>
                      <w:b w:val="0"/>
                      <w:bCs w:val="0"/>
                      <w:color w:val="auto"/>
                      <w:spacing w:val="0"/>
                      <w:sz w:val="21"/>
                      <w:szCs w:val="21"/>
                      <w:u w:val="none"/>
                    </w:rPr>
                  </w:pPr>
                  <w:r>
                    <w:rPr>
                      <w:rFonts w:eastAsia="Times New Roman"/>
                      <w:b w:val="0"/>
                      <w:bCs w:val="0"/>
                      <w:color w:val="auto"/>
                      <w:spacing w:val="0"/>
                      <w:sz w:val="21"/>
                      <w:szCs w:val="21"/>
                      <w:u w:val="none"/>
                    </w:rPr>
                    <w:t>85</w:t>
                  </w:r>
                </w:p>
              </w:tc>
              <w:tc>
                <w:tcPr>
                  <w:tcW w:w="1600" w:type="dxa"/>
                  <w:vMerge w:val="continue"/>
                  <w:tcBorders>
                    <w:top w:val="nil"/>
                    <w:bottom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b w:val="0"/>
                      <w:bCs w:val="0"/>
                      <w:color w:val="auto"/>
                      <w:spacing w:val="0"/>
                      <w:sz w:val="21"/>
                      <w:szCs w:val="21"/>
                      <w:u w:val="none"/>
                    </w:rPr>
                  </w:pPr>
                </w:p>
              </w:tc>
              <w:tc>
                <w:tcPr>
                  <w:tcW w:w="1318" w:type="dxa"/>
                  <w:tcBorders>
                    <w:right w:val="single" w:color="000000" w:sz="10"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eastAsia="Times New Roman"/>
                      <w:b w:val="0"/>
                      <w:bCs w:val="0"/>
                      <w:color w:val="auto"/>
                      <w:spacing w:val="0"/>
                      <w:sz w:val="21"/>
                      <w:szCs w:val="21"/>
                      <w:u w:val="none"/>
                    </w:rPr>
                  </w:pPr>
                  <w:r>
                    <w:rPr>
                      <w:rFonts w:eastAsia="Times New Roman"/>
                      <w:b w:val="0"/>
                      <w:bCs w:val="0"/>
                      <w:color w:val="auto"/>
                      <w:spacing w:val="0"/>
                      <w:sz w:val="21"/>
                      <w:szCs w:val="21"/>
                      <w:u w:val="none"/>
                    </w:rPr>
                    <w:t>65</w:t>
                  </w:r>
                </w:p>
              </w:tc>
              <w:tc>
                <w:tcPr>
                  <w:tcW w:w="1318" w:type="dxa"/>
                  <w:vMerge w:val="continue"/>
                  <w:tcBorders>
                    <w:right w:val="single" w:color="000000" w:sz="10" w:space="0"/>
                  </w:tcBorders>
                  <w:vAlign w:val="center"/>
                </w:tcPr>
                <w:p>
                  <w:pPr>
                    <w:keepNext w:val="0"/>
                    <w:keepLines w:val="0"/>
                    <w:pageBreakBefore w:val="0"/>
                    <w:kinsoku/>
                    <w:wordWrap/>
                    <w:overflowPunct/>
                    <w:topLinePunct w:val="0"/>
                    <w:bidi w:val="0"/>
                    <w:spacing w:line="240" w:lineRule="auto"/>
                    <w:ind w:right="0" w:firstLine="0"/>
                    <w:jc w:val="center"/>
                    <w:rPr>
                      <w:rFonts w:hint="eastAsia"/>
                      <w:b w:val="0"/>
                      <w:bCs w:val="0"/>
                      <w:color w:val="auto"/>
                      <w:spacing w:val="0"/>
                      <w:sz w:val="21"/>
                      <w:szCs w:val="21"/>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0" w:hRule="atLeast"/>
              </w:trPr>
              <w:tc>
                <w:tcPr>
                  <w:tcW w:w="735" w:type="dxa"/>
                  <w:vMerge w:val="continue"/>
                  <w:tcBorders>
                    <w:top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b w:val="0"/>
                      <w:bCs w:val="0"/>
                      <w:color w:val="auto"/>
                      <w:spacing w:val="0"/>
                      <w:sz w:val="21"/>
                      <w:szCs w:val="21"/>
                      <w:u w:val="none"/>
                    </w:rPr>
                  </w:pPr>
                </w:p>
              </w:tc>
              <w:tc>
                <w:tcPr>
                  <w:tcW w:w="2000" w:type="dxa"/>
                  <w:vAlign w:val="center"/>
                </w:tcPr>
                <w:p>
                  <w:pPr>
                    <w:pStyle w:val="33"/>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default" w:ascii="Times New Roman" w:hAnsi="Times New Roman" w:cs="Times New Roman"/>
                      <w:b w:val="0"/>
                      <w:bCs w:val="0"/>
                      <w:color w:val="auto"/>
                      <w:spacing w:val="0"/>
                      <w:sz w:val="21"/>
                      <w:szCs w:val="21"/>
                      <w:u w:val="none"/>
                      <w:lang w:val="en-US" w:eastAsia="zh-CN"/>
                    </w:rPr>
                  </w:pPr>
                  <w:r>
                    <w:rPr>
                      <w:rFonts w:hint="eastAsia" w:ascii="Times New Roman" w:hAnsi="Times New Roman" w:cs="Times New Roman"/>
                      <w:b w:val="0"/>
                      <w:bCs w:val="0"/>
                      <w:color w:val="auto"/>
                      <w:spacing w:val="0"/>
                      <w:sz w:val="21"/>
                      <w:szCs w:val="21"/>
                      <w:u w:val="none"/>
                      <w:lang w:val="en-US" w:eastAsia="zh-CN"/>
                    </w:rPr>
                    <w:t>封边机</w:t>
                  </w:r>
                </w:p>
              </w:tc>
              <w:tc>
                <w:tcPr>
                  <w:tcW w:w="128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eastAsia" w:eastAsia="宋体"/>
                      <w:b w:val="0"/>
                      <w:bCs w:val="0"/>
                      <w:color w:val="auto"/>
                      <w:spacing w:val="0"/>
                      <w:sz w:val="21"/>
                      <w:szCs w:val="21"/>
                      <w:u w:val="none"/>
                      <w:lang w:eastAsia="zh-CN"/>
                    </w:rPr>
                  </w:pPr>
                  <w:r>
                    <w:rPr>
                      <w:rFonts w:hint="eastAsia" w:eastAsia="宋体"/>
                      <w:b w:val="0"/>
                      <w:bCs w:val="0"/>
                      <w:color w:val="auto"/>
                      <w:spacing w:val="0"/>
                      <w:sz w:val="21"/>
                      <w:szCs w:val="21"/>
                      <w:u w:val="none"/>
                      <w:lang w:val="en-US" w:eastAsia="zh-CN"/>
                    </w:rPr>
                    <w:t>6</w:t>
                  </w:r>
                </w:p>
              </w:tc>
              <w:tc>
                <w:tcPr>
                  <w:tcW w:w="110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default" w:eastAsia="宋体"/>
                      <w:b w:val="0"/>
                      <w:bCs w:val="0"/>
                      <w:color w:val="auto"/>
                      <w:spacing w:val="0"/>
                      <w:sz w:val="21"/>
                      <w:szCs w:val="21"/>
                      <w:u w:val="none"/>
                      <w:lang w:val="en-US" w:eastAsia="zh-CN"/>
                    </w:rPr>
                  </w:pPr>
                  <w:r>
                    <w:rPr>
                      <w:rFonts w:hint="eastAsia" w:eastAsia="宋体"/>
                      <w:b w:val="0"/>
                      <w:bCs w:val="0"/>
                      <w:color w:val="auto"/>
                      <w:spacing w:val="0"/>
                      <w:sz w:val="21"/>
                      <w:szCs w:val="21"/>
                      <w:u w:val="none"/>
                      <w:lang w:val="en-US" w:eastAsia="zh-CN"/>
                    </w:rPr>
                    <w:t>75</w:t>
                  </w:r>
                </w:p>
              </w:tc>
              <w:tc>
                <w:tcPr>
                  <w:tcW w:w="1600" w:type="dxa"/>
                  <w:vMerge w:val="continue"/>
                  <w:tcBorders>
                    <w:top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b w:val="0"/>
                      <w:bCs w:val="0"/>
                      <w:color w:val="auto"/>
                      <w:spacing w:val="0"/>
                      <w:sz w:val="21"/>
                      <w:szCs w:val="21"/>
                      <w:u w:val="none"/>
                    </w:rPr>
                  </w:pPr>
                </w:p>
              </w:tc>
              <w:tc>
                <w:tcPr>
                  <w:tcW w:w="1318" w:type="dxa"/>
                  <w:tcBorders>
                    <w:right w:val="single" w:color="000000" w:sz="10"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right="0" w:firstLine="0"/>
                    <w:jc w:val="center"/>
                    <w:textAlignment w:val="baseline"/>
                    <w:rPr>
                      <w:rFonts w:hint="default" w:eastAsia="宋体"/>
                      <w:b w:val="0"/>
                      <w:bCs w:val="0"/>
                      <w:color w:val="auto"/>
                      <w:spacing w:val="0"/>
                      <w:sz w:val="21"/>
                      <w:szCs w:val="21"/>
                      <w:u w:val="none"/>
                      <w:lang w:val="en-US" w:eastAsia="zh-CN"/>
                    </w:rPr>
                  </w:pPr>
                  <w:r>
                    <w:rPr>
                      <w:rFonts w:hint="eastAsia" w:eastAsia="宋体"/>
                      <w:b w:val="0"/>
                      <w:bCs w:val="0"/>
                      <w:color w:val="auto"/>
                      <w:spacing w:val="0"/>
                      <w:sz w:val="21"/>
                      <w:szCs w:val="21"/>
                      <w:u w:val="none"/>
                      <w:lang w:val="en-US" w:eastAsia="zh-CN"/>
                    </w:rPr>
                    <w:t>55</w:t>
                  </w:r>
                </w:p>
              </w:tc>
              <w:tc>
                <w:tcPr>
                  <w:tcW w:w="1318" w:type="dxa"/>
                  <w:vMerge w:val="continue"/>
                  <w:tcBorders>
                    <w:right w:val="single" w:color="000000" w:sz="10" w:space="0"/>
                  </w:tcBorders>
                  <w:vAlign w:val="center"/>
                </w:tcPr>
                <w:p>
                  <w:pPr>
                    <w:keepNext w:val="0"/>
                    <w:keepLines w:val="0"/>
                    <w:pageBreakBefore w:val="0"/>
                    <w:kinsoku/>
                    <w:wordWrap/>
                    <w:overflowPunct/>
                    <w:topLinePunct w:val="0"/>
                    <w:bidi w:val="0"/>
                    <w:spacing w:line="240" w:lineRule="auto"/>
                    <w:ind w:right="0" w:firstLine="0"/>
                    <w:jc w:val="center"/>
                    <w:rPr>
                      <w:rFonts w:eastAsia="Times New Roman"/>
                      <w:b w:val="0"/>
                      <w:bCs w:val="0"/>
                      <w:color w:val="auto"/>
                      <w:spacing w:val="0"/>
                      <w:sz w:val="21"/>
                      <w:szCs w:val="21"/>
                      <w:u w:val="none"/>
                    </w:rPr>
                  </w:pPr>
                </w:p>
              </w:tc>
            </w:tr>
          </w:tbl>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经采取以上措施后，各噪声源强可下降20dB（A），降噪效果明显。</w:t>
            </w:r>
          </w:p>
          <w:p>
            <w:pPr>
              <w:keepNext w:val="0"/>
              <w:pageBreakBefore w:val="0"/>
              <w:kinsoku/>
              <w:wordWrap/>
              <w:overflowPunct/>
              <w:topLinePunct w:val="0"/>
              <w:bidi w:val="0"/>
              <w:spacing w:line="520" w:lineRule="exact"/>
              <w:ind w:firstLine="480" w:firstLineChars="200"/>
              <w:jc w:val="left"/>
              <w:rPr>
                <w:b w:val="0"/>
                <w:bCs w:val="0"/>
                <w:color w:val="auto"/>
                <w:u w:val="none"/>
              </w:rPr>
            </w:pPr>
            <w:r>
              <w:rPr>
                <w:rFonts w:hint="eastAsia"/>
                <w:b w:val="0"/>
                <w:bCs w:val="0"/>
                <w:color w:val="auto"/>
                <w:u w:val="none"/>
              </w:rPr>
              <w:t>3.2预测模式</w:t>
            </w:r>
          </w:p>
          <w:p>
            <w:pPr>
              <w:keepNext w:val="0"/>
              <w:pageBreakBefore w:val="0"/>
              <w:kinsoku/>
              <w:wordWrap/>
              <w:overflowPunct/>
              <w:topLinePunct w:val="0"/>
              <w:bidi w:val="0"/>
              <w:spacing w:line="520" w:lineRule="exact"/>
              <w:ind w:firstLine="480" w:firstLineChars="200"/>
              <w:jc w:val="left"/>
              <w:rPr>
                <w:b w:val="0"/>
                <w:bCs w:val="0"/>
                <w:color w:val="auto"/>
                <w:u w:val="none"/>
              </w:rPr>
            </w:pPr>
            <w:r>
              <w:rPr>
                <w:b w:val="0"/>
                <w:bCs w:val="0"/>
                <w:color w:val="auto"/>
                <w:u w:val="none"/>
              </w:rPr>
              <w:t>根据《环境影响评价技术导则  声环境》（HJ2.4-20</w:t>
            </w:r>
            <w:r>
              <w:rPr>
                <w:rFonts w:hint="eastAsia"/>
                <w:b w:val="0"/>
                <w:bCs w:val="0"/>
                <w:color w:val="auto"/>
                <w:u w:val="none"/>
              </w:rPr>
              <w:t>21</w:t>
            </w:r>
            <w:r>
              <w:rPr>
                <w:b w:val="0"/>
                <w:bCs w:val="0"/>
                <w:color w:val="auto"/>
                <w:u w:val="none"/>
              </w:rPr>
              <w:t>）要求，本次评价声环境质量预测范围为厂区四周边界。本次评价在边界四周各设1个预测点，根据HJ2.4-20</w:t>
            </w:r>
            <w:r>
              <w:rPr>
                <w:rFonts w:hint="eastAsia"/>
                <w:b w:val="0"/>
                <w:bCs w:val="0"/>
                <w:color w:val="auto"/>
                <w:u w:val="none"/>
              </w:rPr>
              <w:t>21</w:t>
            </w:r>
            <w:r>
              <w:rPr>
                <w:b w:val="0"/>
                <w:bCs w:val="0"/>
                <w:color w:val="auto"/>
                <w:u w:val="none"/>
              </w:rPr>
              <w:t>中声级预测模式进行预测。</w:t>
            </w:r>
          </w:p>
          <w:p>
            <w:pPr>
              <w:keepNext w:val="0"/>
              <w:pageBreakBefore w:val="0"/>
              <w:kinsoku/>
              <w:wordWrap/>
              <w:overflowPunct/>
              <w:topLinePunct w:val="0"/>
              <w:bidi w:val="0"/>
              <w:adjustRightInd w:val="0"/>
              <w:snapToGrid w:val="0"/>
              <w:spacing w:line="500" w:lineRule="exact"/>
              <w:ind w:firstLine="480" w:firstLineChars="200"/>
              <w:textAlignment w:val="baseline"/>
              <w:rPr>
                <w:b w:val="0"/>
                <w:bCs w:val="0"/>
                <w:color w:val="auto"/>
                <w:u w:val="none"/>
              </w:rPr>
            </w:pPr>
            <w:r>
              <w:rPr>
                <w:b w:val="0"/>
                <w:bCs w:val="0"/>
                <w:color w:val="auto"/>
                <w:u w:val="none"/>
              </w:rPr>
              <w:t>①点源几何发散衰减模式：</w:t>
            </w:r>
          </w:p>
          <w:p>
            <w:pPr>
              <w:keepNext w:val="0"/>
              <w:pageBreakBefore w:val="0"/>
              <w:kinsoku/>
              <w:wordWrap/>
              <w:overflowPunct/>
              <w:topLinePunct w:val="0"/>
              <w:bidi w:val="0"/>
              <w:spacing w:line="500" w:lineRule="exact"/>
              <w:ind w:firstLine="480" w:firstLineChars="200"/>
              <w:jc w:val="center"/>
              <w:rPr>
                <w:b w:val="0"/>
                <w:bCs w:val="0"/>
                <w:color w:val="auto"/>
                <w:u w:val="none"/>
              </w:rPr>
            </w:pPr>
            <w:r>
              <w:rPr>
                <w:b w:val="0"/>
                <w:bCs w:val="0"/>
                <w:color w:val="auto"/>
                <w:u w:val="none"/>
              </w:rPr>
              <w:t>LA（r）=LA（r0）-20lg（r/r0）</w: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式中：r0——参考位置距离声源的距离（m）；</w: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r——预测点距离声源的距离（m）；</w: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LA（r）——距离声源r处的A声级，dB</w:t>
            </w:r>
            <w:r>
              <w:rPr>
                <w:rFonts w:hint="eastAsia"/>
                <w:b w:val="0"/>
                <w:bCs w:val="0"/>
                <w:color w:val="auto"/>
                <w:u w:val="none"/>
                <w:lang w:eastAsia="zh-CN"/>
              </w:rPr>
              <w:t>（</w:t>
            </w:r>
            <w:r>
              <w:rPr>
                <w:b w:val="0"/>
                <w:bCs w:val="0"/>
                <w:color w:val="auto"/>
                <w:u w:val="none"/>
              </w:rPr>
              <w:t>A</w:t>
            </w:r>
            <w:r>
              <w:rPr>
                <w:rFonts w:hint="eastAsia"/>
                <w:b w:val="0"/>
                <w:bCs w:val="0"/>
                <w:color w:val="auto"/>
                <w:u w:val="none"/>
                <w:lang w:eastAsia="zh-CN"/>
              </w:rPr>
              <w:t>）</w:t>
            </w:r>
            <w:r>
              <w:rPr>
                <w:b w:val="0"/>
                <w:bCs w:val="0"/>
                <w:color w:val="auto"/>
                <w:u w:val="none"/>
              </w:rPr>
              <w:t>；</w: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LA（r0）——参考位置r0的A声级，dB</w:t>
            </w:r>
            <w:r>
              <w:rPr>
                <w:rFonts w:hint="eastAsia"/>
                <w:b w:val="0"/>
                <w:bCs w:val="0"/>
                <w:color w:val="auto"/>
                <w:u w:val="none"/>
                <w:lang w:eastAsia="zh-CN"/>
              </w:rPr>
              <w:t>（</w:t>
            </w:r>
            <w:r>
              <w:rPr>
                <w:b w:val="0"/>
                <w:bCs w:val="0"/>
                <w:color w:val="auto"/>
                <w:u w:val="none"/>
              </w:rPr>
              <w:t>A</w:t>
            </w:r>
            <w:r>
              <w:rPr>
                <w:rFonts w:hint="eastAsia"/>
                <w:b w:val="0"/>
                <w:bCs w:val="0"/>
                <w:color w:val="auto"/>
                <w:u w:val="none"/>
                <w:lang w:eastAsia="zh-CN"/>
              </w:rPr>
              <w:t>）</w:t>
            </w:r>
            <w:r>
              <w:rPr>
                <w:b w:val="0"/>
                <w:bCs w:val="0"/>
                <w:color w:val="auto"/>
                <w:u w:val="none"/>
              </w:rPr>
              <w:t>；</w: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②面源预测模式：</w:t>
            </w:r>
          </w:p>
          <w:p>
            <w:pPr>
              <w:keepNext w:val="0"/>
              <w:pageBreakBefore w:val="0"/>
              <w:kinsoku/>
              <w:wordWrap/>
              <w:overflowPunct/>
              <w:topLinePunct w:val="0"/>
              <w:bidi w:val="0"/>
              <w:spacing w:line="500" w:lineRule="exact"/>
              <w:ind w:firstLine="480" w:firstLineChars="200"/>
              <w:rPr>
                <w:b w:val="0"/>
                <w:bCs w:val="0"/>
                <w:color w:val="auto"/>
                <w:u w:val="none"/>
                <w:lang w:val="en-GB"/>
              </w:rPr>
            </w:pPr>
            <w:r>
              <w:rPr>
                <w:b w:val="0"/>
                <w:bCs w:val="0"/>
                <w:color w:val="auto"/>
                <w:u w:val="none"/>
                <w:lang w:val="en-GB"/>
              </w:rPr>
              <w:t>本项目利用车间及室外声压级计算厂界声压级，将车间透声的墙壁认为是面声源，设传播到受声点的距离为r，厂房高度为a，厂房长度为b，对于靠近墙面中心为r距离的受声点距离衰减声压级预测模式如下：</w:t>
            </w:r>
          </w:p>
          <w:p>
            <w:pPr>
              <w:pStyle w:val="41"/>
              <w:keepNext w:val="0"/>
              <w:pageBreakBefore w:val="0"/>
              <w:kinsoku/>
              <w:wordWrap/>
              <w:overflowPunct/>
              <w:topLinePunct w:val="0"/>
              <w:bidi w:val="0"/>
              <w:adjustRightInd/>
              <w:spacing w:line="500" w:lineRule="exact"/>
              <w:ind w:firstLine="480" w:firstLineChars="200"/>
              <w:rPr>
                <w:rFonts w:ascii="Times New Roman" w:hAnsi="Times New Roman"/>
                <w:b w:val="0"/>
                <w:bCs w:val="0"/>
                <w:color w:val="auto"/>
                <w:u w:val="none"/>
              </w:rPr>
            </w:pPr>
            <w:r>
              <w:rPr>
                <w:rFonts w:ascii="Times New Roman" w:hAnsi="Times New Roman"/>
                <w:b w:val="0"/>
                <w:bCs w:val="0"/>
                <w:color w:val="auto"/>
                <w:u w:val="none"/>
              </w:rPr>
              <w:t>r﹤a/</w:t>
            </w:r>
            <w:r>
              <w:rPr>
                <w:rFonts w:hint="eastAsia" w:ascii="Times New Roman" w:hAnsi="Times New Roman"/>
                <w:b w:val="0"/>
                <w:bCs w:val="0"/>
                <w:color w:val="auto"/>
                <w:u w:val="none"/>
              </w:rPr>
              <w:t>π</w:t>
            </w:r>
            <w:r>
              <w:rPr>
                <w:rFonts w:ascii="Times New Roman" w:hAnsi="Times New Roman"/>
                <w:b w:val="0"/>
                <w:bCs w:val="0"/>
                <w:color w:val="auto"/>
                <w:u w:val="none"/>
              </w:rPr>
              <w:t>时，几乎不衰减（Adiv≈0）；</w:t>
            </w:r>
          </w:p>
          <w:p>
            <w:pPr>
              <w:pStyle w:val="41"/>
              <w:keepNext w:val="0"/>
              <w:pageBreakBefore w:val="0"/>
              <w:kinsoku/>
              <w:wordWrap/>
              <w:overflowPunct/>
              <w:topLinePunct w:val="0"/>
              <w:bidi w:val="0"/>
              <w:adjustRightInd/>
              <w:spacing w:line="500" w:lineRule="exact"/>
              <w:ind w:firstLine="480" w:firstLineChars="200"/>
              <w:rPr>
                <w:rFonts w:ascii="Times New Roman" w:hAnsi="Times New Roman"/>
                <w:b w:val="0"/>
                <w:bCs w:val="0"/>
                <w:color w:val="auto"/>
                <w:u w:val="none"/>
              </w:rPr>
            </w:pPr>
            <w:r>
              <w:rPr>
                <w:rFonts w:ascii="Times New Roman" w:hAnsi="Times New Roman"/>
                <w:b w:val="0"/>
                <w:bCs w:val="0"/>
                <w:color w:val="auto"/>
                <w:u w:val="none"/>
              </w:rPr>
              <w:t>当a/</w:t>
            </w:r>
            <w:r>
              <w:rPr>
                <w:rFonts w:hint="eastAsia" w:ascii="Times New Roman" w:hAnsi="Times New Roman"/>
                <w:b w:val="0"/>
                <w:bCs w:val="0"/>
                <w:color w:val="auto"/>
                <w:u w:val="none"/>
              </w:rPr>
              <w:t>π</w:t>
            </w:r>
            <w:r>
              <w:rPr>
                <w:rFonts w:ascii="Times New Roman" w:hAnsi="Times New Roman"/>
                <w:b w:val="0"/>
                <w:bCs w:val="0"/>
                <w:color w:val="auto"/>
                <w:u w:val="none"/>
              </w:rPr>
              <w:t>﹤r﹤b/</w:t>
            </w:r>
            <w:r>
              <w:rPr>
                <w:rFonts w:hint="eastAsia" w:ascii="Times New Roman" w:hAnsi="Times New Roman"/>
                <w:b w:val="0"/>
                <w:bCs w:val="0"/>
                <w:color w:val="auto"/>
                <w:u w:val="none"/>
              </w:rPr>
              <w:t>π</w:t>
            </w:r>
            <w:r>
              <w:rPr>
                <w:rFonts w:ascii="Times New Roman" w:hAnsi="Times New Roman"/>
                <w:b w:val="0"/>
                <w:bCs w:val="0"/>
                <w:color w:val="auto"/>
                <w:u w:val="none"/>
              </w:rPr>
              <w:t>时，距离加倍衰减3dB</w:t>
            </w:r>
            <w:r>
              <w:rPr>
                <w:rFonts w:hint="eastAsia" w:ascii="Times New Roman" w:hAnsi="Times New Roman"/>
                <w:b w:val="0"/>
                <w:bCs w:val="0"/>
                <w:color w:val="auto"/>
                <w:u w:val="none"/>
                <w:lang w:eastAsia="zh-CN"/>
              </w:rPr>
              <w:t>（</w:t>
            </w:r>
            <w:r>
              <w:rPr>
                <w:rFonts w:ascii="Times New Roman" w:hAnsi="Times New Roman"/>
                <w:b w:val="0"/>
                <w:bCs w:val="0"/>
                <w:color w:val="auto"/>
                <w:u w:val="none"/>
              </w:rPr>
              <w:t>A</w:t>
            </w:r>
            <w:r>
              <w:rPr>
                <w:rFonts w:hint="eastAsia" w:ascii="Times New Roman" w:hAnsi="Times New Roman"/>
                <w:b w:val="0"/>
                <w:bCs w:val="0"/>
                <w:color w:val="auto"/>
                <w:u w:val="none"/>
                <w:lang w:eastAsia="zh-CN"/>
              </w:rPr>
              <w:t>）</w:t>
            </w:r>
            <w:r>
              <w:rPr>
                <w:rFonts w:ascii="Times New Roman" w:hAnsi="Times New Roman"/>
                <w:b w:val="0"/>
                <w:bCs w:val="0"/>
                <w:color w:val="auto"/>
                <w:u w:val="none"/>
              </w:rPr>
              <w:t>左右，类似线声源衰减特性（Adiv≈10lg</w:t>
            </w:r>
            <w:r>
              <w:rPr>
                <w:rFonts w:hint="eastAsia" w:ascii="Times New Roman" w:hAnsi="Times New Roman"/>
                <w:b w:val="0"/>
                <w:bCs w:val="0"/>
                <w:color w:val="auto"/>
                <w:u w:val="none"/>
                <w:lang w:eastAsia="zh-CN"/>
              </w:rPr>
              <w:t>（</w:t>
            </w:r>
            <w:r>
              <w:rPr>
                <w:rFonts w:ascii="Times New Roman" w:hAnsi="Times New Roman"/>
                <w:b w:val="0"/>
                <w:bCs w:val="0"/>
                <w:color w:val="auto"/>
                <w:u w:val="none"/>
              </w:rPr>
              <w:t>r/r0</w:t>
            </w:r>
            <w:r>
              <w:rPr>
                <w:rFonts w:hint="eastAsia" w:ascii="Times New Roman" w:hAnsi="Times New Roman"/>
                <w:b w:val="0"/>
                <w:bCs w:val="0"/>
                <w:color w:val="auto"/>
                <w:u w:val="none"/>
                <w:lang w:eastAsia="zh-CN"/>
              </w:rPr>
              <w:t>）</w:t>
            </w:r>
            <w:r>
              <w:rPr>
                <w:rFonts w:ascii="Times New Roman" w:hAnsi="Times New Roman"/>
                <w:b w:val="0"/>
                <w:bCs w:val="0"/>
                <w:color w:val="auto"/>
                <w:u w:val="none"/>
              </w:rPr>
              <w:t>）；当r＞b/л时，距离加倍衰减趋近于6dB</w:t>
            </w:r>
            <w:r>
              <w:rPr>
                <w:rFonts w:hint="eastAsia" w:ascii="Times New Roman" w:hAnsi="Times New Roman"/>
                <w:b w:val="0"/>
                <w:bCs w:val="0"/>
                <w:color w:val="auto"/>
                <w:u w:val="none"/>
                <w:lang w:eastAsia="zh-CN"/>
              </w:rPr>
              <w:t>（</w:t>
            </w:r>
            <w:r>
              <w:rPr>
                <w:rFonts w:ascii="Times New Roman" w:hAnsi="Times New Roman"/>
                <w:b w:val="0"/>
                <w:bCs w:val="0"/>
                <w:color w:val="auto"/>
                <w:u w:val="none"/>
              </w:rPr>
              <w:t>A</w:t>
            </w:r>
            <w:r>
              <w:rPr>
                <w:rFonts w:hint="eastAsia" w:ascii="Times New Roman" w:hAnsi="Times New Roman"/>
                <w:b w:val="0"/>
                <w:bCs w:val="0"/>
                <w:color w:val="auto"/>
                <w:u w:val="none"/>
                <w:lang w:eastAsia="zh-CN"/>
              </w:rPr>
              <w:t>）</w:t>
            </w:r>
            <w:r>
              <w:rPr>
                <w:rFonts w:ascii="Times New Roman" w:hAnsi="Times New Roman"/>
                <w:b w:val="0"/>
                <w:bCs w:val="0"/>
                <w:color w:val="auto"/>
                <w:u w:val="none"/>
              </w:rPr>
              <w:t>，类似点声源衰减特性（Adiv≈20lg</w:t>
            </w:r>
            <w:r>
              <w:rPr>
                <w:rFonts w:hint="eastAsia" w:ascii="Times New Roman" w:hAnsi="Times New Roman"/>
                <w:b w:val="0"/>
                <w:bCs w:val="0"/>
                <w:color w:val="auto"/>
                <w:u w:val="none"/>
                <w:lang w:eastAsia="zh-CN"/>
              </w:rPr>
              <w:t>（</w:t>
            </w:r>
            <w:r>
              <w:rPr>
                <w:rFonts w:ascii="Times New Roman" w:hAnsi="Times New Roman"/>
                <w:b w:val="0"/>
                <w:bCs w:val="0"/>
                <w:color w:val="auto"/>
                <w:u w:val="none"/>
              </w:rPr>
              <w:t>r/r0</w:t>
            </w:r>
            <w:r>
              <w:rPr>
                <w:rFonts w:hint="eastAsia" w:ascii="Times New Roman" w:hAnsi="Times New Roman"/>
                <w:b w:val="0"/>
                <w:bCs w:val="0"/>
                <w:color w:val="auto"/>
                <w:u w:val="none"/>
                <w:lang w:eastAsia="zh-CN"/>
              </w:rPr>
              <w:t>）</w:t>
            </w:r>
            <w:r>
              <w:rPr>
                <w:rFonts w:ascii="Times New Roman" w:hAnsi="Times New Roman"/>
                <w:b w:val="0"/>
                <w:bCs w:val="0"/>
                <w:color w:val="auto"/>
                <w:u w:val="none"/>
              </w:rPr>
              <w:t>）。</w: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③噪声源叠加：</w: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当预测点受多声源叠加影响时，采用噪声叠加公式：</w:t>
            </w:r>
          </w:p>
          <w:p>
            <w:pPr>
              <w:keepNext w:val="0"/>
              <w:pageBreakBefore w:val="0"/>
              <w:kinsoku/>
              <w:wordWrap/>
              <w:overflowPunct/>
              <w:topLinePunct w:val="0"/>
              <w:bidi w:val="0"/>
              <w:spacing w:line="500" w:lineRule="exact"/>
              <w:ind w:firstLine="480" w:firstLineChars="200"/>
              <w:jc w:val="center"/>
              <w:rPr>
                <w:b w:val="0"/>
                <w:bCs w:val="0"/>
                <w:color w:val="auto"/>
                <w:u w:val="none"/>
              </w:rPr>
            </w:pPr>
            <w:r>
              <w:rPr>
                <w:b w:val="0"/>
                <w:bCs w:val="0"/>
                <w:color w:val="auto"/>
                <w:position w:val="-32"/>
                <w:u w:val="none"/>
              </w:rPr>
              <w:object>
                <v:shape id="_x0000_i1025" o:spt="75" type="#_x0000_t75" style="height:38pt;width:131pt;" o:ole="t" filled="f" o:preferrelative="t" stroked="f" coordsize="21600,21600">
                  <v:path/>
                  <v:fill on="f" focussize="0,0"/>
                  <v:stroke on="f" joinstyle="miter"/>
                  <v:imagedata r:id="rId6" o:title=""/>
                  <o:lock v:ext="edit" aspectratio="t"/>
                  <w10:wrap type="none"/>
                  <w10:anchorlock/>
                </v:shape>
                <o:OLEObject Type="Embed" ProgID="Equation.KSEE3" ShapeID="_x0000_i1025" DrawAspect="Content" ObjectID="_1468075725" r:id="rId5">
                  <o:LockedField>false</o:LockedField>
                </o:OLEObject>
              </w:objec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式中：L</w:t>
            </w:r>
            <w:r>
              <w:rPr>
                <w:b w:val="0"/>
                <w:bCs w:val="0"/>
                <w:color w:val="auto"/>
                <w:u w:val="none"/>
                <w:vertAlign w:val="subscript"/>
              </w:rPr>
              <w:t>pli</w:t>
            </w:r>
            <w:r>
              <w:rPr>
                <w:b w:val="0"/>
                <w:bCs w:val="0"/>
                <w:color w:val="auto"/>
                <w:u w:val="none"/>
              </w:rPr>
              <w:t>（T）—靠近围护结构处室内N个声源i倍频带的叠加声压级，dB，[dB（A）]；</w: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L</w:t>
            </w:r>
            <w:r>
              <w:rPr>
                <w:b w:val="0"/>
                <w:bCs w:val="0"/>
                <w:color w:val="auto"/>
                <w:u w:val="none"/>
                <w:vertAlign w:val="subscript"/>
              </w:rPr>
              <w:t>plij</w:t>
            </w:r>
            <w:r>
              <w:rPr>
                <w:b w:val="0"/>
                <w:bCs w:val="0"/>
                <w:color w:val="auto"/>
                <w:u w:val="none"/>
              </w:rPr>
              <w:t>—室内j声源i倍频带的声压级，dB；</w:t>
            </w:r>
          </w:p>
          <w:p>
            <w:pPr>
              <w:keepNext w:val="0"/>
              <w:pageBreakBefore w:val="0"/>
              <w:kinsoku/>
              <w:wordWrap/>
              <w:overflowPunct/>
              <w:topLinePunct w:val="0"/>
              <w:bidi w:val="0"/>
              <w:spacing w:line="500" w:lineRule="exact"/>
              <w:ind w:firstLine="480" w:firstLineChars="200"/>
              <w:rPr>
                <w:b w:val="0"/>
                <w:bCs w:val="0"/>
                <w:color w:val="auto"/>
                <w:u w:val="none"/>
              </w:rPr>
            </w:pPr>
            <w:r>
              <w:rPr>
                <w:b w:val="0"/>
                <w:bCs w:val="0"/>
                <w:color w:val="auto"/>
                <w:u w:val="none"/>
              </w:rPr>
              <w:t>n—室内声源总数。</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本项目实行单班8小时工作制度，夜间不生产，仅对昼间噪声进行预测评价，预测结果见下表。</w:t>
            </w:r>
          </w:p>
          <w:p>
            <w:pPr>
              <w:keepNext w:val="0"/>
              <w:pageBreakBefore w:val="0"/>
              <w:widowControl/>
              <w:kinsoku/>
              <w:wordWrap/>
              <w:overflowPunct/>
              <w:topLinePunct w:val="0"/>
              <w:autoSpaceDE w:val="0"/>
              <w:autoSpaceDN w:val="0"/>
              <w:bidi w:val="0"/>
              <w:adjustRightInd w:val="0"/>
              <w:snapToGrid w:val="0"/>
              <w:spacing w:line="360" w:lineRule="auto"/>
              <w:ind w:firstLine="482" w:firstLineChars="200"/>
              <w:jc w:val="center"/>
              <w:textAlignment w:val="baseline"/>
              <w:rPr>
                <w:b/>
                <w:bCs/>
                <w:color w:val="auto"/>
                <w:u w:val="none"/>
              </w:rPr>
            </w:pPr>
            <w:r>
              <w:rPr>
                <w:b/>
                <w:bCs/>
                <w:color w:val="auto"/>
                <w:u w:val="none"/>
              </w:rPr>
              <w:t>表4-</w:t>
            </w:r>
            <w:r>
              <w:rPr>
                <w:rFonts w:hint="eastAsia"/>
                <w:b/>
                <w:bCs/>
                <w:color w:val="auto"/>
                <w:u w:val="none"/>
                <w:lang w:val="en-US" w:eastAsia="zh-CN"/>
              </w:rPr>
              <w:t>10</w:t>
            </w:r>
            <w:r>
              <w:rPr>
                <w:rFonts w:hint="eastAsia"/>
                <w:b/>
                <w:bCs/>
                <w:color w:val="auto"/>
                <w:u w:val="none"/>
              </w:rPr>
              <w:t xml:space="preserve"> </w:t>
            </w:r>
            <w:r>
              <w:rPr>
                <w:rFonts w:hint="eastAsia"/>
                <w:b/>
                <w:bCs/>
                <w:color w:val="auto"/>
                <w:u w:val="none"/>
                <w:lang w:val="en-US" w:eastAsia="zh-CN"/>
              </w:rPr>
              <w:t xml:space="preserve"> </w:t>
            </w:r>
            <w:r>
              <w:rPr>
                <w:b/>
                <w:bCs/>
                <w:color w:val="auto"/>
                <w:u w:val="none"/>
              </w:rPr>
              <w:t>声环境预测结果统计及分析</w:t>
            </w:r>
          </w:p>
          <w:tbl>
            <w:tblPr>
              <w:tblStyle w:val="32"/>
              <w:tblW w:w="93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3"/>
              <w:gridCol w:w="1908"/>
              <w:gridCol w:w="1786"/>
              <w:gridCol w:w="1659"/>
              <w:gridCol w:w="16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3" w:hRule="atLeast"/>
              </w:trPr>
              <w:tc>
                <w:tcPr>
                  <w:tcW w:w="2343"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0"/>
                      <w:szCs w:val="20"/>
                      <w:u w:val="none"/>
                      <w:lang w:eastAsia="zh-CN"/>
                    </w:rPr>
                  </w:pPr>
                  <w:r>
                    <w:rPr>
                      <w:rFonts w:ascii="Times New Roman" w:hAnsi="Times New Roman" w:cs="Times New Roman"/>
                      <w:b/>
                      <w:bCs/>
                      <w:color w:val="auto"/>
                      <w:spacing w:val="6"/>
                      <w:sz w:val="20"/>
                      <w:szCs w:val="20"/>
                      <w:u w:val="none"/>
                      <w:lang w:eastAsia="zh-CN"/>
                    </w:rPr>
                    <w:t>预测点位</w:t>
                  </w:r>
                </w:p>
              </w:tc>
              <w:tc>
                <w:tcPr>
                  <w:tcW w:w="1908" w:type="dxa"/>
                  <w:tcBorders>
                    <w:bottom w:val="single" w:color="auto" w:sz="4" w:space="0"/>
                  </w:tcBorders>
                  <w:vAlign w:val="center"/>
                </w:tcPr>
                <w:p>
                  <w:pPr>
                    <w:pStyle w:val="33"/>
                    <w:keepNext w:val="0"/>
                    <w:pageBreakBefore w:val="0"/>
                    <w:kinsoku/>
                    <w:wordWrap/>
                    <w:overflowPunct/>
                    <w:topLinePunct w:val="0"/>
                    <w:bidi w:val="0"/>
                    <w:jc w:val="center"/>
                    <w:rPr>
                      <w:rFonts w:ascii="Times New Roman" w:hAnsi="Times New Roman" w:cs="Times New Roman"/>
                      <w:b/>
                      <w:bCs/>
                      <w:color w:val="auto"/>
                      <w:spacing w:val="6"/>
                      <w:sz w:val="20"/>
                      <w:szCs w:val="20"/>
                      <w:u w:val="none"/>
                      <w:lang w:eastAsia="zh-CN"/>
                    </w:rPr>
                  </w:pPr>
                  <w:r>
                    <w:rPr>
                      <w:rFonts w:hint="eastAsia" w:ascii="Times New Roman" w:hAnsi="Times New Roman" w:cs="Times New Roman"/>
                      <w:b/>
                      <w:bCs/>
                      <w:color w:val="auto"/>
                      <w:spacing w:val="6"/>
                      <w:sz w:val="20"/>
                      <w:szCs w:val="20"/>
                      <w:u w:val="none"/>
                      <w:lang w:eastAsia="zh-CN"/>
                    </w:rPr>
                    <w:t>预测时段</w:t>
                  </w:r>
                </w:p>
              </w:tc>
              <w:tc>
                <w:tcPr>
                  <w:tcW w:w="1786"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0"/>
                      <w:szCs w:val="20"/>
                      <w:u w:val="none"/>
                      <w:lang w:eastAsia="zh-CN"/>
                    </w:rPr>
                  </w:pPr>
                  <w:r>
                    <w:rPr>
                      <w:rFonts w:hint="eastAsia" w:ascii="Times New Roman" w:hAnsi="Times New Roman" w:cs="Times New Roman"/>
                      <w:b/>
                      <w:bCs/>
                      <w:color w:val="auto"/>
                      <w:sz w:val="20"/>
                      <w:szCs w:val="20"/>
                      <w:u w:val="none"/>
                      <w:lang w:eastAsia="zh-CN"/>
                    </w:rPr>
                    <w:t>综合噪声贡献值</w:t>
                  </w:r>
                </w:p>
              </w:tc>
              <w:tc>
                <w:tcPr>
                  <w:tcW w:w="1659"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0"/>
                      <w:szCs w:val="20"/>
                      <w:u w:val="none"/>
                      <w:lang w:eastAsia="zh-CN"/>
                    </w:rPr>
                  </w:pPr>
                  <w:r>
                    <w:rPr>
                      <w:rFonts w:hint="eastAsia" w:ascii="Times New Roman" w:hAnsi="Times New Roman" w:cs="Times New Roman"/>
                      <w:b/>
                      <w:bCs/>
                      <w:color w:val="auto"/>
                      <w:spacing w:val="5"/>
                      <w:sz w:val="20"/>
                      <w:szCs w:val="20"/>
                      <w:u w:val="none"/>
                      <w:lang w:eastAsia="zh-CN"/>
                    </w:rPr>
                    <w:t>标准</w:t>
                  </w:r>
                  <w:r>
                    <w:rPr>
                      <w:rFonts w:ascii="Times New Roman" w:hAnsi="Times New Roman" w:cs="Times New Roman"/>
                      <w:b/>
                      <w:bCs/>
                      <w:color w:val="auto"/>
                      <w:spacing w:val="5"/>
                      <w:sz w:val="20"/>
                      <w:szCs w:val="20"/>
                      <w:u w:val="none"/>
                      <w:lang w:eastAsia="zh-CN"/>
                    </w:rPr>
                    <w:t>值</w:t>
                  </w:r>
                  <w:r>
                    <w:rPr>
                      <w:rFonts w:ascii="Times New Roman" w:hAnsi="Times New Roman" w:eastAsia="Times New Roman" w:cs="Times New Roman"/>
                      <w:b/>
                      <w:bCs/>
                      <w:color w:val="auto"/>
                      <w:sz w:val="20"/>
                      <w:szCs w:val="20"/>
                      <w:u w:val="none"/>
                      <w:lang w:eastAsia="zh-CN"/>
                    </w:rPr>
                    <w:t>dB</w:t>
                  </w:r>
                  <w:r>
                    <w:rPr>
                      <w:rFonts w:ascii="Times New Roman" w:hAnsi="Times New Roman" w:cs="Times New Roman"/>
                      <w:b/>
                      <w:bCs/>
                      <w:color w:val="auto"/>
                      <w:spacing w:val="4"/>
                      <w:sz w:val="20"/>
                      <w:szCs w:val="20"/>
                      <w:u w:val="none"/>
                      <w:lang w:eastAsia="zh-CN"/>
                    </w:rPr>
                    <w:t>（</w:t>
                  </w:r>
                  <w:r>
                    <w:rPr>
                      <w:rFonts w:ascii="Times New Roman" w:hAnsi="Times New Roman" w:eastAsia="Times New Roman" w:cs="Times New Roman"/>
                      <w:b/>
                      <w:bCs/>
                      <w:color w:val="auto"/>
                      <w:spacing w:val="4"/>
                      <w:sz w:val="20"/>
                      <w:szCs w:val="20"/>
                      <w:u w:val="none"/>
                      <w:lang w:eastAsia="zh-CN"/>
                    </w:rPr>
                    <w:t>A</w:t>
                  </w:r>
                  <w:r>
                    <w:rPr>
                      <w:rFonts w:ascii="Times New Roman" w:hAnsi="Times New Roman" w:cs="Times New Roman"/>
                      <w:b/>
                      <w:bCs/>
                      <w:color w:val="auto"/>
                      <w:spacing w:val="4"/>
                      <w:sz w:val="20"/>
                      <w:szCs w:val="20"/>
                      <w:u w:val="none"/>
                      <w:lang w:eastAsia="zh-CN"/>
                    </w:rPr>
                    <w:t>）</w:t>
                  </w:r>
                </w:p>
              </w:tc>
              <w:tc>
                <w:tcPr>
                  <w:tcW w:w="1659"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pacing w:val="5"/>
                      <w:sz w:val="20"/>
                      <w:szCs w:val="20"/>
                      <w:u w:val="none"/>
                      <w:lang w:eastAsia="zh-CN"/>
                    </w:rPr>
                  </w:pPr>
                  <w:r>
                    <w:rPr>
                      <w:rFonts w:hint="eastAsia" w:ascii="Times New Roman" w:hAnsi="Times New Roman" w:cs="Times New Roman"/>
                      <w:b/>
                      <w:bCs/>
                      <w:color w:val="auto"/>
                      <w:spacing w:val="5"/>
                      <w:sz w:val="20"/>
                      <w:szCs w:val="20"/>
                      <w:u w:val="none"/>
                      <w:lang w:eastAsia="zh-CN"/>
                    </w:rPr>
                    <w:t>达标情况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 w:hRule="atLeast"/>
              </w:trPr>
              <w:tc>
                <w:tcPr>
                  <w:tcW w:w="2343" w:type="dxa"/>
                  <w:tcBorders>
                    <w:right w:val="single" w:color="auto" w:sz="4" w:space="0"/>
                  </w:tcBorders>
                  <w:vAlign w:val="center"/>
                </w:tcPr>
                <w:p>
                  <w:pPr>
                    <w:pStyle w:val="33"/>
                    <w:keepNext w:val="0"/>
                    <w:pageBreakBefore w:val="0"/>
                    <w:kinsoku/>
                    <w:wordWrap/>
                    <w:overflowPunct/>
                    <w:topLinePunct w:val="0"/>
                    <w:bidi w:val="0"/>
                    <w:jc w:val="center"/>
                    <w:rPr>
                      <w:rFonts w:ascii="Times New Roman" w:hAnsi="Times New Roman" w:cs="Times New Roman"/>
                      <w:b w:val="0"/>
                      <w:bCs w:val="0"/>
                      <w:color w:val="auto"/>
                      <w:sz w:val="20"/>
                      <w:szCs w:val="20"/>
                      <w:u w:val="none"/>
                      <w:lang w:eastAsia="zh-CN"/>
                    </w:rPr>
                  </w:pPr>
                  <w:r>
                    <w:rPr>
                      <w:rFonts w:ascii="Times New Roman" w:hAnsi="Times New Roman" w:cs="Times New Roman"/>
                      <w:b w:val="0"/>
                      <w:bCs w:val="0"/>
                      <w:color w:val="auto"/>
                      <w:spacing w:val="4"/>
                      <w:sz w:val="20"/>
                      <w:szCs w:val="20"/>
                      <w:u w:val="none"/>
                      <w:lang w:eastAsia="zh-CN"/>
                    </w:rPr>
                    <w:t>东厂界</w:t>
                  </w:r>
                </w:p>
              </w:tc>
              <w:tc>
                <w:tcPr>
                  <w:tcW w:w="1908" w:type="dxa"/>
                  <w:tcBorders>
                    <w:top w:val="single" w:color="auto" w:sz="4" w:space="0"/>
                    <w:left w:val="single" w:color="auto" w:sz="4" w:space="0"/>
                    <w:bottom w:val="single" w:color="auto" w:sz="4" w:space="0"/>
                    <w:right w:val="single" w:color="auto" w:sz="4" w:space="0"/>
                  </w:tcBorders>
                  <w:vAlign w:val="center"/>
                </w:tcPr>
                <w:p>
                  <w:pPr>
                    <w:pStyle w:val="33"/>
                    <w:keepNext w:val="0"/>
                    <w:pageBreakBefore w:val="0"/>
                    <w:kinsoku/>
                    <w:wordWrap/>
                    <w:overflowPunct/>
                    <w:topLinePunct w:val="0"/>
                    <w:bidi w:val="0"/>
                    <w:jc w:val="center"/>
                    <w:rPr>
                      <w:rFonts w:ascii="Times New Roman" w:hAnsi="Times New Roman" w:cs="Times New Roman"/>
                      <w:b w:val="0"/>
                      <w:bCs w:val="0"/>
                      <w:color w:val="auto"/>
                      <w:spacing w:val="4"/>
                      <w:sz w:val="20"/>
                      <w:szCs w:val="20"/>
                      <w:u w:val="none"/>
                      <w:lang w:eastAsia="zh-CN"/>
                    </w:rPr>
                  </w:pPr>
                  <w:r>
                    <w:rPr>
                      <w:rFonts w:hint="eastAsia" w:ascii="Times New Roman" w:hAnsi="Times New Roman" w:cs="Times New Roman"/>
                      <w:b w:val="0"/>
                      <w:bCs w:val="0"/>
                      <w:color w:val="auto"/>
                      <w:spacing w:val="4"/>
                      <w:sz w:val="20"/>
                      <w:szCs w:val="20"/>
                      <w:u w:val="none"/>
                      <w:lang w:eastAsia="zh-CN"/>
                    </w:rPr>
                    <w:t>昼间</w:t>
                  </w:r>
                </w:p>
              </w:tc>
              <w:tc>
                <w:tcPr>
                  <w:tcW w:w="1786" w:type="dxa"/>
                  <w:tcBorders>
                    <w:left w:val="single" w:color="auto" w:sz="4" w:space="0"/>
                  </w:tcBorders>
                  <w:vAlign w:val="center"/>
                </w:tcPr>
                <w:p>
                  <w:pPr>
                    <w:keepNext w:val="0"/>
                    <w:pageBreakBefore w:val="0"/>
                    <w:kinsoku/>
                    <w:wordWrap/>
                    <w:overflowPunct/>
                    <w:topLinePunct w:val="0"/>
                    <w:bidi w:val="0"/>
                    <w:jc w:val="center"/>
                    <w:rPr>
                      <w:rFonts w:hint="default" w:eastAsia="宋体"/>
                      <w:b w:val="0"/>
                      <w:bCs w:val="0"/>
                      <w:color w:val="auto"/>
                      <w:sz w:val="21"/>
                      <w:szCs w:val="21"/>
                      <w:u w:val="none"/>
                      <w:lang w:val="en-US" w:eastAsia="zh-CN"/>
                    </w:rPr>
                  </w:pPr>
                  <w:r>
                    <w:rPr>
                      <w:rFonts w:eastAsia="Arial"/>
                      <w:b w:val="0"/>
                      <w:bCs w:val="0"/>
                      <w:color w:val="auto"/>
                      <w:sz w:val="21"/>
                      <w:szCs w:val="21"/>
                      <w:u w:val="none"/>
                    </w:rPr>
                    <w:t>2</w:t>
                  </w:r>
                  <w:r>
                    <w:rPr>
                      <w:rFonts w:hint="eastAsia" w:eastAsia="宋体"/>
                      <w:b w:val="0"/>
                      <w:bCs w:val="0"/>
                      <w:color w:val="auto"/>
                      <w:sz w:val="21"/>
                      <w:szCs w:val="21"/>
                      <w:u w:val="none"/>
                      <w:lang w:val="en-US" w:eastAsia="zh-CN"/>
                    </w:rPr>
                    <w:t>3.6</w:t>
                  </w:r>
                </w:p>
              </w:tc>
              <w:tc>
                <w:tcPr>
                  <w:tcW w:w="1659" w:type="dxa"/>
                  <w:vAlign w:val="center"/>
                </w:tcPr>
                <w:p>
                  <w:pPr>
                    <w:keepNext w:val="0"/>
                    <w:pageBreakBefore w:val="0"/>
                    <w:kinsoku/>
                    <w:wordWrap/>
                    <w:overflowPunct/>
                    <w:topLinePunct w:val="0"/>
                    <w:bidi w:val="0"/>
                    <w:jc w:val="center"/>
                    <w:rPr>
                      <w:b w:val="0"/>
                      <w:bCs w:val="0"/>
                      <w:color w:val="auto"/>
                      <w:sz w:val="20"/>
                      <w:szCs w:val="20"/>
                      <w:u w:val="none"/>
                    </w:rPr>
                  </w:pPr>
                  <w:r>
                    <w:rPr>
                      <w:rFonts w:hint="eastAsia"/>
                      <w:b w:val="0"/>
                      <w:bCs w:val="0"/>
                      <w:color w:val="auto"/>
                      <w:sz w:val="20"/>
                      <w:szCs w:val="20"/>
                      <w:u w:val="none"/>
                    </w:rPr>
                    <w:t>65</w:t>
                  </w:r>
                </w:p>
              </w:tc>
              <w:tc>
                <w:tcPr>
                  <w:tcW w:w="1659" w:type="dxa"/>
                  <w:vAlign w:val="center"/>
                </w:tcPr>
                <w:p>
                  <w:pPr>
                    <w:keepNext w:val="0"/>
                    <w:pageBreakBefore w:val="0"/>
                    <w:kinsoku/>
                    <w:wordWrap/>
                    <w:overflowPunct/>
                    <w:topLinePunct w:val="0"/>
                    <w:bidi w:val="0"/>
                    <w:jc w:val="center"/>
                    <w:rPr>
                      <w:b w:val="0"/>
                      <w:bCs w:val="0"/>
                      <w:color w:val="auto"/>
                      <w:sz w:val="20"/>
                      <w:szCs w:val="20"/>
                      <w:u w:val="none"/>
                    </w:rPr>
                  </w:pPr>
                  <w:r>
                    <w:rPr>
                      <w:rFonts w:hint="eastAsia"/>
                      <w:b w:val="0"/>
                      <w:bCs w:val="0"/>
                      <w:color w:val="auto"/>
                      <w:spacing w:val="5"/>
                      <w:sz w:val="20"/>
                      <w:szCs w:val="20"/>
                      <w:u w:val="none"/>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1" w:hRule="atLeast"/>
              </w:trPr>
              <w:tc>
                <w:tcPr>
                  <w:tcW w:w="2343" w:type="dxa"/>
                  <w:tcBorders>
                    <w:right w:val="single" w:color="auto" w:sz="4" w:space="0"/>
                  </w:tcBorders>
                  <w:vAlign w:val="center"/>
                </w:tcPr>
                <w:p>
                  <w:pPr>
                    <w:pStyle w:val="33"/>
                    <w:keepNext w:val="0"/>
                    <w:pageBreakBefore w:val="0"/>
                    <w:kinsoku/>
                    <w:wordWrap/>
                    <w:overflowPunct/>
                    <w:topLinePunct w:val="0"/>
                    <w:bidi w:val="0"/>
                    <w:jc w:val="center"/>
                    <w:rPr>
                      <w:rFonts w:ascii="Times New Roman" w:hAnsi="Times New Roman" w:cs="Times New Roman"/>
                      <w:b w:val="0"/>
                      <w:bCs w:val="0"/>
                      <w:color w:val="auto"/>
                      <w:sz w:val="20"/>
                      <w:szCs w:val="20"/>
                      <w:u w:val="none"/>
                      <w:lang w:eastAsia="zh-CN"/>
                    </w:rPr>
                  </w:pPr>
                  <w:r>
                    <w:rPr>
                      <w:rFonts w:ascii="Times New Roman" w:hAnsi="Times New Roman" w:cs="Times New Roman"/>
                      <w:b w:val="0"/>
                      <w:bCs w:val="0"/>
                      <w:color w:val="auto"/>
                      <w:spacing w:val="6"/>
                      <w:sz w:val="20"/>
                      <w:szCs w:val="20"/>
                      <w:u w:val="none"/>
                      <w:lang w:eastAsia="zh-CN"/>
                    </w:rPr>
                    <w:t>南厂界</w:t>
                  </w:r>
                </w:p>
              </w:tc>
              <w:tc>
                <w:tcPr>
                  <w:tcW w:w="1908" w:type="dxa"/>
                  <w:tcBorders>
                    <w:top w:val="single" w:color="auto" w:sz="4" w:space="0"/>
                    <w:left w:val="single" w:color="auto" w:sz="4" w:space="0"/>
                    <w:bottom w:val="single" w:color="auto" w:sz="4" w:space="0"/>
                    <w:right w:val="single" w:color="auto" w:sz="4" w:space="0"/>
                  </w:tcBorders>
                  <w:vAlign w:val="center"/>
                </w:tcPr>
                <w:p>
                  <w:pPr>
                    <w:pStyle w:val="33"/>
                    <w:keepNext w:val="0"/>
                    <w:pageBreakBefore w:val="0"/>
                    <w:kinsoku/>
                    <w:wordWrap/>
                    <w:overflowPunct/>
                    <w:topLinePunct w:val="0"/>
                    <w:bidi w:val="0"/>
                    <w:jc w:val="center"/>
                    <w:rPr>
                      <w:rFonts w:ascii="Times New Roman" w:hAnsi="Times New Roman" w:cs="Times New Roman"/>
                      <w:b w:val="0"/>
                      <w:bCs w:val="0"/>
                      <w:color w:val="auto"/>
                      <w:spacing w:val="6"/>
                      <w:sz w:val="20"/>
                      <w:szCs w:val="20"/>
                      <w:u w:val="none"/>
                      <w:lang w:eastAsia="zh-CN"/>
                    </w:rPr>
                  </w:pPr>
                  <w:r>
                    <w:rPr>
                      <w:rFonts w:hint="eastAsia" w:ascii="Times New Roman" w:hAnsi="Times New Roman" w:cs="Times New Roman"/>
                      <w:b w:val="0"/>
                      <w:bCs w:val="0"/>
                      <w:color w:val="auto"/>
                      <w:spacing w:val="4"/>
                      <w:sz w:val="20"/>
                      <w:szCs w:val="20"/>
                      <w:u w:val="none"/>
                      <w:lang w:eastAsia="zh-CN"/>
                    </w:rPr>
                    <w:t>昼间</w:t>
                  </w:r>
                </w:p>
              </w:tc>
              <w:tc>
                <w:tcPr>
                  <w:tcW w:w="1786" w:type="dxa"/>
                  <w:tcBorders>
                    <w:left w:val="single" w:color="auto" w:sz="4" w:space="0"/>
                  </w:tcBorders>
                  <w:vAlign w:val="center"/>
                </w:tcPr>
                <w:p>
                  <w:pPr>
                    <w:keepNext w:val="0"/>
                    <w:pageBreakBefore w:val="0"/>
                    <w:kinsoku/>
                    <w:wordWrap/>
                    <w:overflowPunct/>
                    <w:topLinePunct w:val="0"/>
                    <w:bidi w:val="0"/>
                    <w:jc w:val="center"/>
                    <w:rPr>
                      <w:rFonts w:hint="eastAsia" w:eastAsia="宋体"/>
                      <w:b w:val="0"/>
                      <w:bCs w:val="0"/>
                      <w:color w:val="auto"/>
                      <w:sz w:val="21"/>
                      <w:szCs w:val="21"/>
                      <w:u w:val="none"/>
                      <w:lang w:val="en-US" w:eastAsia="zh-CN"/>
                    </w:rPr>
                  </w:pPr>
                  <w:r>
                    <w:rPr>
                      <w:rFonts w:eastAsia="Arial"/>
                      <w:b w:val="0"/>
                      <w:bCs w:val="0"/>
                      <w:color w:val="auto"/>
                      <w:sz w:val="21"/>
                      <w:szCs w:val="21"/>
                      <w:u w:val="none"/>
                    </w:rPr>
                    <w:t>10.</w:t>
                  </w:r>
                  <w:r>
                    <w:rPr>
                      <w:rFonts w:hint="eastAsia" w:eastAsia="宋体"/>
                      <w:b w:val="0"/>
                      <w:bCs w:val="0"/>
                      <w:color w:val="auto"/>
                      <w:sz w:val="21"/>
                      <w:szCs w:val="21"/>
                      <w:u w:val="none"/>
                      <w:lang w:val="en-US" w:eastAsia="zh-CN"/>
                    </w:rPr>
                    <w:t>5</w:t>
                  </w:r>
                </w:p>
              </w:tc>
              <w:tc>
                <w:tcPr>
                  <w:tcW w:w="1659" w:type="dxa"/>
                  <w:vAlign w:val="center"/>
                </w:tcPr>
                <w:p>
                  <w:pPr>
                    <w:keepNext w:val="0"/>
                    <w:pageBreakBefore w:val="0"/>
                    <w:kinsoku/>
                    <w:wordWrap/>
                    <w:overflowPunct/>
                    <w:topLinePunct w:val="0"/>
                    <w:bidi w:val="0"/>
                    <w:jc w:val="center"/>
                    <w:rPr>
                      <w:rFonts w:eastAsia="Times New Roman"/>
                      <w:b w:val="0"/>
                      <w:bCs w:val="0"/>
                      <w:color w:val="auto"/>
                      <w:sz w:val="20"/>
                      <w:szCs w:val="20"/>
                      <w:u w:val="none"/>
                    </w:rPr>
                  </w:pPr>
                  <w:r>
                    <w:rPr>
                      <w:rFonts w:hint="eastAsia"/>
                      <w:b w:val="0"/>
                      <w:bCs w:val="0"/>
                      <w:color w:val="auto"/>
                      <w:sz w:val="20"/>
                      <w:szCs w:val="20"/>
                      <w:u w:val="none"/>
                    </w:rPr>
                    <w:t>65</w:t>
                  </w:r>
                </w:p>
              </w:tc>
              <w:tc>
                <w:tcPr>
                  <w:tcW w:w="1659" w:type="dxa"/>
                  <w:vAlign w:val="center"/>
                </w:tcPr>
                <w:p>
                  <w:pPr>
                    <w:keepNext w:val="0"/>
                    <w:pageBreakBefore w:val="0"/>
                    <w:kinsoku/>
                    <w:wordWrap/>
                    <w:overflowPunct/>
                    <w:topLinePunct w:val="0"/>
                    <w:bidi w:val="0"/>
                    <w:jc w:val="center"/>
                    <w:rPr>
                      <w:b w:val="0"/>
                      <w:bCs w:val="0"/>
                      <w:color w:val="auto"/>
                      <w:sz w:val="20"/>
                      <w:szCs w:val="20"/>
                      <w:u w:val="none"/>
                    </w:rPr>
                  </w:pPr>
                  <w:r>
                    <w:rPr>
                      <w:rFonts w:hint="eastAsia"/>
                      <w:b w:val="0"/>
                      <w:bCs w:val="0"/>
                      <w:color w:val="auto"/>
                      <w:spacing w:val="5"/>
                      <w:sz w:val="20"/>
                      <w:szCs w:val="20"/>
                      <w:u w:val="none"/>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2343" w:type="dxa"/>
                  <w:tcBorders>
                    <w:right w:val="single" w:color="auto" w:sz="4" w:space="0"/>
                  </w:tcBorders>
                  <w:vAlign w:val="center"/>
                </w:tcPr>
                <w:p>
                  <w:pPr>
                    <w:pStyle w:val="33"/>
                    <w:keepNext w:val="0"/>
                    <w:pageBreakBefore w:val="0"/>
                    <w:kinsoku/>
                    <w:wordWrap/>
                    <w:overflowPunct/>
                    <w:topLinePunct w:val="0"/>
                    <w:bidi w:val="0"/>
                    <w:jc w:val="center"/>
                    <w:rPr>
                      <w:rFonts w:ascii="Times New Roman" w:hAnsi="Times New Roman" w:cs="Times New Roman"/>
                      <w:b w:val="0"/>
                      <w:bCs w:val="0"/>
                      <w:color w:val="auto"/>
                      <w:sz w:val="20"/>
                      <w:szCs w:val="20"/>
                      <w:u w:val="none"/>
                      <w:lang w:eastAsia="zh-CN"/>
                    </w:rPr>
                  </w:pPr>
                  <w:r>
                    <w:rPr>
                      <w:rFonts w:ascii="Times New Roman" w:hAnsi="Times New Roman" w:cs="Times New Roman"/>
                      <w:b w:val="0"/>
                      <w:bCs w:val="0"/>
                      <w:color w:val="auto"/>
                      <w:spacing w:val="5"/>
                      <w:sz w:val="20"/>
                      <w:szCs w:val="20"/>
                      <w:u w:val="none"/>
                      <w:lang w:eastAsia="zh-CN"/>
                    </w:rPr>
                    <w:t>西厂界</w:t>
                  </w:r>
                </w:p>
              </w:tc>
              <w:tc>
                <w:tcPr>
                  <w:tcW w:w="1908" w:type="dxa"/>
                  <w:tcBorders>
                    <w:top w:val="single" w:color="auto" w:sz="4" w:space="0"/>
                    <w:left w:val="single" w:color="auto" w:sz="4" w:space="0"/>
                    <w:bottom w:val="single" w:color="auto" w:sz="4" w:space="0"/>
                    <w:right w:val="single" w:color="auto" w:sz="4" w:space="0"/>
                  </w:tcBorders>
                  <w:vAlign w:val="center"/>
                </w:tcPr>
                <w:p>
                  <w:pPr>
                    <w:pStyle w:val="33"/>
                    <w:keepNext w:val="0"/>
                    <w:pageBreakBefore w:val="0"/>
                    <w:kinsoku/>
                    <w:wordWrap/>
                    <w:overflowPunct/>
                    <w:topLinePunct w:val="0"/>
                    <w:bidi w:val="0"/>
                    <w:jc w:val="center"/>
                    <w:rPr>
                      <w:rFonts w:ascii="Times New Roman" w:hAnsi="Times New Roman" w:cs="Times New Roman"/>
                      <w:b w:val="0"/>
                      <w:bCs w:val="0"/>
                      <w:color w:val="auto"/>
                      <w:spacing w:val="5"/>
                      <w:sz w:val="20"/>
                      <w:szCs w:val="20"/>
                      <w:u w:val="none"/>
                      <w:lang w:eastAsia="zh-CN"/>
                    </w:rPr>
                  </w:pPr>
                  <w:r>
                    <w:rPr>
                      <w:rFonts w:hint="eastAsia" w:ascii="Times New Roman" w:hAnsi="Times New Roman" w:cs="Times New Roman"/>
                      <w:b w:val="0"/>
                      <w:bCs w:val="0"/>
                      <w:color w:val="auto"/>
                      <w:spacing w:val="4"/>
                      <w:sz w:val="20"/>
                      <w:szCs w:val="20"/>
                      <w:u w:val="none"/>
                      <w:lang w:eastAsia="zh-CN"/>
                    </w:rPr>
                    <w:t>昼间</w:t>
                  </w:r>
                </w:p>
              </w:tc>
              <w:tc>
                <w:tcPr>
                  <w:tcW w:w="1786" w:type="dxa"/>
                  <w:tcBorders>
                    <w:left w:val="single" w:color="auto" w:sz="4" w:space="0"/>
                  </w:tcBorders>
                  <w:vAlign w:val="center"/>
                </w:tcPr>
                <w:p>
                  <w:pPr>
                    <w:keepNext w:val="0"/>
                    <w:pageBreakBefore w:val="0"/>
                    <w:kinsoku/>
                    <w:wordWrap/>
                    <w:overflowPunct/>
                    <w:topLinePunct w:val="0"/>
                    <w:bidi w:val="0"/>
                    <w:jc w:val="center"/>
                    <w:rPr>
                      <w:rFonts w:hint="default" w:eastAsia="宋体"/>
                      <w:b w:val="0"/>
                      <w:bCs w:val="0"/>
                      <w:color w:val="auto"/>
                      <w:sz w:val="21"/>
                      <w:szCs w:val="21"/>
                      <w:u w:val="none"/>
                      <w:lang w:val="en-US" w:eastAsia="zh-CN"/>
                    </w:rPr>
                  </w:pPr>
                  <w:r>
                    <w:rPr>
                      <w:rFonts w:hint="eastAsia" w:eastAsia="宋体"/>
                      <w:b w:val="0"/>
                      <w:bCs w:val="0"/>
                      <w:color w:val="auto"/>
                      <w:sz w:val="21"/>
                      <w:szCs w:val="21"/>
                      <w:u w:val="none"/>
                      <w:lang w:val="en-US" w:eastAsia="zh-CN"/>
                    </w:rPr>
                    <w:t>20</w:t>
                  </w:r>
                </w:p>
              </w:tc>
              <w:tc>
                <w:tcPr>
                  <w:tcW w:w="1659" w:type="dxa"/>
                  <w:vAlign w:val="center"/>
                </w:tcPr>
                <w:p>
                  <w:pPr>
                    <w:keepNext w:val="0"/>
                    <w:pageBreakBefore w:val="0"/>
                    <w:kinsoku/>
                    <w:wordWrap/>
                    <w:overflowPunct/>
                    <w:topLinePunct w:val="0"/>
                    <w:bidi w:val="0"/>
                    <w:jc w:val="center"/>
                    <w:rPr>
                      <w:rFonts w:eastAsia="Times New Roman"/>
                      <w:b w:val="0"/>
                      <w:bCs w:val="0"/>
                      <w:color w:val="auto"/>
                      <w:sz w:val="20"/>
                      <w:szCs w:val="20"/>
                      <w:u w:val="none"/>
                    </w:rPr>
                  </w:pPr>
                  <w:r>
                    <w:rPr>
                      <w:rFonts w:hint="eastAsia"/>
                      <w:b w:val="0"/>
                      <w:bCs w:val="0"/>
                      <w:color w:val="auto"/>
                      <w:sz w:val="20"/>
                      <w:szCs w:val="20"/>
                      <w:u w:val="none"/>
                    </w:rPr>
                    <w:t>65</w:t>
                  </w:r>
                </w:p>
              </w:tc>
              <w:tc>
                <w:tcPr>
                  <w:tcW w:w="1659" w:type="dxa"/>
                  <w:vAlign w:val="center"/>
                </w:tcPr>
                <w:p>
                  <w:pPr>
                    <w:keepNext w:val="0"/>
                    <w:pageBreakBefore w:val="0"/>
                    <w:kinsoku/>
                    <w:wordWrap/>
                    <w:overflowPunct/>
                    <w:topLinePunct w:val="0"/>
                    <w:bidi w:val="0"/>
                    <w:jc w:val="center"/>
                    <w:rPr>
                      <w:b w:val="0"/>
                      <w:bCs w:val="0"/>
                      <w:color w:val="auto"/>
                      <w:sz w:val="20"/>
                      <w:szCs w:val="20"/>
                      <w:u w:val="none"/>
                    </w:rPr>
                  </w:pPr>
                  <w:r>
                    <w:rPr>
                      <w:rFonts w:hint="eastAsia"/>
                      <w:b w:val="0"/>
                      <w:bCs w:val="0"/>
                      <w:color w:val="auto"/>
                      <w:spacing w:val="5"/>
                      <w:sz w:val="20"/>
                      <w:szCs w:val="20"/>
                      <w:u w:val="none"/>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 w:hRule="atLeast"/>
              </w:trPr>
              <w:tc>
                <w:tcPr>
                  <w:tcW w:w="2343" w:type="dxa"/>
                  <w:tcBorders>
                    <w:right w:val="single" w:color="auto" w:sz="4" w:space="0"/>
                  </w:tcBorders>
                  <w:vAlign w:val="center"/>
                </w:tcPr>
                <w:p>
                  <w:pPr>
                    <w:pStyle w:val="33"/>
                    <w:keepNext w:val="0"/>
                    <w:pageBreakBefore w:val="0"/>
                    <w:kinsoku/>
                    <w:wordWrap/>
                    <w:overflowPunct/>
                    <w:topLinePunct w:val="0"/>
                    <w:bidi w:val="0"/>
                    <w:jc w:val="center"/>
                    <w:rPr>
                      <w:rFonts w:ascii="Times New Roman" w:hAnsi="Times New Roman" w:cs="Times New Roman"/>
                      <w:b w:val="0"/>
                      <w:bCs w:val="0"/>
                      <w:color w:val="auto"/>
                      <w:sz w:val="20"/>
                      <w:szCs w:val="20"/>
                      <w:u w:val="none"/>
                      <w:lang w:eastAsia="zh-CN"/>
                    </w:rPr>
                  </w:pPr>
                  <w:r>
                    <w:rPr>
                      <w:rFonts w:ascii="Times New Roman" w:hAnsi="Times New Roman" w:cs="Times New Roman"/>
                      <w:b w:val="0"/>
                      <w:bCs w:val="0"/>
                      <w:color w:val="auto"/>
                      <w:spacing w:val="5"/>
                      <w:sz w:val="20"/>
                      <w:szCs w:val="20"/>
                      <w:u w:val="none"/>
                      <w:lang w:eastAsia="zh-CN"/>
                    </w:rPr>
                    <w:t>北厂界</w:t>
                  </w:r>
                </w:p>
              </w:tc>
              <w:tc>
                <w:tcPr>
                  <w:tcW w:w="1908" w:type="dxa"/>
                  <w:tcBorders>
                    <w:top w:val="single" w:color="auto" w:sz="4" w:space="0"/>
                    <w:left w:val="single" w:color="auto" w:sz="4" w:space="0"/>
                    <w:bottom w:val="single" w:color="auto" w:sz="4" w:space="0"/>
                    <w:right w:val="single" w:color="auto" w:sz="4" w:space="0"/>
                  </w:tcBorders>
                  <w:vAlign w:val="center"/>
                </w:tcPr>
                <w:p>
                  <w:pPr>
                    <w:pStyle w:val="33"/>
                    <w:keepNext w:val="0"/>
                    <w:pageBreakBefore w:val="0"/>
                    <w:kinsoku/>
                    <w:wordWrap/>
                    <w:overflowPunct/>
                    <w:topLinePunct w:val="0"/>
                    <w:bidi w:val="0"/>
                    <w:jc w:val="center"/>
                    <w:rPr>
                      <w:rFonts w:ascii="Times New Roman" w:hAnsi="Times New Roman" w:cs="Times New Roman"/>
                      <w:b w:val="0"/>
                      <w:bCs w:val="0"/>
                      <w:color w:val="auto"/>
                      <w:spacing w:val="5"/>
                      <w:sz w:val="20"/>
                      <w:szCs w:val="20"/>
                      <w:u w:val="none"/>
                      <w:lang w:eastAsia="zh-CN"/>
                    </w:rPr>
                  </w:pPr>
                  <w:r>
                    <w:rPr>
                      <w:rFonts w:hint="eastAsia" w:ascii="Times New Roman" w:hAnsi="Times New Roman" w:cs="Times New Roman"/>
                      <w:b w:val="0"/>
                      <w:bCs w:val="0"/>
                      <w:color w:val="auto"/>
                      <w:spacing w:val="4"/>
                      <w:sz w:val="20"/>
                      <w:szCs w:val="20"/>
                      <w:u w:val="none"/>
                      <w:lang w:eastAsia="zh-CN"/>
                    </w:rPr>
                    <w:t>昼间</w:t>
                  </w:r>
                </w:p>
              </w:tc>
              <w:tc>
                <w:tcPr>
                  <w:tcW w:w="1786" w:type="dxa"/>
                  <w:tcBorders>
                    <w:left w:val="single" w:color="auto" w:sz="4" w:space="0"/>
                  </w:tcBorders>
                  <w:vAlign w:val="center"/>
                </w:tcPr>
                <w:p>
                  <w:pPr>
                    <w:keepNext w:val="0"/>
                    <w:pageBreakBefore w:val="0"/>
                    <w:kinsoku/>
                    <w:wordWrap/>
                    <w:overflowPunct/>
                    <w:topLinePunct w:val="0"/>
                    <w:bidi w:val="0"/>
                    <w:jc w:val="center"/>
                    <w:rPr>
                      <w:rFonts w:eastAsia="Times New Roman"/>
                      <w:b w:val="0"/>
                      <w:bCs w:val="0"/>
                      <w:color w:val="auto"/>
                      <w:sz w:val="21"/>
                      <w:szCs w:val="21"/>
                      <w:u w:val="none"/>
                    </w:rPr>
                  </w:pPr>
                  <w:r>
                    <w:rPr>
                      <w:rFonts w:eastAsia="Arial"/>
                      <w:b w:val="0"/>
                      <w:bCs w:val="0"/>
                      <w:color w:val="auto"/>
                      <w:sz w:val="21"/>
                      <w:szCs w:val="21"/>
                      <w:u w:val="none"/>
                    </w:rPr>
                    <w:t>26.4</w:t>
                  </w:r>
                </w:p>
              </w:tc>
              <w:tc>
                <w:tcPr>
                  <w:tcW w:w="1659" w:type="dxa"/>
                  <w:vAlign w:val="center"/>
                </w:tcPr>
                <w:p>
                  <w:pPr>
                    <w:keepNext w:val="0"/>
                    <w:pageBreakBefore w:val="0"/>
                    <w:kinsoku/>
                    <w:wordWrap/>
                    <w:overflowPunct/>
                    <w:topLinePunct w:val="0"/>
                    <w:bidi w:val="0"/>
                    <w:jc w:val="center"/>
                    <w:rPr>
                      <w:rFonts w:eastAsia="Times New Roman"/>
                      <w:b w:val="0"/>
                      <w:bCs w:val="0"/>
                      <w:color w:val="auto"/>
                      <w:sz w:val="20"/>
                      <w:szCs w:val="20"/>
                      <w:u w:val="none"/>
                    </w:rPr>
                  </w:pPr>
                  <w:r>
                    <w:rPr>
                      <w:rFonts w:hint="eastAsia"/>
                      <w:b w:val="0"/>
                      <w:bCs w:val="0"/>
                      <w:color w:val="auto"/>
                      <w:sz w:val="20"/>
                      <w:szCs w:val="20"/>
                      <w:u w:val="none"/>
                    </w:rPr>
                    <w:t>65</w:t>
                  </w:r>
                </w:p>
              </w:tc>
              <w:tc>
                <w:tcPr>
                  <w:tcW w:w="1659" w:type="dxa"/>
                  <w:vAlign w:val="center"/>
                </w:tcPr>
                <w:p>
                  <w:pPr>
                    <w:keepNext w:val="0"/>
                    <w:pageBreakBefore w:val="0"/>
                    <w:kinsoku/>
                    <w:wordWrap/>
                    <w:overflowPunct/>
                    <w:topLinePunct w:val="0"/>
                    <w:bidi w:val="0"/>
                    <w:jc w:val="center"/>
                    <w:rPr>
                      <w:b w:val="0"/>
                      <w:bCs w:val="0"/>
                      <w:color w:val="auto"/>
                      <w:sz w:val="20"/>
                      <w:szCs w:val="20"/>
                      <w:u w:val="none"/>
                    </w:rPr>
                  </w:pPr>
                  <w:r>
                    <w:rPr>
                      <w:rFonts w:hint="eastAsia"/>
                      <w:b w:val="0"/>
                      <w:bCs w:val="0"/>
                      <w:color w:val="auto"/>
                      <w:spacing w:val="5"/>
                      <w:sz w:val="20"/>
                      <w:szCs w:val="20"/>
                      <w:u w:val="none"/>
                    </w:rPr>
                    <w:t>达标</w:t>
                  </w:r>
                </w:p>
              </w:tc>
            </w:tr>
          </w:tbl>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由上表可以看出，本项目营运期间对东、北、西、南厂界的昼间噪声贡献值均可以满足《工业企业厂界环境噪声排放标准》（GB12348-2008）3类标准（昼间：65dB（A））</w:t>
            </w:r>
          </w:p>
          <w:p>
            <w:pPr>
              <w:pStyle w:val="33"/>
              <w:keepNext w:val="0"/>
              <w:pageBreakBefore w:val="0"/>
              <w:kinsoku/>
              <w:wordWrap/>
              <w:overflowPunct/>
              <w:topLinePunct w:val="0"/>
              <w:bidi w:val="0"/>
              <w:spacing w:before="181" w:line="213" w:lineRule="auto"/>
              <w:ind w:left="2782"/>
              <w:rPr>
                <w:b/>
                <w:bCs/>
                <w:color w:val="auto"/>
                <w:u w:val="single"/>
              </w:rPr>
            </w:pPr>
            <w:r>
              <w:rPr>
                <w:b/>
                <w:bCs/>
                <w:color w:val="auto"/>
                <w:spacing w:val="-3"/>
                <w:u w:val="single"/>
              </w:rPr>
              <w:t>表</w:t>
            </w:r>
            <w:r>
              <w:rPr>
                <w:rFonts w:ascii="Times New Roman" w:hAnsi="Times New Roman" w:eastAsia="Times New Roman" w:cs="Times New Roman"/>
                <w:b/>
                <w:bCs/>
                <w:color w:val="auto"/>
                <w:spacing w:val="-3"/>
                <w:u w:val="single"/>
              </w:rPr>
              <w:t>4-</w:t>
            </w:r>
            <w:r>
              <w:rPr>
                <w:rFonts w:hint="eastAsia" w:ascii="Times New Roman" w:hAnsi="Times New Roman" w:cs="Times New Roman"/>
                <w:b/>
                <w:bCs/>
                <w:color w:val="auto"/>
                <w:spacing w:val="-3"/>
                <w:u w:val="single"/>
                <w:lang w:val="en-US" w:eastAsia="zh-CN"/>
              </w:rPr>
              <w:t>11</w:t>
            </w:r>
            <w:r>
              <w:rPr>
                <w:rFonts w:hint="eastAsia" w:ascii="Times New Roman" w:hAnsi="Times New Roman" w:cs="Times New Roman"/>
                <w:b/>
                <w:bCs/>
                <w:color w:val="auto"/>
                <w:spacing w:val="-3"/>
                <w:u w:val="single"/>
                <w:lang w:eastAsia="zh-CN"/>
              </w:rPr>
              <w:t xml:space="preserve">  </w:t>
            </w:r>
            <w:r>
              <w:rPr>
                <w:b/>
                <w:bCs/>
                <w:color w:val="auto"/>
                <w:spacing w:val="-3"/>
                <w:u w:val="single"/>
              </w:rPr>
              <w:t>本项目</w:t>
            </w:r>
            <w:r>
              <w:rPr>
                <w:rFonts w:hint="eastAsia"/>
                <w:b/>
                <w:bCs/>
                <w:color w:val="auto"/>
                <w:spacing w:val="-3"/>
                <w:u w:val="single"/>
                <w:lang w:eastAsia="zh-CN"/>
              </w:rPr>
              <w:t>噪声</w:t>
            </w:r>
            <w:r>
              <w:rPr>
                <w:b/>
                <w:bCs/>
                <w:color w:val="auto"/>
                <w:spacing w:val="-3"/>
                <w:u w:val="single"/>
              </w:rPr>
              <w:t>监测计划</w:t>
            </w:r>
          </w:p>
          <w:tbl>
            <w:tblPr>
              <w:tblStyle w:val="32"/>
              <w:tblW w:w="93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251"/>
              <w:gridCol w:w="1494"/>
              <w:gridCol w:w="1048"/>
              <w:gridCol w:w="43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8" w:hRule="atLeast"/>
              </w:trPr>
              <w:tc>
                <w:tcPr>
                  <w:tcW w:w="1168"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监测项目</w:t>
                  </w:r>
                </w:p>
              </w:tc>
              <w:tc>
                <w:tcPr>
                  <w:tcW w:w="1251"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监测点位</w:t>
                  </w:r>
                </w:p>
              </w:tc>
              <w:tc>
                <w:tcPr>
                  <w:tcW w:w="1494"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监测指标</w:t>
                  </w:r>
                </w:p>
              </w:tc>
              <w:tc>
                <w:tcPr>
                  <w:tcW w:w="1048"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监测频次</w:t>
                  </w:r>
                </w:p>
              </w:tc>
              <w:tc>
                <w:tcPr>
                  <w:tcW w:w="4396"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执行标准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68" w:type="dxa"/>
                  <w:vAlign w:val="center"/>
                </w:tcPr>
                <w:p>
                  <w:pPr>
                    <w:keepNext w:val="0"/>
                    <w:pageBreakBefore w:val="0"/>
                    <w:kinsoku/>
                    <w:wordWrap/>
                    <w:overflowPunct/>
                    <w:topLinePunct w:val="0"/>
                    <w:bidi w:val="0"/>
                    <w:jc w:val="center"/>
                    <w:rPr>
                      <w:b/>
                      <w:bCs/>
                      <w:color w:val="auto"/>
                      <w:sz w:val="21"/>
                      <w:szCs w:val="21"/>
                      <w:u w:val="single"/>
                    </w:rPr>
                  </w:pPr>
                  <w:r>
                    <w:rPr>
                      <w:rFonts w:hint="eastAsia"/>
                      <w:b/>
                      <w:bCs/>
                      <w:color w:val="auto"/>
                      <w:sz w:val="21"/>
                      <w:szCs w:val="21"/>
                      <w:u w:val="single"/>
                    </w:rPr>
                    <w:t>噪声</w:t>
                  </w:r>
                </w:p>
              </w:tc>
              <w:tc>
                <w:tcPr>
                  <w:tcW w:w="1251" w:type="dxa"/>
                  <w:vAlign w:val="center"/>
                </w:tcPr>
                <w:p>
                  <w:pPr>
                    <w:keepNext w:val="0"/>
                    <w:pageBreakBefore w:val="0"/>
                    <w:kinsoku/>
                    <w:wordWrap/>
                    <w:overflowPunct/>
                    <w:topLinePunct w:val="0"/>
                    <w:bidi w:val="0"/>
                    <w:jc w:val="center"/>
                    <w:rPr>
                      <w:b/>
                      <w:bCs/>
                      <w:color w:val="auto"/>
                      <w:sz w:val="21"/>
                      <w:szCs w:val="21"/>
                      <w:u w:val="single"/>
                    </w:rPr>
                  </w:pPr>
                  <w:r>
                    <w:rPr>
                      <w:rFonts w:hint="eastAsia"/>
                      <w:b/>
                      <w:bCs/>
                      <w:color w:val="auto"/>
                      <w:sz w:val="21"/>
                      <w:szCs w:val="21"/>
                      <w:u w:val="single"/>
                      <w:lang w:val="en-US" w:eastAsia="zh-CN"/>
                    </w:rPr>
                    <w:t>四周</w:t>
                  </w:r>
                  <w:r>
                    <w:rPr>
                      <w:rFonts w:hint="eastAsia"/>
                      <w:b/>
                      <w:bCs/>
                      <w:color w:val="auto"/>
                      <w:sz w:val="21"/>
                      <w:szCs w:val="21"/>
                      <w:u w:val="single"/>
                    </w:rPr>
                    <w:t>厂界</w:t>
                  </w:r>
                </w:p>
              </w:tc>
              <w:tc>
                <w:tcPr>
                  <w:tcW w:w="1494" w:type="dxa"/>
                  <w:vAlign w:val="center"/>
                </w:tcPr>
                <w:p>
                  <w:pPr>
                    <w:keepNext w:val="0"/>
                    <w:pageBreakBefore w:val="0"/>
                    <w:kinsoku/>
                    <w:wordWrap/>
                    <w:overflowPunct/>
                    <w:topLinePunct w:val="0"/>
                    <w:bidi w:val="0"/>
                    <w:jc w:val="center"/>
                    <w:rPr>
                      <w:b/>
                      <w:bCs/>
                      <w:color w:val="auto"/>
                      <w:sz w:val="21"/>
                      <w:szCs w:val="21"/>
                      <w:u w:val="single"/>
                    </w:rPr>
                  </w:pPr>
                  <w:r>
                    <w:rPr>
                      <w:rFonts w:hint="eastAsia"/>
                      <w:b/>
                      <w:bCs/>
                      <w:color w:val="auto"/>
                      <w:sz w:val="21"/>
                      <w:szCs w:val="21"/>
                      <w:u w:val="single"/>
                    </w:rPr>
                    <w:t>厂界噪声</w:t>
                  </w:r>
                </w:p>
              </w:tc>
              <w:tc>
                <w:tcPr>
                  <w:tcW w:w="1048"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1次/季度</w:t>
                  </w:r>
                </w:p>
              </w:tc>
              <w:tc>
                <w:tcPr>
                  <w:tcW w:w="4396" w:type="dxa"/>
                  <w:vAlign w:val="center"/>
                </w:tcPr>
                <w:p>
                  <w:pPr>
                    <w:keepNext w:val="0"/>
                    <w:pageBreakBefore w:val="0"/>
                    <w:kinsoku/>
                    <w:wordWrap/>
                    <w:overflowPunct/>
                    <w:topLinePunct w:val="0"/>
                    <w:bidi w:val="0"/>
                    <w:jc w:val="center"/>
                    <w:rPr>
                      <w:b/>
                      <w:bCs/>
                      <w:color w:val="auto"/>
                      <w:sz w:val="21"/>
                      <w:szCs w:val="21"/>
                      <w:u w:val="single"/>
                    </w:rPr>
                  </w:pPr>
                  <w:r>
                    <w:rPr>
                      <w:b/>
                      <w:bCs/>
                      <w:color w:val="auto"/>
                      <w:sz w:val="21"/>
                      <w:szCs w:val="21"/>
                      <w:u w:val="single"/>
                    </w:rPr>
                    <w:t>《工业企业厂界环境噪声排放标准》（GB12348-2008）3类标准</w:t>
                  </w:r>
                </w:p>
              </w:tc>
            </w:tr>
          </w:tbl>
          <w:p>
            <w:pPr>
              <w:pStyle w:val="33"/>
              <w:keepNext w:val="0"/>
              <w:pageBreakBefore w:val="0"/>
              <w:kinsoku/>
              <w:wordWrap/>
              <w:overflowPunct/>
              <w:topLinePunct w:val="0"/>
              <w:bidi w:val="0"/>
              <w:spacing w:before="33" w:line="220" w:lineRule="auto"/>
              <w:ind w:left="579"/>
              <w:rPr>
                <w:rFonts w:ascii="Times New Roman" w:hAnsi="Times New Roman" w:cs="Times New Roman"/>
                <w:color w:val="auto"/>
                <w:lang w:eastAsia="zh-CN"/>
              </w:rPr>
            </w:pPr>
            <w:r>
              <w:rPr>
                <w:rFonts w:ascii="Times New Roman" w:hAnsi="Times New Roman" w:eastAsia="Times New Roman" w:cs="Times New Roman"/>
                <w:b/>
                <w:bCs/>
                <w:color w:val="auto"/>
                <w:spacing w:val="-10"/>
                <w:lang w:eastAsia="zh-CN"/>
              </w:rPr>
              <w:t>4</w:t>
            </w:r>
            <w:r>
              <w:rPr>
                <w:rFonts w:ascii="Times New Roman" w:hAnsi="Times New Roman" w:cs="Times New Roman"/>
                <w:b/>
                <w:bCs/>
                <w:color w:val="auto"/>
                <w:spacing w:val="-10"/>
                <w:lang w:eastAsia="zh-CN"/>
              </w:rPr>
              <w:t>、固废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color w:val="auto"/>
              </w:rPr>
              <w:t>项目固体废物主要有废边角料、除尘设施收集的粉尘、</w:t>
            </w:r>
            <w:r>
              <w:rPr>
                <w:rFonts w:hint="eastAsia"/>
                <w:color w:val="auto"/>
                <w:lang w:val="en-US" w:eastAsia="zh-CN"/>
              </w:rPr>
              <w:t>废包装材料、</w:t>
            </w:r>
            <w:r>
              <w:rPr>
                <w:color w:val="auto"/>
              </w:rPr>
              <w:t>废胶桶</w:t>
            </w:r>
            <w:r>
              <w:rPr>
                <w:rFonts w:hint="eastAsia"/>
                <w:color w:val="auto"/>
                <w:lang w:eastAsia="zh-CN"/>
              </w:rPr>
              <w:t>（</w:t>
            </w:r>
            <w:r>
              <w:rPr>
                <w:rFonts w:hint="eastAsia"/>
                <w:color w:val="auto"/>
                <w:lang w:val="en-US" w:eastAsia="zh-CN"/>
              </w:rPr>
              <w:t>水性</w:t>
            </w:r>
            <w:r>
              <w:rPr>
                <w:rFonts w:hint="eastAsia"/>
                <w:color w:val="auto"/>
                <w:lang w:eastAsia="zh-CN"/>
              </w:rPr>
              <w:t>）</w:t>
            </w:r>
            <w:r>
              <w:rPr>
                <w:color w:val="auto"/>
              </w:rPr>
              <w:t>、废机油、废液压油、</w:t>
            </w:r>
            <w:r>
              <w:rPr>
                <w:rFonts w:hint="eastAsia"/>
                <w:color w:val="auto"/>
              </w:rPr>
              <w:t>废活性炭</w:t>
            </w:r>
            <w:r>
              <w:rPr>
                <w:color w:val="auto"/>
              </w:rPr>
              <w:t>、生活垃圾。其中，生活垃圾、废边角料、除尘设施收集的粉尘、</w:t>
            </w:r>
            <w:r>
              <w:rPr>
                <w:rFonts w:hint="eastAsia"/>
                <w:color w:val="auto"/>
                <w:lang w:val="en-US" w:eastAsia="zh-CN"/>
              </w:rPr>
              <w:t>废包装材料</w:t>
            </w:r>
            <w:r>
              <w:rPr>
                <w:rFonts w:hint="eastAsia"/>
                <w:color w:val="auto"/>
              </w:rPr>
              <w:t>、</w:t>
            </w:r>
            <w:r>
              <w:rPr>
                <w:color w:val="auto"/>
              </w:rPr>
              <w:t>废胶桶</w:t>
            </w:r>
            <w:r>
              <w:rPr>
                <w:rFonts w:hint="eastAsia"/>
                <w:color w:val="auto"/>
                <w:lang w:eastAsia="zh-CN"/>
              </w:rPr>
              <w:t>（</w:t>
            </w:r>
            <w:r>
              <w:rPr>
                <w:rFonts w:hint="eastAsia"/>
                <w:color w:val="auto"/>
                <w:lang w:val="en-US" w:eastAsia="zh-CN"/>
              </w:rPr>
              <w:t>水性</w:t>
            </w:r>
            <w:r>
              <w:rPr>
                <w:rFonts w:hint="eastAsia"/>
                <w:color w:val="auto"/>
                <w:lang w:eastAsia="zh-CN"/>
              </w:rPr>
              <w:t>）</w:t>
            </w:r>
            <w:r>
              <w:rPr>
                <w:color w:val="auto"/>
              </w:rPr>
              <w:t>为一般工业固废；废机油、废液压油</w:t>
            </w:r>
            <w:r>
              <w:rPr>
                <w:rFonts w:hint="eastAsia"/>
                <w:color w:val="auto"/>
              </w:rPr>
              <w:t>、废活性炭</w:t>
            </w:r>
            <w:r>
              <w:rPr>
                <w:color w:val="auto"/>
              </w:rPr>
              <w:t>等属于危险废物。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（1）一般工业固废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①</w:t>
            </w:r>
            <w:r>
              <w:rPr>
                <w:rFonts w:hint="eastAsia"/>
                <w:b w:val="0"/>
                <w:bCs w:val="0"/>
                <w:color w:val="auto"/>
                <w:u w:val="none"/>
                <w:lang w:val="en-US" w:eastAsia="zh-CN"/>
              </w:rPr>
              <w:t>废</w:t>
            </w:r>
            <w:r>
              <w:rPr>
                <w:b w:val="0"/>
                <w:bCs w:val="0"/>
                <w:color w:val="auto"/>
                <w:u w:val="none"/>
              </w:rPr>
              <w:t>边角料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项目在加工过程中会产生木材</w:t>
            </w:r>
            <w:r>
              <w:rPr>
                <w:rFonts w:hint="eastAsia"/>
                <w:b w:val="0"/>
                <w:bCs w:val="0"/>
                <w:color w:val="auto"/>
                <w:u w:val="none"/>
                <w:lang w:val="en-US" w:eastAsia="zh-CN"/>
              </w:rPr>
              <w:t>碎木屑、锯末及</w:t>
            </w:r>
            <w:r>
              <w:rPr>
                <w:b w:val="0"/>
                <w:bCs w:val="0"/>
                <w:color w:val="auto"/>
                <w:u w:val="none"/>
              </w:rPr>
              <w:t>边角料，原材料年使用量为</w:t>
            </w:r>
            <w:r>
              <w:rPr>
                <w:rFonts w:hint="eastAsia"/>
                <w:b w:val="0"/>
                <w:bCs w:val="0"/>
                <w:color w:val="auto"/>
                <w:u w:val="none"/>
                <w:lang w:val="en-US" w:eastAsia="zh-CN"/>
              </w:rPr>
              <w:t>450</w:t>
            </w:r>
            <w:r>
              <w:rPr>
                <w:b w:val="0"/>
                <w:bCs w:val="0"/>
                <w:color w:val="auto"/>
                <w:u w:val="none"/>
              </w:rPr>
              <w:t>m</w:t>
            </w:r>
            <w:r>
              <w:rPr>
                <w:b w:val="0"/>
                <w:bCs w:val="0"/>
                <w:color w:val="auto"/>
                <w:u w:val="none"/>
                <w:vertAlign w:val="superscript"/>
              </w:rPr>
              <w:t>3</w:t>
            </w:r>
            <w:r>
              <w:rPr>
                <w:b w:val="0"/>
                <w:bCs w:val="0"/>
                <w:color w:val="auto"/>
                <w:u w:val="none"/>
              </w:rPr>
              <w:t>/a，</w:t>
            </w:r>
            <w:r>
              <w:rPr>
                <w:rFonts w:hint="eastAsia"/>
                <w:b w:val="0"/>
                <w:bCs w:val="0"/>
                <w:color w:val="auto"/>
                <w:u w:val="none"/>
                <w:lang w:val="en-US" w:eastAsia="zh-CN"/>
              </w:rPr>
              <w:t>本项目原料为密度板、多层板、颗粒板，密度在0.45~0.55</w:t>
            </w:r>
            <w:r>
              <w:rPr>
                <w:b w:val="0"/>
                <w:bCs w:val="0"/>
                <w:color w:val="auto"/>
                <w:u w:val="none"/>
              </w:rPr>
              <w:t>g/cm</w:t>
            </w:r>
            <w:r>
              <w:rPr>
                <w:b w:val="0"/>
                <w:bCs w:val="0"/>
                <w:color w:val="auto"/>
                <w:u w:val="none"/>
                <w:vertAlign w:val="superscript"/>
              </w:rPr>
              <w:t>3</w:t>
            </w:r>
            <w:r>
              <w:rPr>
                <w:rFonts w:hint="eastAsia"/>
                <w:b w:val="0"/>
                <w:bCs w:val="0"/>
                <w:color w:val="auto"/>
                <w:u w:val="none"/>
                <w:vertAlign w:val="baseline"/>
                <w:lang w:val="en-US" w:eastAsia="zh-CN"/>
              </w:rPr>
              <w:t>之间，本项目原料</w:t>
            </w:r>
            <w:r>
              <w:rPr>
                <w:b w:val="0"/>
                <w:bCs w:val="0"/>
                <w:color w:val="auto"/>
                <w:u w:val="none"/>
              </w:rPr>
              <w:t>密度按0.5g/cm</w:t>
            </w:r>
            <w:r>
              <w:rPr>
                <w:b w:val="0"/>
                <w:bCs w:val="0"/>
                <w:color w:val="auto"/>
                <w:u w:val="none"/>
                <w:vertAlign w:val="superscript"/>
              </w:rPr>
              <w:t>3</w:t>
            </w:r>
            <w:r>
              <w:rPr>
                <w:rFonts w:hint="eastAsia"/>
                <w:b w:val="0"/>
                <w:bCs w:val="0"/>
                <w:color w:val="auto"/>
                <w:u w:val="none"/>
                <w:lang w:val="en-US" w:eastAsia="zh-CN"/>
              </w:rPr>
              <w:t>计</w:t>
            </w:r>
            <w:r>
              <w:rPr>
                <w:b w:val="0"/>
                <w:bCs w:val="0"/>
                <w:color w:val="auto"/>
                <w:u w:val="none"/>
              </w:rPr>
              <w:t>，使用量为</w:t>
            </w:r>
            <w:r>
              <w:rPr>
                <w:rFonts w:hint="eastAsia"/>
                <w:b w:val="0"/>
                <w:bCs w:val="0"/>
                <w:color w:val="auto"/>
                <w:u w:val="none"/>
                <w:lang w:val="en-US" w:eastAsia="zh-CN"/>
              </w:rPr>
              <w:t>9</w:t>
            </w:r>
            <w:r>
              <w:rPr>
                <w:rFonts w:hint="eastAsia"/>
                <w:b w:val="0"/>
                <w:bCs w:val="0"/>
                <w:color w:val="auto"/>
                <w:u w:val="none"/>
              </w:rPr>
              <w:t>0</w:t>
            </w:r>
            <w:r>
              <w:rPr>
                <w:b w:val="0"/>
                <w:bCs w:val="0"/>
                <w:color w:val="auto"/>
                <w:u w:val="none"/>
              </w:rPr>
              <w:t>t/a。</w:t>
            </w:r>
            <w:r>
              <w:rPr>
                <w:rFonts w:hint="eastAsia"/>
                <w:b w:val="0"/>
                <w:bCs w:val="0"/>
                <w:color w:val="auto"/>
                <w:u w:val="none"/>
                <w:lang w:val="en-US" w:eastAsia="zh-CN"/>
              </w:rPr>
              <w:t>根据建设单位提供的同行业生产经验估算</w:t>
            </w:r>
            <w:r>
              <w:rPr>
                <w:b w:val="0"/>
                <w:bCs w:val="0"/>
                <w:color w:val="auto"/>
                <w:u w:val="none"/>
              </w:rPr>
              <w:t>，产生量约为木材原料的0.</w:t>
            </w:r>
            <w:r>
              <w:rPr>
                <w:rFonts w:hint="eastAsia"/>
                <w:b w:val="0"/>
                <w:bCs w:val="0"/>
                <w:color w:val="auto"/>
                <w:u w:val="none"/>
                <w:lang w:val="en-US" w:eastAsia="zh-CN"/>
              </w:rPr>
              <w:t>3</w:t>
            </w:r>
            <w:r>
              <w:rPr>
                <w:b w:val="0"/>
                <w:bCs w:val="0"/>
                <w:color w:val="auto"/>
                <w:u w:val="none"/>
              </w:rPr>
              <w:t>%，即</w:t>
            </w:r>
            <w:r>
              <w:rPr>
                <w:rFonts w:hint="eastAsia"/>
                <w:b w:val="0"/>
                <w:bCs w:val="0"/>
                <w:color w:val="auto"/>
                <w:u w:val="none"/>
              </w:rPr>
              <w:t>0.</w:t>
            </w:r>
            <w:r>
              <w:rPr>
                <w:rFonts w:hint="eastAsia"/>
                <w:b w:val="0"/>
                <w:bCs w:val="0"/>
                <w:color w:val="auto"/>
                <w:u w:val="none"/>
                <w:lang w:val="en-US" w:eastAsia="zh-CN"/>
              </w:rPr>
              <w:t>27</w:t>
            </w:r>
            <w:r>
              <w:rPr>
                <w:b w:val="0"/>
                <w:bCs w:val="0"/>
                <w:color w:val="auto"/>
                <w:u w:val="none"/>
              </w:rPr>
              <w:t>t/a。可作为一般工业固体废物出售给废品回收单位。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rFonts w:hint="eastAsia"/>
                <w:b w:val="0"/>
                <w:bCs w:val="0"/>
                <w:color w:val="auto"/>
                <w:u w:val="none"/>
                <w:lang w:val="en-US" w:eastAsia="zh-CN"/>
              </w:rPr>
              <w:t>封边过程中会产生封边条废边角料，封边条年使用量为2万米，根据建设单位提供的同行业生产经验估算</w:t>
            </w:r>
            <w:r>
              <w:rPr>
                <w:b w:val="0"/>
                <w:bCs w:val="0"/>
                <w:color w:val="auto"/>
                <w:u w:val="none"/>
              </w:rPr>
              <w:t>，产生量约为原料的</w:t>
            </w:r>
            <w:r>
              <w:rPr>
                <w:rFonts w:hint="eastAsia"/>
                <w:b w:val="0"/>
                <w:bCs w:val="0"/>
                <w:color w:val="auto"/>
                <w:u w:val="none"/>
                <w:lang w:val="en-US" w:eastAsia="zh-CN"/>
              </w:rPr>
              <w:t>1</w:t>
            </w:r>
            <w:r>
              <w:rPr>
                <w:b w:val="0"/>
                <w:bCs w:val="0"/>
                <w:color w:val="auto"/>
                <w:u w:val="none"/>
              </w:rPr>
              <w:t>%，即</w:t>
            </w:r>
            <w:r>
              <w:rPr>
                <w:rFonts w:hint="eastAsia"/>
                <w:b w:val="0"/>
                <w:bCs w:val="0"/>
                <w:color w:val="auto"/>
                <w:u w:val="none"/>
                <w:lang w:val="en-US" w:eastAsia="zh-CN"/>
              </w:rPr>
              <w:t>200m</w:t>
            </w:r>
            <w:r>
              <w:rPr>
                <w:b w:val="0"/>
                <w:bCs w:val="0"/>
                <w:color w:val="auto"/>
                <w:u w:val="none"/>
              </w:rPr>
              <w:t>/a</w:t>
            </w:r>
            <w:r>
              <w:rPr>
                <w:rFonts w:hint="eastAsia"/>
                <w:b w:val="0"/>
                <w:bCs w:val="0"/>
                <w:color w:val="auto"/>
                <w:u w:val="none"/>
                <w:lang w:eastAsia="zh-CN"/>
              </w:rPr>
              <w:t>，</w:t>
            </w:r>
            <w:r>
              <w:rPr>
                <w:rFonts w:hint="eastAsia"/>
                <w:b w:val="0"/>
                <w:bCs w:val="0"/>
                <w:color w:val="auto"/>
                <w:u w:val="none"/>
                <w:lang w:val="en-US" w:eastAsia="zh-CN"/>
              </w:rPr>
              <w:t>封边条密度1.5g/cm</w:t>
            </w:r>
            <w:r>
              <w:rPr>
                <w:rFonts w:hint="eastAsia"/>
                <w:b w:val="0"/>
                <w:bCs w:val="0"/>
                <w:color w:val="auto"/>
                <w:u w:val="none"/>
                <w:vertAlign w:val="superscript"/>
                <w:lang w:val="en-US" w:eastAsia="zh-CN"/>
              </w:rPr>
              <w:t>3</w:t>
            </w:r>
            <w:r>
              <w:rPr>
                <w:rFonts w:hint="eastAsia"/>
                <w:b w:val="0"/>
                <w:bCs w:val="0"/>
                <w:color w:val="auto"/>
                <w:u w:val="none"/>
                <w:lang w:val="en-US" w:eastAsia="zh-CN"/>
              </w:rPr>
              <w:t>，则废封边条产生量约0.005t/a</w:t>
            </w:r>
            <w:r>
              <w:rPr>
                <w:b w:val="0"/>
                <w:bCs w:val="0"/>
                <w:color w:val="auto"/>
                <w:u w:val="none"/>
              </w:rPr>
              <w:t>。可作为一般工业固体废物出售给废品回收单位。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eastAsia="宋体"/>
                <w:b w:val="0"/>
                <w:bCs w:val="0"/>
                <w:color w:val="auto"/>
                <w:u w:val="none"/>
                <w:lang w:val="en-US" w:eastAsia="zh-CN"/>
              </w:rPr>
            </w:pPr>
            <w:r>
              <w:rPr>
                <w:rFonts w:hint="eastAsia"/>
                <w:b w:val="0"/>
                <w:bCs w:val="0"/>
                <w:color w:val="auto"/>
                <w:u w:val="none"/>
                <w:lang w:val="en-US" w:eastAsia="zh-CN"/>
              </w:rPr>
              <w:t>软包沙发加工过程中会产生废海绵边角料，海绵年使用量1万平方米，根据建设单位提供的同行业生产经验估算</w:t>
            </w:r>
            <w:r>
              <w:rPr>
                <w:b w:val="0"/>
                <w:bCs w:val="0"/>
                <w:color w:val="auto"/>
                <w:u w:val="none"/>
              </w:rPr>
              <w:t>，产生量约为原料的</w:t>
            </w:r>
            <w:r>
              <w:rPr>
                <w:rFonts w:hint="eastAsia"/>
                <w:b w:val="0"/>
                <w:bCs w:val="0"/>
                <w:color w:val="auto"/>
                <w:u w:val="none"/>
                <w:lang w:val="en-US" w:eastAsia="zh-CN"/>
              </w:rPr>
              <w:t>1</w:t>
            </w:r>
            <w:r>
              <w:rPr>
                <w:b w:val="0"/>
                <w:bCs w:val="0"/>
                <w:color w:val="auto"/>
                <w:u w:val="none"/>
              </w:rPr>
              <w:t>%，即</w:t>
            </w:r>
            <w:r>
              <w:rPr>
                <w:rFonts w:hint="eastAsia"/>
                <w:b w:val="0"/>
                <w:bCs w:val="0"/>
                <w:color w:val="auto"/>
                <w:u w:val="none"/>
                <w:lang w:val="en-US" w:eastAsia="zh-CN"/>
              </w:rPr>
              <w:t>100m</w:t>
            </w:r>
            <w:r>
              <w:rPr>
                <w:rFonts w:hint="eastAsia"/>
                <w:b w:val="0"/>
                <w:bCs w:val="0"/>
                <w:color w:val="auto"/>
                <w:u w:val="none"/>
                <w:vertAlign w:val="superscript"/>
                <w:lang w:val="en-US" w:eastAsia="zh-CN"/>
              </w:rPr>
              <w:t>2</w:t>
            </w:r>
            <w:r>
              <w:rPr>
                <w:b w:val="0"/>
                <w:bCs w:val="0"/>
                <w:color w:val="auto"/>
                <w:u w:val="none"/>
              </w:rPr>
              <w:t>/a</w:t>
            </w:r>
            <w:r>
              <w:rPr>
                <w:rFonts w:hint="eastAsia"/>
                <w:b w:val="0"/>
                <w:bCs w:val="0"/>
                <w:color w:val="auto"/>
                <w:u w:val="none"/>
                <w:lang w:eastAsia="zh-CN"/>
              </w:rPr>
              <w:t>，</w:t>
            </w:r>
            <w:r>
              <w:rPr>
                <w:rFonts w:hint="eastAsia"/>
                <w:b w:val="0"/>
                <w:bCs w:val="0"/>
                <w:color w:val="auto"/>
                <w:u w:val="none"/>
                <w:lang w:val="en-US" w:eastAsia="zh-CN"/>
              </w:rPr>
              <w:t>海绵厚度一般150~200mm，沙发用海绵密度45-50kg/m</w:t>
            </w:r>
            <w:r>
              <w:rPr>
                <w:rFonts w:hint="eastAsia"/>
                <w:b w:val="0"/>
                <w:bCs w:val="0"/>
                <w:color w:val="auto"/>
                <w:u w:val="none"/>
                <w:vertAlign w:val="superscript"/>
                <w:lang w:val="en-US" w:eastAsia="zh-CN"/>
              </w:rPr>
              <w:t>3</w:t>
            </w:r>
            <w:r>
              <w:rPr>
                <w:rFonts w:hint="eastAsia"/>
                <w:b w:val="0"/>
                <w:bCs w:val="0"/>
                <w:color w:val="auto"/>
                <w:u w:val="none"/>
                <w:lang w:val="en-US" w:eastAsia="zh-CN"/>
              </w:rPr>
              <w:t>，则海绵废边角料产生量约1t/a。</w:t>
            </w:r>
            <w:r>
              <w:rPr>
                <w:b w:val="0"/>
                <w:bCs w:val="0"/>
                <w:color w:val="auto"/>
                <w:u w:val="none"/>
              </w:rPr>
              <w:t>作为一般工业固体废物出售给废品回收单位。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②除尘设施收集的粉尘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除尘设施收集的包括木质粉尘。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项目生产期间产生的木质粉尘来自板材加工工序及</w:t>
            </w:r>
            <w:r>
              <w:rPr>
                <w:rFonts w:hint="eastAsia"/>
                <w:b w:val="0"/>
                <w:bCs w:val="0"/>
                <w:color w:val="auto"/>
                <w:u w:val="none"/>
                <w:lang w:val="en-US" w:eastAsia="zh-CN"/>
              </w:rPr>
              <w:t>打孔</w:t>
            </w:r>
            <w:r>
              <w:rPr>
                <w:b w:val="0"/>
                <w:bCs w:val="0"/>
                <w:color w:val="auto"/>
                <w:u w:val="none"/>
              </w:rPr>
              <w:t>，粉尘采用</w:t>
            </w:r>
            <w:r>
              <w:rPr>
                <w:rFonts w:hint="eastAsia"/>
                <w:b w:val="0"/>
                <w:bCs w:val="0"/>
                <w:color w:val="auto"/>
                <w:u w:val="none"/>
                <w:lang w:val="en-US" w:eastAsia="zh-CN"/>
              </w:rPr>
              <w:t>中央</w:t>
            </w:r>
            <w:r>
              <w:rPr>
                <w:b w:val="0"/>
                <w:bCs w:val="0"/>
                <w:color w:val="auto"/>
                <w:u w:val="none"/>
              </w:rPr>
              <w:t>除尘器处理，由工程分析可知，则粉尘收集量约为</w:t>
            </w:r>
            <w:r>
              <w:rPr>
                <w:rFonts w:hint="eastAsia"/>
                <w:b w:val="0"/>
                <w:bCs w:val="0"/>
                <w:color w:val="auto"/>
                <w:u w:val="none"/>
              </w:rPr>
              <w:t>0.</w:t>
            </w:r>
            <w:r>
              <w:rPr>
                <w:rFonts w:hint="eastAsia"/>
                <w:b w:val="0"/>
                <w:bCs w:val="0"/>
                <w:color w:val="auto"/>
                <w:u w:val="none"/>
                <w:lang w:val="en-US" w:eastAsia="zh-CN"/>
              </w:rPr>
              <w:t>297</w:t>
            </w:r>
            <w:r>
              <w:rPr>
                <w:b w:val="0"/>
                <w:bCs w:val="0"/>
                <w:color w:val="auto"/>
                <w:u w:val="none"/>
              </w:rPr>
              <w:t>t/a。</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除尘设施收集的粉尘可作为一般工业固体废物出售给废品回收单位。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eastAsia="宋体"/>
                <w:b w:val="0"/>
                <w:bCs w:val="0"/>
                <w:color w:val="auto"/>
                <w:u w:val="none"/>
                <w:lang w:val="en-US" w:eastAsia="zh-CN"/>
              </w:rPr>
            </w:pPr>
            <w:r>
              <w:rPr>
                <w:b w:val="0"/>
                <w:bCs w:val="0"/>
                <w:color w:val="auto"/>
                <w:u w:val="none"/>
              </w:rPr>
              <w:t>③废</w:t>
            </w:r>
            <w:r>
              <w:rPr>
                <w:rFonts w:hint="eastAsia"/>
                <w:b w:val="0"/>
                <w:bCs w:val="0"/>
                <w:color w:val="auto"/>
                <w:u w:val="none"/>
                <w:lang w:val="en-US" w:eastAsia="zh-CN"/>
              </w:rPr>
              <w:t>包装材料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项目</w:t>
            </w:r>
            <w:r>
              <w:rPr>
                <w:rFonts w:hint="eastAsia"/>
                <w:b w:val="0"/>
                <w:bCs w:val="0"/>
                <w:color w:val="auto"/>
                <w:u w:val="none"/>
                <w:lang w:val="en-US" w:eastAsia="zh-CN"/>
              </w:rPr>
              <w:t>封边胶采用固体EVA胶，包装规格25kg/袋，则废包装袋</w:t>
            </w:r>
            <w:r>
              <w:rPr>
                <w:b w:val="0"/>
                <w:bCs w:val="0"/>
                <w:color w:val="auto"/>
                <w:u w:val="none"/>
              </w:rPr>
              <w:t>产生量约为0.02t。可作为一般工业固体废物出售给废品回收单位。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eastAsia="宋体"/>
                <w:b w:val="0"/>
                <w:bCs w:val="0"/>
                <w:color w:val="auto"/>
                <w:u w:val="none"/>
                <w:lang w:val="en-US" w:eastAsia="zh-CN"/>
              </w:rPr>
            </w:pPr>
            <w:r>
              <w:rPr>
                <w:rFonts w:hint="eastAsia"/>
                <w:b w:val="0"/>
                <w:bCs w:val="0"/>
                <w:color w:val="auto"/>
                <w:u w:val="none"/>
                <w:lang w:val="en-US" w:eastAsia="zh-CN"/>
              </w:rPr>
              <w:t>项目家具及板材包装过程中会产生废包装纸箱、塑料包装膜、泡沫等，根据建设单位提供的资料，该部分固废产生量约为0.13t/a。</w:t>
            </w:r>
            <w:r>
              <w:rPr>
                <w:b w:val="0"/>
                <w:bCs w:val="0"/>
                <w:color w:val="auto"/>
                <w:u w:val="none"/>
              </w:rPr>
              <w:t>可作为一般工业固体废物出售给废品回收单位。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eastAsia="宋体"/>
                <w:b/>
                <w:bCs/>
                <w:color w:val="auto"/>
                <w:u w:val="single"/>
                <w:lang w:eastAsia="zh-CN"/>
              </w:rPr>
            </w:pPr>
            <w:r>
              <w:rPr>
                <w:rFonts w:hint="eastAsia"/>
                <w:b/>
                <w:bCs/>
                <w:color w:val="auto"/>
                <w:u w:val="single"/>
                <w:lang w:val="en-US" w:eastAsia="zh-CN"/>
              </w:rPr>
              <w:t>④</w:t>
            </w:r>
            <w:r>
              <w:rPr>
                <w:b/>
                <w:bCs/>
                <w:color w:val="auto"/>
                <w:u w:val="single"/>
              </w:rPr>
              <w:t>废</w:t>
            </w:r>
            <w:r>
              <w:rPr>
                <w:rFonts w:hint="eastAsia"/>
                <w:b/>
                <w:bCs/>
                <w:color w:val="auto"/>
                <w:u w:val="single"/>
                <w:lang w:val="en-US" w:eastAsia="zh-CN"/>
              </w:rPr>
              <w:t>水性海绵胶</w:t>
            </w:r>
            <w:r>
              <w:rPr>
                <w:b/>
                <w:bCs/>
                <w:color w:val="auto"/>
                <w:u w:val="single"/>
              </w:rPr>
              <w:t>胶桶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b/>
                <w:bCs/>
                <w:color w:val="auto"/>
                <w:u w:val="single"/>
              </w:rPr>
            </w:pPr>
            <w:r>
              <w:rPr>
                <w:b/>
                <w:bCs/>
                <w:color w:val="auto"/>
                <w:u w:val="single"/>
              </w:rPr>
              <w:t>项目使用的</w:t>
            </w:r>
            <w:r>
              <w:rPr>
                <w:rFonts w:hint="eastAsia"/>
                <w:b/>
                <w:bCs/>
                <w:color w:val="auto"/>
                <w:u w:val="single"/>
                <w:lang w:val="en-US" w:eastAsia="zh-CN"/>
              </w:rPr>
              <w:t>水性海绵</w:t>
            </w:r>
            <w:r>
              <w:rPr>
                <w:b/>
                <w:bCs/>
                <w:color w:val="auto"/>
                <w:u w:val="single"/>
              </w:rPr>
              <w:t>胶为桶装，常用材质为马口铁</w:t>
            </w:r>
            <w:r>
              <w:rPr>
                <w:rFonts w:hint="eastAsia"/>
                <w:b/>
                <w:bCs/>
                <w:color w:val="auto"/>
                <w:u w:val="single"/>
                <w:lang w:eastAsia="zh-CN"/>
              </w:rPr>
              <w:t>、</w:t>
            </w:r>
            <w:r>
              <w:rPr>
                <w:rFonts w:hint="eastAsia"/>
                <w:b/>
                <w:bCs/>
                <w:color w:val="auto"/>
                <w:u w:val="single"/>
                <w:lang w:val="en-US" w:eastAsia="zh-CN"/>
              </w:rPr>
              <w:t>塑料</w:t>
            </w:r>
            <w:r>
              <w:rPr>
                <w:b/>
                <w:bCs/>
                <w:color w:val="auto"/>
                <w:u w:val="single"/>
              </w:rPr>
              <w:t>。根据建设单位提供资料，废胶桶产生量为0.</w:t>
            </w:r>
            <w:r>
              <w:rPr>
                <w:rFonts w:hint="eastAsia"/>
                <w:b/>
                <w:bCs/>
                <w:color w:val="auto"/>
                <w:u w:val="single"/>
                <w:lang w:val="en-US" w:eastAsia="zh-CN"/>
              </w:rPr>
              <w:t>0</w:t>
            </w:r>
            <w:r>
              <w:rPr>
                <w:b/>
                <w:bCs/>
                <w:color w:val="auto"/>
                <w:u w:val="single"/>
              </w:rPr>
              <w:t>12t/a。按《国家危险废物名录》（202</w:t>
            </w:r>
            <w:r>
              <w:rPr>
                <w:rFonts w:hint="eastAsia"/>
                <w:b/>
                <w:bCs/>
                <w:color w:val="auto"/>
                <w:u w:val="single"/>
                <w:lang w:val="en-US" w:eastAsia="zh-CN"/>
              </w:rPr>
              <w:t>5</w:t>
            </w:r>
            <w:r>
              <w:rPr>
                <w:b/>
                <w:bCs/>
                <w:color w:val="auto"/>
                <w:u w:val="single"/>
              </w:rPr>
              <w:t>年版），</w:t>
            </w:r>
            <w:r>
              <w:rPr>
                <w:rFonts w:hint="eastAsia"/>
                <w:b/>
                <w:bCs/>
                <w:color w:val="auto"/>
                <w:u w:val="single"/>
                <w:lang w:val="en-US" w:eastAsia="zh-CN"/>
              </w:rPr>
              <w:t>废弃的粘合剂和密封剂（不包括水基型和热熔型）粘合剂和密封剂属于HW13 900-014-13，本项目采用的海绵胶为水性胶，故其废胶桶不属于危废</w:t>
            </w:r>
            <w:r>
              <w:rPr>
                <w:b/>
                <w:bCs/>
                <w:color w:val="auto"/>
                <w:u w:val="singl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（2）危险废物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①废机油、废液压油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生产设备在使用过程中需要用到机油、液压油，从而产生一定量的废机油、废</w:t>
            </w:r>
            <w:r>
              <w:rPr>
                <w:rFonts w:hint="eastAsia"/>
                <w:b w:val="0"/>
                <w:bCs w:val="0"/>
                <w:color w:val="auto"/>
                <w:u w:val="none"/>
                <w:lang w:eastAsia="zh-CN"/>
              </w:rPr>
              <w:t>液压油</w:t>
            </w:r>
            <w:r>
              <w:rPr>
                <w:b w:val="0"/>
                <w:bCs w:val="0"/>
                <w:color w:val="auto"/>
                <w:u w:val="none"/>
              </w:rPr>
              <w:t>，这部分废物属于危险固废的范围，按《国家危险废物名录》（202</w:t>
            </w:r>
            <w:r>
              <w:rPr>
                <w:rFonts w:hint="eastAsia"/>
                <w:b w:val="0"/>
                <w:bCs w:val="0"/>
                <w:color w:val="auto"/>
                <w:u w:val="none"/>
                <w:lang w:val="en-US" w:eastAsia="zh-CN"/>
              </w:rPr>
              <w:t>5</w:t>
            </w:r>
            <w:r>
              <w:rPr>
                <w:b w:val="0"/>
                <w:bCs w:val="0"/>
                <w:color w:val="auto"/>
                <w:u w:val="none"/>
              </w:rPr>
              <w:t>年版），废机油、废液压油属于HW08，废机油危废代码为900-214-08，废液压油危废代码为900-218-08。根据建设方提供的资料数据，废机油、废液压油的产生量分别为0.05t/a、0.</w:t>
            </w:r>
            <w:r>
              <w:rPr>
                <w:rFonts w:hint="eastAsia"/>
                <w:b w:val="0"/>
                <w:bCs w:val="0"/>
                <w:color w:val="auto"/>
                <w:u w:val="none"/>
                <w:lang w:val="en-US" w:eastAsia="zh-CN"/>
              </w:rPr>
              <w:t>05</w:t>
            </w:r>
            <w:r>
              <w:rPr>
                <w:b w:val="0"/>
                <w:bCs w:val="0"/>
                <w:color w:val="auto"/>
                <w:u w:val="none"/>
              </w:rPr>
              <w:t>/a。</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②废活性炭</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本项目废气处理过程中采用</w:t>
            </w:r>
            <w:r>
              <w:rPr>
                <w:rFonts w:hint="eastAsia"/>
                <w:b w:val="0"/>
                <w:bCs w:val="0"/>
                <w:color w:val="auto"/>
                <w:u w:val="none"/>
                <w:lang w:eastAsia="zh-CN"/>
              </w:rPr>
              <w:t>两级活性炭吸附</w:t>
            </w:r>
            <w:r>
              <w:rPr>
                <w:b w:val="0"/>
                <w:bCs w:val="0"/>
                <w:color w:val="auto"/>
                <w:u w:val="none"/>
              </w:rPr>
              <w:t>，会产生废活性炭。活性炭</w:t>
            </w:r>
            <w:r>
              <w:rPr>
                <w:rFonts w:hint="eastAsia"/>
                <w:b w:val="0"/>
                <w:bCs w:val="0"/>
                <w:color w:val="auto"/>
                <w:u w:val="none"/>
                <w:lang w:val="en-US" w:eastAsia="zh-CN"/>
              </w:rPr>
              <w:t>不满足吸附效果后进行</w:t>
            </w:r>
            <w:r>
              <w:rPr>
                <w:b w:val="0"/>
                <w:bCs w:val="0"/>
                <w:color w:val="auto"/>
                <w:u w:val="none"/>
              </w:rPr>
              <w:t>一次</w:t>
            </w:r>
            <w:r>
              <w:rPr>
                <w:rFonts w:hint="eastAsia"/>
                <w:b w:val="0"/>
                <w:bCs w:val="0"/>
                <w:color w:val="auto"/>
                <w:u w:val="none"/>
                <w:lang w:val="en-US" w:eastAsia="zh-CN"/>
              </w:rPr>
              <w:t>性全部</w:t>
            </w:r>
            <w:r>
              <w:rPr>
                <w:b w:val="0"/>
                <w:bCs w:val="0"/>
                <w:color w:val="auto"/>
                <w:u w:val="none"/>
              </w:rPr>
              <w:t>更换，故废活性炭的产生量为</w:t>
            </w:r>
            <w:r>
              <w:rPr>
                <w:rFonts w:hint="eastAsia"/>
                <w:b w:val="0"/>
                <w:bCs w:val="0"/>
                <w:color w:val="auto"/>
                <w:u w:val="none"/>
                <w:lang w:val="en-US" w:eastAsia="zh-CN"/>
              </w:rPr>
              <w:t>0.6</w:t>
            </w:r>
            <w:r>
              <w:rPr>
                <w:b w:val="0"/>
                <w:bCs w:val="0"/>
                <w:color w:val="auto"/>
                <w:u w:val="none"/>
              </w:rPr>
              <w:t>t/a。</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废活性炭属于</w:t>
            </w:r>
            <w:r>
              <w:rPr>
                <w:rFonts w:hint="eastAsia"/>
                <w:b w:val="0"/>
                <w:bCs w:val="0"/>
                <w:color w:val="auto"/>
                <w:u w:val="none"/>
                <w:lang w:eastAsia="zh-CN"/>
              </w:rPr>
              <w:t>《国家危险废物名录（2025年本）》</w:t>
            </w:r>
            <w:r>
              <w:rPr>
                <w:b w:val="0"/>
                <w:bCs w:val="0"/>
                <w:color w:val="auto"/>
                <w:u w:val="none"/>
              </w:rPr>
              <w:t>中的HW49其他废物，废物代码为900-039-49，建议暂存危废暂存间，</w:t>
            </w:r>
            <w:r>
              <w:rPr>
                <w:rFonts w:hint="eastAsia"/>
                <w:b w:val="0"/>
                <w:bCs w:val="0"/>
                <w:color w:val="auto"/>
                <w:u w:val="none"/>
                <w:lang w:eastAsia="zh-CN"/>
              </w:rPr>
              <w:t>交由</w:t>
            </w:r>
            <w:r>
              <w:rPr>
                <w:b w:val="0"/>
                <w:bCs w:val="0"/>
                <w:color w:val="auto"/>
                <w:u w:val="none"/>
              </w:rPr>
              <w:t>资质单位处置。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color w:val="auto"/>
              </w:rPr>
              <w:t>（3）员工生活垃圾</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color w:val="auto"/>
              </w:rPr>
              <w:t>项目职工</w:t>
            </w:r>
            <w:r>
              <w:rPr>
                <w:rFonts w:hint="eastAsia"/>
                <w:color w:val="auto"/>
              </w:rPr>
              <w:t>3</w:t>
            </w:r>
            <w:r>
              <w:rPr>
                <w:color w:val="auto"/>
              </w:rPr>
              <w:t>0人，员工生活垃圾产生量按0.5kg/d计，则生活垃圾产生量为</w:t>
            </w:r>
            <w:r>
              <w:rPr>
                <w:rFonts w:hint="eastAsia"/>
                <w:color w:val="auto"/>
              </w:rPr>
              <w:t>4.5</w:t>
            </w:r>
            <w:r>
              <w:rPr>
                <w:color w:val="auto"/>
              </w:rPr>
              <w:t>t/a，生活垃圾设垃圾收集桶</w:t>
            </w:r>
            <w:r>
              <w:rPr>
                <w:rFonts w:hint="eastAsia"/>
                <w:color w:val="auto"/>
                <w:lang w:eastAsia="zh-CN"/>
              </w:rPr>
              <w:t>，</w:t>
            </w:r>
            <w:r>
              <w:rPr>
                <w:color w:val="auto"/>
              </w:rPr>
              <w:t>收集后，由当地环卫部门统一清运处理。</w:t>
            </w:r>
          </w:p>
          <w:p>
            <w:pPr>
              <w:keepNext w:val="0"/>
              <w:pageBreakBefore w:val="0"/>
              <w:widowControl/>
              <w:kinsoku/>
              <w:wordWrap/>
              <w:overflowPunct/>
              <w:topLinePunct w:val="0"/>
              <w:autoSpaceDE w:val="0"/>
              <w:autoSpaceDN w:val="0"/>
              <w:bidi w:val="0"/>
              <w:adjustRightInd w:val="0"/>
              <w:snapToGrid w:val="0"/>
              <w:spacing w:line="360" w:lineRule="auto"/>
              <w:ind w:firstLine="466" w:firstLineChars="200"/>
              <w:jc w:val="center"/>
              <w:textAlignment w:val="baseline"/>
              <w:rPr>
                <w:b/>
                <w:bCs/>
                <w:color w:val="auto"/>
                <w:spacing w:val="-4"/>
              </w:rPr>
            </w:pPr>
            <w:r>
              <w:rPr>
                <w:b/>
                <w:bCs/>
                <w:color w:val="auto"/>
                <w:spacing w:val="-4"/>
              </w:rPr>
              <w:t>表4-1</w:t>
            </w:r>
            <w:r>
              <w:rPr>
                <w:rFonts w:hint="eastAsia"/>
                <w:b/>
                <w:bCs/>
                <w:color w:val="auto"/>
                <w:spacing w:val="-4"/>
                <w:lang w:val="en-US" w:eastAsia="zh-CN"/>
              </w:rPr>
              <w:t>2</w:t>
            </w:r>
            <w:r>
              <w:rPr>
                <w:rFonts w:hint="eastAsia"/>
                <w:b/>
                <w:bCs/>
                <w:color w:val="auto"/>
                <w:spacing w:val="-4"/>
              </w:rPr>
              <w:t xml:space="preserve"> </w:t>
            </w:r>
            <w:r>
              <w:rPr>
                <w:rFonts w:hint="eastAsia"/>
                <w:b/>
                <w:bCs/>
                <w:color w:val="auto"/>
                <w:spacing w:val="-4"/>
                <w:lang w:val="en-US" w:eastAsia="zh-CN"/>
              </w:rPr>
              <w:t xml:space="preserve"> </w:t>
            </w:r>
            <w:r>
              <w:rPr>
                <w:b/>
                <w:bCs/>
                <w:color w:val="auto"/>
                <w:spacing w:val="-4"/>
              </w:rPr>
              <w:t>项目固废产生情况表</w:t>
            </w:r>
          </w:p>
          <w:tbl>
            <w:tblPr>
              <w:tblStyle w:val="32"/>
              <w:tblW w:w="93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2383"/>
              <w:gridCol w:w="1211"/>
              <w:gridCol w:w="1335"/>
              <w:gridCol w:w="1442"/>
              <w:gridCol w:w="2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jc w:val="center"/>
              </w:trPr>
              <w:tc>
                <w:tcPr>
                  <w:tcW w:w="777" w:type="dxa"/>
                  <w:tcBorders>
                    <w:top w:val="single" w:color="000000" w:sz="2" w:space="0"/>
                    <w:left w:val="single" w:color="000000" w:sz="2" w:space="0"/>
                  </w:tcBorders>
                  <w:vAlign w:val="center"/>
                </w:tcPr>
                <w:p>
                  <w:pPr>
                    <w:pStyle w:val="33"/>
                    <w:keepNext w:val="0"/>
                    <w:pageBreakBefore w:val="0"/>
                    <w:kinsoku/>
                    <w:wordWrap/>
                    <w:overflowPunct/>
                    <w:topLinePunct w:val="0"/>
                    <w:bidi w:val="0"/>
                    <w:spacing w:line="229" w:lineRule="auto"/>
                    <w:jc w:val="center"/>
                    <w:rPr>
                      <w:rFonts w:ascii="Times New Roman" w:hAnsi="Times New Roman" w:cs="Times New Roman"/>
                      <w:b/>
                      <w:bCs/>
                      <w:color w:val="auto"/>
                      <w:sz w:val="21"/>
                      <w:szCs w:val="21"/>
                    </w:rPr>
                  </w:pPr>
                  <w:r>
                    <w:rPr>
                      <w:rFonts w:ascii="Times New Roman" w:hAnsi="Times New Roman" w:cs="Times New Roman"/>
                      <w:b/>
                      <w:bCs/>
                      <w:color w:val="auto"/>
                      <w:spacing w:val="5"/>
                      <w:sz w:val="21"/>
                      <w:szCs w:val="21"/>
                    </w:rPr>
                    <w:t>序号</w:t>
                  </w:r>
                </w:p>
              </w:tc>
              <w:tc>
                <w:tcPr>
                  <w:tcW w:w="2383" w:type="dxa"/>
                  <w:tcBorders>
                    <w:top w:val="single" w:color="000000" w:sz="2" w:space="0"/>
                  </w:tcBorders>
                  <w:vAlign w:val="center"/>
                </w:tcPr>
                <w:p>
                  <w:pPr>
                    <w:pStyle w:val="33"/>
                    <w:keepNext w:val="0"/>
                    <w:pageBreakBefore w:val="0"/>
                    <w:kinsoku/>
                    <w:wordWrap/>
                    <w:overflowPunct/>
                    <w:topLinePunct w:val="0"/>
                    <w:bidi w:val="0"/>
                    <w:spacing w:line="228" w:lineRule="auto"/>
                    <w:jc w:val="center"/>
                    <w:rPr>
                      <w:rFonts w:ascii="Times New Roman" w:hAnsi="Times New Roman" w:cs="Times New Roman"/>
                      <w:b/>
                      <w:bCs/>
                      <w:color w:val="auto"/>
                      <w:sz w:val="21"/>
                      <w:szCs w:val="21"/>
                    </w:rPr>
                  </w:pPr>
                  <w:r>
                    <w:rPr>
                      <w:rFonts w:ascii="Times New Roman" w:hAnsi="Times New Roman" w:cs="Times New Roman"/>
                      <w:b/>
                      <w:bCs/>
                      <w:color w:val="auto"/>
                      <w:spacing w:val="4"/>
                      <w:sz w:val="21"/>
                      <w:szCs w:val="21"/>
                    </w:rPr>
                    <w:t>类别</w:t>
                  </w:r>
                </w:p>
              </w:tc>
              <w:tc>
                <w:tcPr>
                  <w:tcW w:w="1211" w:type="dxa"/>
                  <w:tcBorders>
                    <w:top w:val="single" w:color="000000" w:sz="2" w:space="0"/>
                  </w:tcBorders>
                  <w:vAlign w:val="center"/>
                </w:tcPr>
                <w:p>
                  <w:pPr>
                    <w:pStyle w:val="33"/>
                    <w:keepNext w:val="0"/>
                    <w:pageBreakBefore w:val="0"/>
                    <w:kinsoku/>
                    <w:wordWrap/>
                    <w:overflowPunct/>
                    <w:topLinePunct w:val="0"/>
                    <w:bidi w:val="0"/>
                    <w:spacing w:line="228" w:lineRule="auto"/>
                    <w:jc w:val="center"/>
                    <w:rPr>
                      <w:rFonts w:ascii="Times New Roman" w:hAnsi="Times New Roman" w:cs="Times New Roman"/>
                      <w:b/>
                      <w:bCs/>
                      <w:color w:val="auto"/>
                      <w:sz w:val="21"/>
                      <w:szCs w:val="21"/>
                    </w:rPr>
                  </w:pPr>
                  <w:r>
                    <w:rPr>
                      <w:rFonts w:ascii="Times New Roman" w:hAnsi="Times New Roman" w:cs="Times New Roman"/>
                      <w:b/>
                      <w:bCs/>
                      <w:color w:val="auto"/>
                      <w:spacing w:val="4"/>
                      <w:sz w:val="21"/>
                      <w:szCs w:val="21"/>
                    </w:rPr>
                    <w:t>数量（</w:t>
                  </w:r>
                  <w:r>
                    <w:rPr>
                      <w:rFonts w:ascii="Times New Roman" w:hAnsi="Times New Roman" w:eastAsia="Times New Roman" w:cs="Times New Roman"/>
                      <w:b/>
                      <w:bCs/>
                      <w:color w:val="auto"/>
                      <w:spacing w:val="4"/>
                      <w:sz w:val="21"/>
                      <w:szCs w:val="21"/>
                    </w:rPr>
                    <w:t>t/a</w:t>
                  </w:r>
                  <w:r>
                    <w:rPr>
                      <w:rFonts w:ascii="Times New Roman" w:hAnsi="Times New Roman" w:cs="Times New Roman"/>
                      <w:b/>
                      <w:bCs/>
                      <w:color w:val="auto"/>
                      <w:spacing w:val="4"/>
                      <w:sz w:val="21"/>
                      <w:szCs w:val="21"/>
                    </w:rPr>
                    <w:t>）</w:t>
                  </w:r>
                </w:p>
              </w:tc>
              <w:tc>
                <w:tcPr>
                  <w:tcW w:w="1335" w:type="dxa"/>
                  <w:tcBorders>
                    <w:top w:val="single" w:color="000000" w:sz="2" w:space="0"/>
                  </w:tcBorders>
                  <w:vAlign w:val="center"/>
                </w:tcPr>
                <w:p>
                  <w:pPr>
                    <w:pStyle w:val="33"/>
                    <w:keepNext w:val="0"/>
                    <w:pageBreakBefore w:val="0"/>
                    <w:kinsoku/>
                    <w:wordWrap/>
                    <w:overflowPunct/>
                    <w:topLinePunct w:val="0"/>
                    <w:bidi w:val="0"/>
                    <w:spacing w:line="228" w:lineRule="auto"/>
                    <w:jc w:val="center"/>
                    <w:rPr>
                      <w:rFonts w:ascii="Times New Roman" w:hAnsi="Times New Roman" w:cs="Times New Roman"/>
                      <w:b/>
                      <w:bCs/>
                      <w:color w:val="auto"/>
                      <w:sz w:val="21"/>
                      <w:szCs w:val="21"/>
                    </w:rPr>
                  </w:pPr>
                  <w:r>
                    <w:rPr>
                      <w:rFonts w:ascii="Times New Roman" w:hAnsi="Times New Roman" w:cs="Times New Roman"/>
                      <w:b/>
                      <w:bCs/>
                      <w:color w:val="auto"/>
                      <w:spacing w:val="7"/>
                      <w:sz w:val="21"/>
                      <w:szCs w:val="21"/>
                    </w:rPr>
                    <w:t>废物代码</w:t>
                  </w:r>
                </w:p>
              </w:tc>
              <w:tc>
                <w:tcPr>
                  <w:tcW w:w="1442" w:type="dxa"/>
                  <w:tcBorders>
                    <w:top w:val="single" w:color="000000" w:sz="2" w:space="0"/>
                  </w:tcBorders>
                  <w:vAlign w:val="center"/>
                </w:tcPr>
                <w:p>
                  <w:pPr>
                    <w:pStyle w:val="33"/>
                    <w:keepNext w:val="0"/>
                    <w:pageBreakBefore w:val="0"/>
                    <w:kinsoku/>
                    <w:wordWrap/>
                    <w:overflowPunct/>
                    <w:topLinePunct w:val="0"/>
                    <w:bidi w:val="0"/>
                    <w:spacing w:line="228" w:lineRule="auto"/>
                    <w:jc w:val="center"/>
                    <w:rPr>
                      <w:rFonts w:ascii="Times New Roman" w:hAnsi="Times New Roman" w:cs="Times New Roman"/>
                      <w:b/>
                      <w:bCs/>
                      <w:color w:val="auto"/>
                      <w:sz w:val="21"/>
                      <w:szCs w:val="21"/>
                    </w:rPr>
                  </w:pPr>
                  <w:r>
                    <w:rPr>
                      <w:rFonts w:ascii="Times New Roman" w:hAnsi="Times New Roman" w:cs="Times New Roman"/>
                      <w:b/>
                      <w:bCs/>
                      <w:color w:val="auto"/>
                      <w:spacing w:val="7"/>
                      <w:sz w:val="21"/>
                      <w:szCs w:val="21"/>
                    </w:rPr>
                    <w:t>废物属性</w:t>
                  </w:r>
                </w:p>
              </w:tc>
              <w:tc>
                <w:tcPr>
                  <w:tcW w:w="2168" w:type="dxa"/>
                  <w:tcBorders>
                    <w:top w:val="single" w:color="000000" w:sz="2" w:space="0"/>
                    <w:right w:val="single" w:color="000000" w:sz="2" w:space="0"/>
                  </w:tcBorders>
                  <w:vAlign w:val="center"/>
                </w:tcPr>
                <w:p>
                  <w:pPr>
                    <w:pStyle w:val="33"/>
                    <w:keepNext w:val="0"/>
                    <w:pageBreakBefore w:val="0"/>
                    <w:kinsoku/>
                    <w:wordWrap/>
                    <w:overflowPunct/>
                    <w:topLinePunct w:val="0"/>
                    <w:bidi w:val="0"/>
                    <w:spacing w:line="229" w:lineRule="auto"/>
                    <w:jc w:val="center"/>
                    <w:rPr>
                      <w:rFonts w:ascii="Times New Roman" w:hAnsi="Times New Roman" w:cs="Times New Roman"/>
                      <w:b/>
                      <w:bCs/>
                      <w:color w:val="auto"/>
                      <w:sz w:val="21"/>
                      <w:szCs w:val="21"/>
                    </w:rPr>
                  </w:pPr>
                  <w:r>
                    <w:rPr>
                      <w:rFonts w:ascii="Times New Roman" w:hAnsi="Times New Roman" w:cs="Times New Roman"/>
                      <w:b/>
                      <w:bCs/>
                      <w:color w:val="auto"/>
                      <w:spacing w:val="6"/>
                      <w:sz w:val="21"/>
                      <w:szCs w:val="21"/>
                    </w:rPr>
                    <w:t>处理方式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jc w:val="center"/>
              </w:trPr>
              <w:tc>
                <w:tcPr>
                  <w:tcW w:w="777" w:type="dxa"/>
                  <w:tcBorders>
                    <w:left w:val="single" w:color="000000" w:sz="2" w:space="0"/>
                  </w:tcBorders>
                  <w:vAlign w:val="center"/>
                </w:tcPr>
                <w:p>
                  <w:pPr>
                    <w:keepNext w:val="0"/>
                    <w:pageBreakBefore w:val="0"/>
                    <w:kinsoku/>
                    <w:wordWrap/>
                    <w:overflowPunct/>
                    <w:topLinePunct w:val="0"/>
                    <w:bidi w:val="0"/>
                    <w:spacing w:line="195" w:lineRule="auto"/>
                    <w:jc w:val="center"/>
                    <w:rPr>
                      <w:rFonts w:eastAsia="Times New Roman"/>
                      <w:color w:val="auto"/>
                      <w:sz w:val="21"/>
                      <w:szCs w:val="21"/>
                    </w:rPr>
                  </w:pPr>
                  <w:r>
                    <w:rPr>
                      <w:rFonts w:eastAsia="Times New Roman"/>
                      <w:color w:val="auto"/>
                      <w:sz w:val="21"/>
                      <w:szCs w:val="21"/>
                    </w:rPr>
                    <w:t>1</w:t>
                  </w:r>
                </w:p>
              </w:tc>
              <w:tc>
                <w:tcPr>
                  <w:tcW w:w="2383" w:type="dxa"/>
                  <w:vAlign w:val="center"/>
                </w:tcPr>
                <w:p>
                  <w:pPr>
                    <w:pStyle w:val="33"/>
                    <w:keepNext w:val="0"/>
                    <w:pageBreakBefore w:val="0"/>
                    <w:kinsoku/>
                    <w:wordWrap/>
                    <w:overflowPunct/>
                    <w:topLinePunct w:val="0"/>
                    <w:bidi w:val="0"/>
                    <w:spacing w:line="227"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pacing w:val="7"/>
                      <w:sz w:val="21"/>
                      <w:szCs w:val="21"/>
                      <w:lang w:eastAsia="zh-CN"/>
                    </w:rPr>
                    <w:t>碎木屑、锯末及边角料</w:t>
                  </w:r>
                </w:p>
              </w:tc>
              <w:tc>
                <w:tcPr>
                  <w:tcW w:w="1211" w:type="dxa"/>
                  <w:vAlign w:val="center"/>
                </w:tcPr>
                <w:p>
                  <w:pPr>
                    <w:keepNext w:val="0"/>
                    <w:pageBreakBefore w:val="0"/>
                    <w:kinsoku/>
                    <w:wordWrap/>
                    <w:overflowPunct/>
                    <w:topLinePunct w:val="0"/>
                    <w:bidi w:val="0"/>
                    <w:spacing w:line="195" w:lineRule="auto"/>
                    <w:jc w:val="center"/>
                    <w:rPr>
                      <w:rFonts w:hint="default" w:eastAsia="宋体"/>
                      <w:color w:val="auto"/>
                      <w:sz w:val="21"/>
                      <w:szCs w:val="21"/>
                      <w:lang w:val="en-US" w:eastAsia="zh-CN"/>
                    </w:rPr>
                  </w:pPr>
                  <w:r>
                    <w:rPr>
                      <w:rFonts w:hint="eastAsia"/>
                      <w:color w:val="auto"/>
                      <w:spacing w:val="-1"/>
                      <w:sz w:val="21"/>
                      <w:szCs w:val="21"/>
                      <w:lang w:val="en-US" w:eastAsia="zh-CN"/>
                    </w:rPr>
                    <w:t>0.27</w:t>
                  </w:r>
                </w:p>
              </w:tc>
              <w:tc>
                <w:tcPr>
                  <w:tcW w:w="1335" w:type="dxa"/>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spacing w:val="3"/>
                      <w:sz w:val="21"/>
                      <w:szCs w:val="21"/>
                    </w:rPr>
                  </w:pPr>
                  <w:r>
                    <w:rPr>
                      <w:rFonts w:hint="eastAsia" w:ascii="Times New Roman" w:hAnsi="Times New Roman" w:eastAsia="Times New Roman" w:cs="Times New Roman"/>
                      <w:color w:val="auto"/>
                      <w:spacing w:val="3"/>
                      <w:sz w:val="21"/>
                      <w:szCs w:val="21"/>
                      <w:lang w:val="en-US" w:eastAsia="zh-CN"/>
                    </w:rPr>
                    <w:t>900-099-S59</w:t>
                  </w:r>
                </w:p>
              </w:tc>
              <w:tc>
                <w:tcPr>
                  <w:tcW w:w="1442"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z w:val="21"/>
                      <w:szCs w:val="21"/>
                    </w:rPr>
                  </w:pPr>
                  <w:r>
                    <w:rPr>
                      <w:rFonts w:ascii="Times New Roman" w:hAnsi="Times New Roman" w:cs="Times New Roman"/>
                      <w:color w:val="auto"/>
                      <w:spacing w:val="6"/>
                      <w:sz w:val="21"/>
                      <w:szCs w:val="21"/>
                    </w:rPr>
                    <w:t>一般固废</w:t>
                  </w:r>
                </w:p>
              </w:tc>
              <w:tc>
                <w:tcPr>
                  <w:tcW w:w="2168" w:type="dxa"/>
                  <w:vMerge w:val="restart"/>
                  <w:tcBorders>
                    <w:right w:val="single" w:color="000000" w:sz="2" w:space="0"/>
                  </w:tcBorders>
                  <w:vAlign w:val="center"/>
                </w:tcPr>
                <w:p>
                  <w:pPr>
                    <w:pStyle w:val="33"/>
                    <w:keepNext w:val="0"/>
                    <w:pageBreakBefore w:val="0"/>
                    <w:kinsoku/>
                    <w:wordWrap/>
                    <w:overflowPunct/>
                    <w:topLinePunct w:val="0"/>
                    <w:bidi w:val="0"/>
                    <w:spacing w:line="245" w:lineRule="auto"/>
                    <w:jc w:val="center"/>
                    <w:rPr>
                      <w:rFonts w:ascii="Times New Roman" w:hAnsi="Times New Roman" w:cs="Times New Roman"/>
                      <w:color w:val="auto"/>
                      <w:sz w:val="21"/>
                      <w:szCs w:val="21"/>
                      <w:lang w:eastAsia="zh-CN"/>
                    </w:rPr>
                  </w:pPr>
                  <w:r>
                    <w:rPr>
                      <w:rFonts w:ascii="Times New Roman" w:hAnsi="Times New Roman" w:cs="Times New Roman"/>
                      <w:color w:val="auto"/>
                      <w:spacing w:val="6"/>
                      <w:sz w:val="21"/>
                      <w:szCs w:val="21"/>
                      <w:lang w:eastAsia="zh-CN"/>
                    </w:rPr>
                    <w:t>收集后暂存</w:t>
                  </w:r>
                  <w:r>
                    <w:rPr>
                      <w:rFonts w:ascii="Times New Roman" w:hAnsi="Times New Roman" w:cs="Times New Roman"/>
                      <w:color w:val="auto"/>
                      <w:spacing w:val="7"/>
                      <w:sz w:val="21"/>
                      <w:szCs w:val="21"/>
                      <w:lang w:eastAsia="zh-CN"/>
                    </w:rPr>
                    <w:t>于固废间，定期外售或由厂家回收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jc w:val="center"/>
              </w:trPr>
              <w:tc>
                <w:tcPr>
                  <w:tcW w:w="777" w:type="dxa"/>
                  <w:tcBorders>
                    <w:left w:val="single" w:color="000000" w:sz="2" w:space="0"/>
                  </w:tcBorders>
                  <w:shd w:val="clear" w:color="auto" w:fill="auto"/>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kern w:val="2"/>
                      <w:sz w:val="21"/>
                      <w:szCs w:val="21"/>
                      <w:lang w:val="en-US" w:eastAsia="zh-CN" w:bidi="ar-SA"/>
                    </w:rPr>
                  </w:pPr>
                  <w:r>
                    <w:rPr>
                      <w:rFonts w:eastAsia="Times New Roman"/>
                      <w:color w:val="auto"/>
                      <w:sz w:val="21"/>
                      <w:szCs w:val="21"/>
                    </w:rPr>
                    <w:t>2</w:t>
                  </w:r>
                </w:p>
              </w:tc>
              <w:tc>
                <w:tcPr>
                  <w:tcW w:w="2383" w:type="dxa"/>
                  <w:vAlign w:val="center"/>
                </w:tcPr>
                <w:p>
                  <w:pPr>
                    <w:pStyle w:val="33"/>
                    <w:keepNext w:val="0"/>
                    <w:pageBreakBefore w:val="0"/>
                    <w:kinsoku/>
                    <w:wordWrap/>
                    <w:overflowPunct/>
                    <w:topLinePunct w:val="0"/>
                    <w:bidi w:val="0"/>
                    <w:spacing w:line="227" w:lineRule="auto"/>
                    <w:jc w:val="center"/>
                    <w:rPr>
                      <w:rFonts w:hint="default" w:ascii="Times New Roman" w:hAnsi="Times New Roman" w:eastAsia="宋体" w:cs="Times New Roman"/>
                      <w:color w:val="auto"/>
                      <w:spacing w:val="7"/>
                      <w:sz w:val="21"/>
                      <w:szCs w:val="21"/>
                      <w:lang w:val="en-US" w:eastAsia="zh-CN"/>
                    </w:rPr>
                  </w:pPr>
                  <w:r>
                    <w:rPr>
                      <w:rFonts w:hint="eastAsia" w:ascii="Times New Roman" w:hAnsi="Times New Roman" w:cs="Times New Roman"/>
                      <w:color w:val="auto"/>
                      <w:spacing w:val="7"/>
                      <w:sz w:val="21"/>
                      <w:szCs w:val="21"/>
                      <w:lang w:val="en-US" w:eastAsia="zh-CN"/>
                    </w:rPr>
                    <w:t>废封边条</w:t>
                  </w:r>
                </w:p>
              </w:tc>
              <w:tc>
                <w:tcPr>
                  <w:tcW w:w="1211" w:type="dxa"/>
                  <w:vAlign w:val="center"/>
                </w:tcPr>
                <w:p>
                  <w:pPr>
                    <w:keepNext w:val="0"/>
                    <w:pageBreakBefore w:val="0"/>
                    <w:kinsoku/>
                    <w:wordWrap/>
                    <w:overflowPunct/>
                    <w:topLinePunct w:val="0"/>
                    <w:bidi w:val="0"/>
                    <w:spacing w:line="195" w:lineRule="auto"/>
                    <w:jc w:val="center"/>
                    <w:rPr>
                      <w:rFonts w:hint="default" w:eastAsia="宋体"/>
                      <w:color w:val="auto"/>
                      <w:spacing w:val="-1"/>
                      <w:sz w:val="21"/>
                      <w:szCs w:val="21"/>
                      <w:lang w:val="en-US" w:eastAsia="zh-CN"/>
                    </w:rPr>
                  </w:pPr>
                  <w:r>
                    <w:rPr>
                      <w:rFonts w:hint="eastAsia"/>
                      <w:color w:val="auto"/>
                      <w:spacing w:val="-1"/>
                      <w:sz w:val="21"/>
                      <w:szCs w:val="21"/>
                      <w:lang w:val="en-US" w:eastAsia="zh-CN"/>
                    </w:rPr>
                    <w:t>0.005</w:t>
                  </w:r>
                </w:p>
              </w:tc>
              <w:tc>
                <w:tcPr>
                  <w:tcW w:w="1335" w:type="dxa"/>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spacing w:val="3"/>
                      <w:sz w:val="21"/>
                      <w:szCs w:val="21"/>
                    </w:rPr>
                  </w:pPr>
                  <w:r>
                    <w:rPr>
                      <w:rFonts w:hint="eastAsia" w:ascii="Times New Roman" w:hAnsi="Times New Roman" w:eastAsia="Times New Roman" w:cs="Times New Roman"/>
                      <w:color w:val="auto"/>
                      <w:spacing w:val="3"/>
                      <w:sz w:val="21"/>
                      <w:szCs w:val="21"/>
                      <w:lang w:val="en-US" w:eastAsia="zh-CN"/>
                    </w:rPr>
                    <w:t>900-099-S59</w:t>
                  </w:r>
                </w:p>
              </w:tc>
              <w:tc>
                <w:tcPr>
                  <w:tcW w:w="1442" w:type="dxa"/>
                  <w:vAlign w:val="center"/>
                </w:tcPr>
                <w:p>
                  <w:pPr>
                    <w:pStyle w:val="33"/>
                    <w:keepNext w:val="0"/>
                    <w:pageBreakBefore w:val="0"/>
                    <w:kinsoku/>
                    <w:wordWrap/>
                    <w:overflowPunct/>
                    <w:topLinePunct w:val="0"/>
                    <w:bidi w:val="0"/>
                    <w:spacing w:line="228" w:lineRule="auto"/>
                    <w:jc w:val="center"/>
                    <w:rPr>
                      <w:rFonts w:hint="default" w:ascii="Times New Roman" w:hAnsi="Times New Roman" w:eastAsia="宋体"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一般固废</w:t>
                  </w:r>
                </w:p>
              </w:tc>
              <w:tc>
                <w:tcPr>
                  <w:tcW w:w="2168" w:type="dxa"/>
                  <w:vMerge w:val="continue"/>
                  <w:tcBorders>
                    <w:right w:val="single" w:color="000000" w:sz="2" w:space="0"/>
                  </w:tcBorders>
                  <w:vAlign w:val="center"/>
                </w:tcPr>
                <w:p>
                  <w:pPr>
                    <w:pStyle w:val="33"/>
                    <w:keepNext w:val="0"/>
                    <w:pageBreakBefore w:val="0"/>
                    <w:kinsoku/>
                    <w:wordWrap/>
                    <w:overflowPunct/>
                    <w:topLinePunct w:val="0"/>
                    <w:bidi w:val="0"/>
                    <w:spacing w:line="245" w:lineRule="auto"/>
                    <w:jc w:val="center"/>
                    <w:rPr>
                      <w:rFonts w:ascii="Times New Roman" w:hAnsi="Times New Roman" w:cs="Times New Roman"/>
                      <w:color w:val="auto"/>
                      <w:spacing w:val="6"/>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jc w:val="center"/>
              </w:trPr>
              <w:tc>
                <w:tcPr>
                  <w:tcW w:w="777" w:type="dxa"/>
                  <w:tcBorders>
                    <w:left w:val="single" w:color="000000" w:sz="2" w:space="0"/>
                  </w:tcBorders>
                  <w:shd w:val="clear" w:color="auto" w:fill="auto"/>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kern w:val="2"/>
                      <w:sz w:val="21"/>
                      <w:szCs w:val="21"/>
                      <w:lang w:val="en-US" w:eastAsia="zh-CN" w:bidi="ar-SA"/>
                    </w:rPr>
                  </w:pPr>
                  <w:r>
                    <w:rPr>
                      <w:rFonts w:eastAsia="Times New Roman"/>
                      <w:color w:val="auto"/>
                      <w:sz w:val="21"/>
                      <w:szCs w:val="21"/>
                    </w:rPr>
                    <w:t>3</w:t>
                  </w:r>
                </w:p>
              </w:tc>
              <w:tc>
                <w:tcPr>
                  <w:tcW w:w="2383" w:type="dxa"/>
                  <w:vAlign w:val="center"/>
                </w:tcPr>
                <w:p>
                  <w:pPr>
                    <w:pStyle w:val="33"/>
                    <w:keepNext w:val="0"/>
                    <w:pageBreakBefore w:val="0"/>
                    <w:kinsoku/>
                    <w:wordWrap/>
                    <w:overflowPunct/>
                    <w:topLinePunct w:val="0"/>
                    <w:bidi w:val="0"/>
                    <w:spacing w:line="227" w:lineRule="auto"/>
                    <w:jc w:val="center"/>
                    <w:rPr>
                      <w:rFonts w:hint="default" w:ascii="Times New Roman" w:hAnsi="Times New Roman" w:cs="Times New Roman"/>
                      <w:color w:val="auto"/>
                      <w:spacing w:val="7"/>
                      <w:sz w:val="21"/>
                      <w:szCs w:val="21"/>
                      <w:lang w:val="en-US" w:eastAsia="zh-CN"/>
                    </w:rPr>
                  </w:pPr>
                  <w:r>
                    <w:rPr>
                      <w:rFonts w:hint="eastAsia" w:ascii="Times New Roman" w:hAnsi="Times New Roman" w:cs="Times New Roman"/>
                      <w:color w:val="auto"/>
                      <w:spacing w:val="7"/>
                      <w:sz w:val="21"/>
                      <w:szCs w:val="21"/>
                      <w:lang w:val="en-US" w:eastAsia="zh-CN"/>
                    </w:rPr>
                    <w:t>废海绵边角料</w:t>
                  </w:r>
                </w:p>
              </w:tc>
              <w:tc>
                <w:tcPr>
                  <w:tcW w:w="1211" w:type="dxa"/>
                  <w:vAlign w:val="center"/>
                </w:tcPr>
                <w:p>
                  <w:pPr>
                    <w:keepNext w:val="0"/>
                    <w:pageBreakBefore w:val="0"/>
                    <w:kinsoku/>
                    <w:wordWrap/>
                    <w:overflowPunct/>
                    <w:topLinePunct w:val="0"/>
                    <w:bidi w:val="0"/>
                    <w:spacing w:line="195" w:lineRule="auto"/>
                    <w:jc w:val="center"/>
                    <w:rPr>
                      <w:rFonts w:hint="default"/>
                      <w:color w:val="auto"/>
                      <w:spacing w:val="-1"/>
                      <w:sz w:val="21"/>
                      <w:szCs w:val="21"/>
                      <w:lang w:val="en-US" w:eastAsia="zh-CN"/>
                    </w:rPr>
                  </w:pPr>
                  <w:r>
                    <w:rPr>
                      <w:rFonts w:hint="eastAsia"/>
                      <w:color w:val="auto"/>
                      <w:spacing w:val="-1"/>
                      <w:sz w:val="21"/>
                      <w:szCs w:val="21"/>
                      <w:lang w:val="en-US" w:eastAsia="zh-CN"/>
                    </w:rPr>
                    <w:t>1</w:t>
                  </w:r>
                </w:p>
              </w:tc>
              <w:tc>
                <w:tcPr>
                  <w:tcW w:w="1335" w:type="dxa"/>
                  <w:vAlign w:val="center"/>
                </w:tcPr>
                <w:p>
                  <w:pPr>
                    <w:keepNext w:val="0"/>
                    <w:pageBreakBefore w:val="0"/>
                    <w:kinsoku/>
                    <w:wordWrap/>
                    <w:overflowPunct/>
                    <w:topLinePunct w:val="0"/>
                    <w:bidi w:val="0"/>
                    <w:spacing w:line="195" w:lineRule="auto"/>
                    <w:jc w:val="center"/>
                    <w:rPr>
                      <w:rFonts w:hint="eastAsia" w:ascii="Times New Roman" w:hAnsi="Times New Roman" w:eastAsia="Times New Roman" w:cs="Times New Roman"/>
                      <w:color w:val="auto"/>
                      <w:spacing w:val="3"/>
                      <w:sz w:val="21"/>
                      <w:szCs w:val="21"/>
                      <w:lang w:val="en-US" w:eastAsia="zh-CN"/>
                    </w:rPr>
                  </w:pPr>
                  <w:r>
                    <w:rPr>
                      <w:rFonts w:hint="eastAsia" w:ascii="Times New Roman" w:hAnsi="Times New Roman" w:eastAsia="Times New Roman" w:cs="Times New Roman"/>
                      <w:color w:val="auto"/>
                      <w:spacing w:val="3"/>
                      <w:sz w:val="21"/>
                      <w:szCs w:val="21"/>
                      <w:lang w:val="en-US" w:eastAsia="zh-CN"/>
                    </w:rPr>
                    <w:t>900-099-S59</w:t>
                  </w:r>
                </w:p>
              </w:tc>
              <w:tc>
                <w:tcPr>
                  <w:tcW w:w="1442" w:type="dxa"/>
                  <w:vAlign w:val="center"/>
                </w:tcPr>
                <w:p>
                  <w:pPr>
                    <w:pStyle w:val="33"/>
                    <w:keepNext w:val="0"/>
                    <w:pageBreakBefore w:val="0"/>
                    <w:kinsoku/>
                    <w:wordWrap/>
                    <w:overflowPunct/>
                    <w:topLinePunct w:val="0"/>
                    <w:bidi w:val="0"/>
                    <w:spacing w:line="228" w:lineRule="auto"/>
                    <w:jc w:val="center"/>
                    <w:rPr>
                      <w:rFonts w:hint="eastAsia" w:ascii="Times New Roman" w:hAnsi="Times New Roman" w:cs="Times New Roman"/>
                      <w:color w:val="auto"/>
                      <w:spacing w:val="6"/>
                      <w:sz w:val="21"/>
                      <w:szCs w:val="21"/>
                      <w:lang w:val="en-US" w:eastAsia="zh-CN"/>
                    </w:rPr>
                  </w:pPr>
                  <w:r>
                    <w:rPr>
                      <w:rFonts w:hint="eastAsia" w:ascii="Times New Roman" w:hAnsi="Times New Roman" w:cs="Times New Roman"/>
                      <w:color w:val="auto"/>
                      <w:spacing w:val="6"/>
                      <w:sz w:val="21"/>
                      <w:szCs w:val="21"/>
                      <w:lang w:val="en-US" w:eastAsia="zh-CN"/>
                    </w:rPr>
                    <w:t>一般固废</w:t>
                  </w:r>
                </w:p>
              </w:tc>
              <w:tc>
                <w:tcPr>
                  <w:tcW w:w="2168" w:type="dxa"/>
                  <w:vMerge w:val="continue"/>
                  <w:tcBorders>
                    <w:right w:val="single" w:color="000000" w:sz="2" w:space="0"/>
                  </w:tcBorders>
                  <w:vAlign w:val="center"/>
                </w:tcPr>
                <w:p>
                  <w:pPr>
                    <w:pStyle w:val="33"/>
                    <w:keepNext w:val="0"/>
                    <w:pageBreakBefore w:val="0"/>
                    <w:kinsoku/>
                    <w:wordWrap/>
                    <w:overflowPunct/>
                    <w:topLinePunct w:val="0"/>
                    <w:bidi w:val="0"/>
                    <w:spacing w:line="245" w:lineRule="auto"/>
                    <w:jc w:val="center"/>
                    <w:rPr>
                      <w:rFonts w:ascii="Times New Roman" w:hAnsi="Times New Roman" w:cs="Times New Roman"/>
                      <w:color w:val="auto"/>
                      <w:spacing w:val="6"/>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jc w:val="center"/>
              </w:trPr>
              <w:tc>
                <w:tcPr>
                  <w:tcW w:w="777" w:type="dxa"/>
                  <w:tcBorders>
                    <w:left w:val="single" w:color="000000" w:sz="2" w:space="0"/>
                  </w:tcBorders>
                  <w:shd w:val="clear" w:color="auto" w:fill="auto"/>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kern w:val="2"/>
                      <w:sz w:val="21"/>
                      <w:szCs w:val="21"/>
                      <w:lang w:val="en-US" w:eastAsia="zh-CN" w:bidi="ar-SA"/>
                    </w:rPr>
                  </w:pPr>
                  <w:r>
                    <w:rPr>
                      <w:rFonts w:eastAsia="Times New Roman"/>
                      <w:color w:val="auto"/>
                      <w:spacing w:val="1"/>
                      <w:sz w:val="21"/>
                      <w:szCs w:val="21"/>
                    </w:rPr>
                    <w:t>4</w:t>
                  </w:r>
                </w:p>
              </w:tc>
              <w:tc>
                <w:tcPr>
                  <w:tcW w:w="2383" w:type="dxa"/>
                  <w:vAlign w:val="center"/>
                </w:tcPr>
                <w:p>
                  <w:pPr>
                    <w:pStyle w:val="33"/>
                    <w:keepNext w:val="0"/>
                    <w:pageBreakBefore w:val="0"/>
                    <w:kinsoku/>
                    <w:wordWrap/>
                    <w:overflowPunct/>
                    <w:topLinePunct w:val="0"/>
                    <w:bidi w:val="0"/>
                    <w:spacing w:line="217" w:lineRule="auto"/>
                    <w:jc w:val="center"/>
                    <w:rPr>
                      <w:rFonts w:ascii="Times New Roman" w:hAnsi="Times New Roman" w:cs="Times New Roman"/>
                      <w:color w:val="auto"/>
                      <w:sz w:val="21"/>
                      <w:szCs w:val="21"/>
                    </w:rPr>
                  </w:pPr>
                  <w:r>
                    <w:rPr>
                      <w:rFonts w:ascii="Times New Roman" w:hAnsi="Times New Roman" w:cs="Times New Roman"/>
                      <w:color w:val="auto"/>
                      <w:spacing w:val="5"/>
                      <w:sz w:val="21"/>
                      <w:szCs w:val="21"/>
                    </w:rPr>
                    <w:t>收集粉尘</w:t>
                  </w:r>
                </w:p>
              </w:tc>
              <w:tc>
                <w:tcPr>
                  <w:tcW w:w="1211" w:type="dxa"/>
                  <w:vAlign w:val="center"/>
                </w:tcPr>
                <w:p>
                  <w:pPr>
                    <w:keepNext w:val="0"/>
                    <w:pageBreakBefore w:val="0"/>
                    <w:kinsoku/>
                    <w:wordWrap/>
                    <w:overflowPunct/>
                    <w:topLinePunct w:val="0"/>
                    <w:bidi w:val="0"/>
                    <w:spacing w:line="195" w:lineRule="auto"/>
                    <w:jc w:val="center"/>
                    <w:rPr>
                      <w:rFonts w:hint="default" w:eastAsia="宋体"/>
                      <w:color w:val="auto"/>
                      <w:sz w:val="21"/>
                      <w:szCs w:val="21"/>
                      <w:lang w:val="en-US" w:eastAsia="zh-CN"/>
                    </w:rPr>
                  </w:pPr>
                  <w:r>
                    <w:rPr>
                      <w:rFonts w:hint="eastAsia"/>
                      <w:color w:val="auto"/>
                      <w:spacing w:val="3"/>
                      <w:sz w:val="21"/>
                      <w:szCs w:val="21"/>
                    </w:rPr>
                    <w:t>0.</w:t>
                  </w:r>
                  <w:r>
                    <w:rPr>
                      <w:rFonts w:hint="eastAsia"/>
                      <w:color w:val="auto"/>
                      <w:spacing w:val="3"/>
                      <w:sz w:val="21"/>
                      <w:szCs w:val="21"/>
                      <w:lang w:val="en-US" w:eastAsia="zh-CN"/>
                    </w:rPr>
                    <w:t>297</w:t>
                  </w:r>
                </w:p>
              </w:tc>
              <w:tc>
                <w:tcPr>
                  <w:tcW w:w="1335" w:type="dxa"/>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spacing w:val="3"/>
                      <w:sz w:val="21"/>
                      <w:szCs w:val="21"/>
                    </w:rPr>
                  </w:pPr>
                  <w:r>
                    <w:rPr>
                      <w:rFonts w:hint="eastAsia" w:ascii="Times New Roman" w:hAnsi="Times New Roman" w:eastAsia="Times New Roman" w:cs="Times New Roman"/>
                      <w:color w:val="auto"/>
                      <w:spacing w:val="3"/>
                      <w:sz w:val="21"/>
                      <w:szCs w:val="21"/>
                      <w:lang w:val="en-US" w:eastAsia="zh-CN"/>
                    </w:rPr>
                    <w:t>900-099-S59</w:t>
                  </w:r>
                </w:p>
              </w:tc>
              <w:tc>
                <w:tcPr>
                  <w:tcW w:w="1442" w:type="dxa"/>
                  <w:vAlign w:val="center"/>
                </w:tcPr>
                <w:p>
                  <w:pPr>
                    <w:pStyle w:val="33"/>
                    <w:keepNext w:val="0"/>
                    <w:pageBreakBefore w:val="0"/>
                    <w:kinsoku/>
                    <w:wordWrap/>
                    <w:overflowPunct/>
                    <w:topLinePunct w:val="0"/>
                    <w:bidi w:val="0"/>
                    <w:spacing w:line="217" w:lineRule="auto"/>
                    <w:jc w:val="center"/>
                    <w:rPr>
                      <w:rFonts w:ascii="Times New Roman" w:hAnsi="Times New Roman" w:cs="Times New Roman"/>
                      <w:color w:val="auto"/>
                      <w:sz w:val="21"/>
                      <w:szCs w:val="21"/>
                    </w:rPr>
                  </w:pPr>
                  <w:r>
                    <w:rPr>
                      <w:rFonts w:ascii="Times New Roman" w:hAnsi="Times New Roman" w:cs="Times New Roman"/>
                      <w:color w:val="auto"/>
                      <w:spacing w:val="6"/>
                      <w:sz w:val="21"/>
                      <w:szCs w:val="21"/>
                    </w:rPr>
                    <w:t>一般固废</w:t>
                  </w:r>
                </w:p>
              </w:tc>
              <w:tc>
                <w:tcPr>
                  <w:tcW w:w="2168" w:type="dxa"/>
                  <w:vMerge w:val="continue"/>
                  <w:tcBorders>
                    <w:right w:val="single" w:color="000000" w:sz="2" w:space="0"/>
                  </w:tcBorders>
                  <w:vAlign w:val="center"/>
                </w:tcPr>
                <w:p>
                  <w:pPr>
                    <w:keepNext w:val="0"/>
                    <w:pageBreakBefore w:val="0"/>
                    <w:kinsoku/>
                    <w:wordWrap/>
                    <w:overflowPunct/>
                    <w:topLinePunct w:val="0"/>
                    <w:bidi w:val="0"/>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jc w:val="center"/>
              </w:trPr>
              <w:tc>
                <w:tcPr>
                  <w:tcW w:w="777" w:type="dxa"/>
                  <w:tcBorders>
                    <w:left w:val="single" w:color="000000" w:sz="2" w:space="0"/>
                  </w:tcBorders>
                  <w:shd w:val="clear" w:color="auto" w:fill="auto"/>
                  <w:vAlign w:val="center"/>
                </w:tcPr>
                <w:p>
                  <w:pPr>
                    <w:keepNext w:val="0"/>
                    <w:pageBreakBefore w:val="0"/>
                    <w:kinsoku/>
                    <w:wordWrap/>
                    <w:overflowPunct/>
                    <w:topLinePunct w:val="0"/>
                    <w:bidi w:val="0"/>
                    <w:spacing w:line="195" w:lineRule="auto"/>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5</w:t>
                  </w:r>
                </w:p>
              </w:tc>
              <w:tc>
                <w:tcPr>
                  <w:tcW w:w="2383" w:type="dxa"/>
                  <w:vAlign w:val="center"/>
                </w:tcPr>
                <w:p>
                  <w:pPr>
                    <w:pStyle w:val="33"/>
                    <w:keepNext w:val="0"/>
                    <w:pageBreakBefore w:val="0"/>
                    <w:kinsoku/>
                    <w:wordWrap/>
                    <w:overflowPunct/>
                    <w:topLinePunct w:val="0"/>
                    <w:bidi w:val="0"/>
                    <w:spacing w:line="228" w:lineRule="auto"/>
                    <w:jc w:val="center"/>
                    <w:rPr>
                      <w:rFonts w:hint="default" w:ascii="Times New Roman" w:hAnsi="Times New Roman" w:eastAsia="宋体" w:cs="Times New Roman"/>
                      <w:color w:val="auto"/>
                      <w:sz w:val="21"/>
                      <w:szCs w:val="21"/>
                      <w:lang w:val="en-US" w:eastAsia="zh-CN"/>
                    </w:rPr>
                  </w:pPr>
                  <w:r>
                    <w:rPr>
                      <w:rFonts w:ascii="Times New Roman" w:hAnsi="Times New Roman" w:cs="Times New Roman"/>
                      <w:color w:val="auto"/>
                      <w:spacing w:val="7"/>
                      <w:sz w:val="21"/>
                      <w:szCs w:val="21"/>
                    </w:rPr>
                    <w:t>废</w:t>
                  </w:r>
                  <w:r>
                    <w:rPr>
                      <w:rFonts w:hint="eastAsia" w:ascii="Times New Roman" w:hAnsi="Times New Roman" w:cs="Times New Roman"/>
                      <w:color w:val="auto"/>
                      <w:spacing w:val="7"/>
                      <w:sz w:val="21"/>
                      <w:szCs w:val="21"/>
                      <w:lang w:val="en-US" w:eastAsia="zh-CN"/>
                    </w:rPr>
                    <w:t>封边胶包装袋</w:t>
                  </w:r>
                </w:p>
              </w:tc>
              <w:tc>
                <w:tcPr>
                  <w:tcW w:w="1211" w:type="dxa"/>
                  <w:vAlign w:val="center"/>
                </w:tcPr>
                <w:p>
                  <w:pPr>
                    <w:keepNext w:val="0"/>
                    <w:pageBreakBefore w:val="0"/>
                    <w:kinsoku/>
                    <w:wordWrap/>
                    <w:overflowPunct/>
                    <w:topLinePunct w:val="0"/>
                    <w:bidi w:val="0"/>
                    <w:spacing w:line="195" w:lineRule="auto"/>
                    <w:jc w:val="center"/>
                    <w:rPr>
                      <w:rFonts w:eastAsia="Times New Roman"/>
                      <w:color w:val="auto"/>
                      <w:sz w:val="21"/>
                      <w:szCs w:val="21"/>
                    </w:rPr>
                  </w:pPr>
                  <w:r>
                    <w:rPr>
                      <w:rFonts w:eastAsia="Times New Roman"/>
                      <w:color w:val="auto"/>
                      <w:spacing w:val="2"/>
                      <w:sz w:val="21"/>
                      <w:szCs w:val="21"/>
                    </w:rPr>
                    <w:t>0.02</w:t>
                  </w:r>
                </w:p>
              </w:tc>
              <w:tc>
                <w:tcPr>
                  <w:tcW w:w="1335" w:type="dxa"/>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spacing w:val="3"/>
                      <w:sz w:val="21"/>
                      <w:szCs w:val="21"/>
                    </w:rPr>
                  </w:pPr>
                  <w:r>
                    <w:rPr>
                      <w:rFonts w:hint="eastAsia" w:ascii="Times New Roman" w:hAnsi="Times New Roman" w:eastAsia="Times New Roman" w:cs="Times New Roman"/>
                      <w:color w:val="auto"/>
                      <w:spacing w:val="3"/>
                      <w:sz w:val="21"/>
                      <w:szCs w:val="21"/>
                      <w:lang w:val="en-US" w:eastAsia="zh-CN"/>
                    </w:rPr>
                    <w:t>900-099-S59</w:t>
                  </w:r>
                </w:p>
              </w:tc>
              <w:tc>
                <w:tcPr>
                  <w:tcW w:w="1442"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z w:val="21"/>
                      <w:szCs w:val="21"/>
                    </w:rPr>
                  </w:pPr>
                  <w:r>
                    <w:rPr>
                      <w:rFonts w:ascii="Times New Roman" w:hAnsi="Times New Roman" w:cs="Times New Roman"/>
                      <w:color w:val="auto"/>
                      <w:spacing w:val="6"/>
                      <w:sz w:val="21"/>
                      <w:szCs w:val="21"/>
                    </w:rPr>
                    <w:t>一般固废</w:t>
                  </w:r>
                </w:p>
              </w:tc>
              <w:tc>
                <w:tcPr>
                  <w:tcW w:w="2168" w:type="dxa"/>
                  <w:vMerge w:val="continue"/>
                  <w:tcBorders>
                    <w:right w:val="single" w:color="000000" w:sz="2" w:space="0"/>
                  </w:tcBorders>
                  <w:vAlign w:val="center"/>
                </w:tcPr>
                <w:p>
                  <w:pPr>
                    <w:keepNext w:val="0"/>
                    <w:pageBreakBefore w:val="0"/>
                    <w:kinsoku/>
                    <w:wordWrap/>
                    <w:overflowPunct/>
                    <w:topLinePunct w:val="0"/>
                    <w:bidi w:val="0"/>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jc w:val="center"/>
              </w:trPr>
              <w:tc>
                <w:tcPr>
                  <w:tcW w:w="777" w:type="dxa"/>
                  <w:tcBorders>
                    <w:left w:val="single" w:color="000000" w:sz="2" w:space="0"/>
                  </w:tcBorders>
                  <w:shd w:val="clear" w:color="auto" w:fill="auto"/>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kern w:val="2"/>
                      <w:sz w:val="21"/>
                      <w:szCs w:val="21"/>
                      <w:lang w:val="en-US" w:eastAsia="zh-CN" w:bidi="ar-SA"/>
                    </w:rPr>
                  </w:pPr>
                  <w:r>
                    <w:rPr>
                      <w:rFonts w:eastAsia="Times New Roman"/>
                      <w:color w:val="auto"/>
                      <w:sz w:val="21"/>
                      <w:szCs w:val="21"/>
                    </w:rPr>
                    <w:t>6</w:t>
                  </w:r>
                </w:p>
              </w:tc>
              <w:tc>
                <w:tcPr>
                  <w:tcW w:w="2383"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z w:val="21"/>
                      <w:szCs w:val="21"/>
                    </w:rPr>
                  </w:pPr>
                  <w:r>
                    <w:rPr>
                      <w:rFonts w:ascii="Times New Roman" w:hAnsi="Times New Roman" w:cs="Times New Roman"/>
                      <w:color w:val="auto"/>
                      <w:spacing w:val="8"/>
                      <w:sz w:val="21"/>
                      <w:szCs w:val="21"/>
                    </w:rPr>
                    <w:t>废包装箱</w:t>
                  </w:r>
                  <w:r>
                    <w:rPr>
                      <w:rFonts w:hint="eastAsia" w:ascii="Times New Roman" w:hAnsi="Times New Roman" w:cs="Times New Roman"/>
                      <w:color w:val="auto"/>
                      <w:spacing w:val="8"/>
                      <w:sz w:val="21"/>
                      <w:szCs w:val="21"/>
                      <w:lang w:val="en-US" w:eastAsia="zh-CN"/>
                    </w:rPr>
                    <w:t>塑料膜</w:t>
                  </w:r>
                  <w:r>
                    <w:rPr>
                      <w:rFonts w:ascii="Times New Roman" w:hAnsi="Times New Roman" w:cs="Times New Roman"/>
                      <w:color w:val="auto"/>
                      <w:spacing w:val="8"/>
                      <w:sz w:val="21"/>
                      <w:szCs w:val="21"/>
                    </w:rPr>
                    <w:t>及泡沫</w:t>
                  </w:r>
                </w:p>
              </w:tc>
              <w:tc>
                <w:tcPr>
                  <w:tcW w:w="1211" w:type="dxa"/>
                  <w:vAlign w:val="center"/>
                </w:tcPr>
                <w:p>
                  <w:pPr>
                    <w:keepNext w:val="0"/>
                    <w:pageBreakBefore w:val="0"/>
                    <w:kinsoku/>
                    <w:wordWrap/>
                    <w:overflowPunct/>
                    <w:topLinePunct w:val="0"/>
                    <w:bidi w:val="0"/>
                    <w:spacing w:line="195" w:lineRule="auto"/>
                    <w:jc w:val="center"/>
                    <w:rPr>
                      <w:rFonts w:hint="default" w:eastAsia="宋体"/>
                      <w:color w:val="auto"/>
                      <w:sz w:val="21"/>
                      <w:szCs w:val="21"/>
                      <w:lang w:val="en-US" w:eastAsia="zh-CN"/>
                    </w:rPr>
                  </w:pPr>
                  <w:r>
                    <w:rPr>
                      <w:rFonts w:eastAsia="Times New Roman"/>
                      <w:color w:val="auto"/>
                      <w:spacing w:val="2"/>
                      <w:sz w:val="21"/>
                      <w:szCs w:val="21"/>
                    </w:rPr>
                    <w:t>0.</w:t>
                  </w:r>
                  <w:r>
                    <w:rPr>
                      <w:rFonts w:hint="eastAsia" w:eastAsia="宋体"/>
                      <w:color w:val="auto"/>
                      <w:spacing w:val="2"/>
                      <w:sz w:val="21"/>
                      <w:szCs w:val="21"/>
                      <w:lang w:val="en-US" w:eastAsia="zh-CN"/>
                    </w:rPr>
                    <w:t>13</w:t>
                  </w:r>
                </w:p>
              </w:tc>
              <w:tc>
                <w:tcPr>
                  <w:tcW w:w="1335" w:type="dxa"/>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spacing w:val="3"/>
                      <w:sz w:val="21"/>
                      <w:szCs w:val="21"/>
                    </w:rPr>
                  </w:pPr>
                  <w:r>
                    <w:rPr>
                      <w:rFonts w:hint="eastAsia" w:ascii="Times New Roman" w:hAnsi="Times New Roman" w:eastAsia="Times New Roman" w:cs="Times New Roman"/>
                      <w:color w:val="auto"/>
                      <w:spacing w:val="3"/>
                      <w:sz w:val="21"/>
                      <w:szCs w:val="21"/>
                      <w:lang w:val="en-US" w:eastAsia="zh-CN"/>
                    </w:rPr>
                    <w:t>900-099-S59</w:t>
                  </w:r>
                </w:p>
              </w:tc>
              <w:tc>
                <w:tcPr>
                  <w:tcW w:w="1442"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z w:val="21"/>
                      <w:szCs w:val="21"/>
                    </w:rPr>
                  </w:pPr>
                  <w:r>
                    <w:rPr>
                      <w:rFonts w:ascii="Times New Roman" w:hAnsi="Times New Roman" w:cs="Times New Roman"/>
                      <w:color w:val="auto"/>
                      <w:spacing w:val="6"/>
                      <w:sz w:val="21"/>
                      <w:szCs w:val="21"/>
                    </w:rPr>
                    <w:t>一般固废</w:t>
                  </w:r>
                </w:p>
              </w:tc>
              <w:tc>
                <w:tcPr>
                  <w:tcW w:w="2168" w:type="dxa"/>
                  <w:vMerge w:val="continue"/>
                  <w:tcBorders>
                    <w:right w:val="single" w:color="000000" w:sz="2" w:space="0"/>
                  </w:tcBorders>
                  <w:vAlign w:val="center"/>
                </w:tcPr>
                <w:p>
                  <w:pPr>
                    <w:keepNext w:val="0"/>
                    <w:pageBreakBefore w:val="0"/>
                    <w:kinsoku/>
                    <w:wordWrap/>
                    <w:overflowPunct/>
                    <w:topLinePunct w:val="0"/>
                    <w:bidi w:val="0"/>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8" w:hRule="atLeast"/>
                <w:jc w:val="center"/>
              </w:trPr>
              <w:tc>
                <w:tcPr>
                  <w:tcW w:w="777" w:type="dxa"/>
                  <w:tcBorders>
                    <w:left w:val="single" w:color="000000" w:sz="2" w:space="0"/>
                  </w:tcBorders>
                  <w:shd w:val="clear" w:color="auto" w:fill="auto"/>
                  <w:vAlign w:val="center"/>
                </w:tcPr>
                <w:p>
                  <w:pPr>
                    <w:keepNext w:val="0"/>
                    <w:pageBreakBefore w:val="0"/>
                    <w:kinsoku/>
                    <w:wordWrap/>
                    <w:overflowPunct/>
                    <w:topLinePunct w:val="0"/>
                    <w:bidi w:val="0"/>
                    <w:spacing w:line="192" w:lineRule="auto"/>
                    <w:jc w:val="center"/>
                    <w:rPr>
                      <w:rFonts w:ascii="Times New Roman" w:hAnsi="Times New Roman" w:eastAsia="Times New Roman" w:cs="Times New Roman"/>
                      <w:color w:val="auto"/>
                      <w:kern w:val="2"/>
                      <w:sz w:val="21"/>
                      <w:szCs w:val="21"/>
                      <w:lang w:val="en-US" w:eastAsia="zh-CN" w:bidi="ar-SA"/>
                    </w:rPr>
                  </w:pPr>
                  <w:r>
                    <w:rPr>
                      <w:rFonts w:eastAsia="Times New Roman"/>
                      <w:color w:val="auto"/>
                      <w:sz w:val="21"/>
                      <w:szCs w:val="21"/>
                    </w:rPr>
                    <w:t>7</w:t>
                  </w:r>
                </w:p>
              </w:tc>
              <w:tc>
                <w:tcPr>
                  <w:tcW w:w="2383"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pacing w:val="8"/>
                      <w:sz w:val="21"/>
                      <w:szCs w:val="21"/>
                    </w:rPr>
                  </w:pPr>
                  <w:r>
                    <w:rPr>
                      <w:rFonts w:ascii="Times New Roman" w:hAnsi="Times New Roman" w:cs="Times New Roman"/>
                      <w:color w:val="auto"/>
                      <w:spacing w:val="8"/>
                      <w:sz w:val="21"/>
                      <w:szCs w:val="21"/>
                      <w:lang w:eastAsia="zh-CN"/>
                    </w:rPr>
                    <w:t>废胶</w:t>
                  </w:r>
                  <w:r>
                    <w:rPr>
                      <w:rFonts w:hint="eastAsia" w:ascii="Times New Roman" w:hAnsi="Times New Roman" w:cs="Times New Roman"/>
                      <w:color w:val="auto"/>
                      <w:spacing w:val="8"/>
                      <w:sz w:val="21"/>
                      <w:szCs w:val="21"/>
                      <w:lang w:val="en-US" w:eastAsia="zh-CN"/>
                    </w:rPr>
                    <w:t>桶（水性）</w:t>
                  </w:r>
                </w:p>
              </w:tc>
              <w:tc>
                <w:tcPr>
                  <w:tcW w:w="1211" w:type="dxa"/>
                  <w:vAlign w:val="center"/>
                </w:tcPr>
                <w:p>
                  <w:pPr>
                    <w:keepNext w:val="0"/>
                    <w:pageBreakBefore w:val="0"/>
                    <w:kinsoku/>
                    <w:wordWrap/>
                    <w:overflowPunct/>
                    <w:topLinePunct w:val="0"/>
                    <w:bidi w:val="0"/>
                    <w:spacing w:line="195" w:lineRule="auto"/>
                    <w:jc w:val="center"/>
                    <w:rPr>
                      <w:rFonts w:eastAsia="Times New Roman"/>
                      <w:color w:val="auto"/>
                      <w:spacing w:val="2"/>
                      <w:sz w:val="21"/>
                      <w:szCs w:val="21"/>
                    </w:rPr>
                  </w:pPr>
                  <w:r>
                    <w:rPr>
                      <w:rFonts w:eastAsia="Times New Roman"/>
                      <w:color w:val="auto"/>
                      <w:spacing w:val="2"/>
                      <w:sz w:val="21"/>
                      <w:szCs w:val="21"/>
                    </w:rPr>
                    <w:t>0.</w:t>
                  </w:r>
                  <w:r>
                    <w:rPr>
                      <w:rFonts w:hint="eastAsia" w:eastAsia="宋体"/>
                      <w:color w:val="auto"/>
                      <w:spacing w:val="2"/>
                      <w:sz w:val="21"/>
                      <w:szCs w:val="21"/>
                      <w:lang w:val="en-US" w:eastAsia="zh-CN"/>
                    </w:rPr>
                    <w:t>0</w:t>
                  </w:r>
                  <w:r>
                    <w:rPr>
                      <w:rFonts w:hint="eastAsia"/>
                      <w:color w:val="auto"/>
                      <w:spacing w:val="2"/>
                      <w:sz w:val="21"/>
                      <w:szCs w:val="21"/>
                    </w:rPr>
                    <w:t>12</w:t>
                  </w:r>
                </w:p>
              </w:tc>
              <w:tc>
                <w:tcPr>
                  <w:tcW w:w="1335" w:type="dxa"/>
                  <w:vAlign w:val="center"/>
                </w:tcPr>
                <w:p>
                  <w:pPr>
                    <w:keepNext w:val="0"/>
                    <w:pageBreakBefore w:val="0"/>
                    <w:kinsoku/>
                    <w:wordWrap/>
                    <w:overflowPunct/>
                    <w:topLinePunct w:val="0"/>
                    <w:bidi w:val="0"/>
                    <w:spacing w:line="195" w:lineRule="auto"/>
                    <w:jc w:val="center"/>
                    <w:rPr>
                      <w:rFonts w:hint="eastAsia" w:ascii="Times New Roman" w:hAnsi="Times New Roman" w:eastAsia="Times New Roman" w:cs="Times New Roman"/>
                      <w:color w:val="auto"/>
                      <w:spacing w:val="3"/>
                      <w:sz w:val="21"/>
                      <w:szCs w:val="21"/>
                      <w:lang w:val="en-US" w:eastAsia="zh-CN"/>
                    </w:rPr>
                  </w:pPr>
                  <w:r>
                    <w:rPr>
                      <w:rFonts w:hint="eastAsia" w:ascii="Times New Roman" w:hAnsi="Times New Roman" w:eastAsia="Times New Roman" w:cs="Times New Roman"/>
                      <w:color w:val="auto"/>
                      <w:spacing w:val="3"/>
                      <w:sz w:val="21"/>
                      <w:szCs w:val="21"/>
                      <w:lang w:val="en-US" w:eastAsia="zh-CN"/>
                    </w:rPr>
                    <w:t>900-099-S59</w:t>
                  </w:r>
                </w:p>
              </w:tc>
              <w:tc>
                <w:tcPr>
                  <w:tcW w:w="1442"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pacing w:val="6"/>
                      <w:sz w:val="21"/>
                      <w:szCs w:val="21"/>
                    </w:rPr>
                  </w:pPr>
                  <w:r>
                    <w:rPr>
                      <w:rFonts w:ascii="Times New Roman" w:hAnsi="Times New Roman" w:cs="Times New Roman"/>
                      <w:color w:val="auto"/>
                      <w:spacing w:val="6"/>
                      <w:sz w:val="21"/>
                      <w:szCs w:val="21"/>
                    </w:rPr>
                    <w:t>一般固废</w:t>
                  </w:r>
                </w:p>
              </w:tc>
              <w:tc>
                <w:tcPr>
                  <w:tcW w:w="2168" w:type="dxa"/>
                  <w:vMerge w:val="continue"/>
                  <w:tcBorders>
                    <w:right w:val="single" w:color="000000" w:sz="2" w:space="0"/>
                  </w:tcBorders>
                  <w:vAlign w:val="center"/>
                </w:tcPr>
                <w:p>
                  <w:pPr>
                    <w:keepNext w:val="0"/>
                    <w:pageBreakBefore w:val="0"/>
                    <w:kinsoku/>
                    <w:wordWrap/>
                    <w:overflowPunct/>
                    <w:topLinePunct w:val="0"/>
                    <w:bidi w:val="0"/>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jc w:val="center"/>
              </w:trPr>
              <w:tc>
                <w:tcPr>
                  <w:tcW w:w="777" w:type="dxa"/>
                  <w:tcBorders>
                    <w:left w:val="single" w:color="000000" w:sz="2" w:space="0"/>
                  </w:tcBorders>
                  <w:shd w:val="clear" w:color="auto" w:fill="auto"/>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kern w:val="2"/>
                      <w:sz w:val="21"/>
                      <w:szCs w:val="21"/>
                      <w:lang w:val="en-US" w:eastAsia="zh-CN" w:bidi="ar-SA"/>
                    </w:rPr>
                  </w:pPr>
                  <w:r>
                    <w:rPr>
                      <w:rFonts w:eastAsia="Times New Roman"/>
                      <w:color w:val="auto"/>
                      <w:sz w:val="21"/>
                      <w:szCs w:val="21"/>
                    </w:rPr>
                    <w:t>8</w:t>
                  </w:r>
                </w:p>
              </w:tc>
              <w:tc>
                <w:tcPr>
                  <w:tcW w:w="2383" w:type="dxa"/>
                  <w:vAlign w:val="center"/>
                </w:tcPr>
                <w:p>
                  <w:pPr>
                    <w:pStyle w:val="33"/>
                    <w:keepNext w:val="0"/>
                    <w:pageBreakBefore w:val="0"/>
                    <w:kinsoku/>
                    <w:wordWrap/>
                    <w:overflowPunct/>
                    <w:topLinePunct w:val="0"/>
                    <w:bidi w:val="0"/>
                    <w:spacing w:line="227" w:lineRule="auto"/>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废机油</w:t>
                  </w:r>
                </w:p>
              </w:tc>
              <w:tc>
                <w:tcPr>
                  <w:tcW w:w="1211" w:type="dxa"/>
                  <w:vAlign w:val="center"/>
                </w:tcPr>
                <w:p>
                  <w:pPr>
                    <w:keepNext w:val="0"/>
                    <w:pageBreakBefore w:val="0"/>
                    <w:kinsoku/>
                    <w:wordWrap/>
                    <w:overflowPunct/>
                    <w:topLinePunct w:val="0"/>
                    <w:bidi w:val="0"/>
                    <w:spacing w:line="195" w:lineRule="auto"/>
                    <w:jc w:val="center"/>
                    <w:rPr>
                      <w:rFonts w:eastAsia="Times New Roman"/>
                      <w:color w:val="auto"/>
                      <w:sz w:val="21"/>
                      <w:szCs w:val="21"/>
                    </w:rPr>
                  </w:pPr>
                  <w:r>
                    <w:rPr>
                      <w:rFonts w:eastAsia="Times New Roman"/>
                      <w:color w:val="auto"/>
                      <w:spacing w:val="2"/>
                      <w:sz w:val="21"/>
                      <w:szCs w:val="21"/>
                    </w:rPr>
                    <w:t>0.05</w:t>
                  </w:r>
                </w:p>
              </w:tc>
              <w:tc>
                <w:tcPr>
                  <w:tcW w:w="1335" w:type="dxa"/>
                  <w:vAlign w:val="center"/>
                </w:tcPr>
                <w:p>
                  <w:pPr>
                    <w:keepNext w:val="0"/>
                    <w:pageBreakBefore w:val="0"/>
                    <w:kinsoku/>
                    <w:wordWrap/>
                    <w:overflowPunct/>
                    <w:topLinePunct w:val="0"/>
                    <w:bidi w:val="0"/>
                    <w:spacing w:line="195" w:lineRule="auto"/>
                    <w:jc w:val="center"/>
                    <w:rPr>
                      <w:rFonts w:eastAsia="Times New Roman"/>
                      <w:color w:val="auto"/>
                      <w:sz w:val="21"/>
                      <w:szCs w:val="21"/>
                    </w:rPr>
                  </w:pPr>
                  <w:r>
                    <w:rPr>
                      <w:rFonts w:eastAsia="Times New Roman"/>
                      <w:color w:val="auto"/>
                      <w:spacing w:val="3"/>
                      <w:sz w:val="21"/>
                      <w:szCs w:val="21"/>
                    </w:rPr>
                    <w:t>900-214-08</w:t>
                  </w:r>
                </w:p>
              </w:tc>
              <w:tc>
                <w:tcPr>
                  <w:tcW w:w="1442"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z w:val="21"/>
                      <w:szCs w:val="21"/>
                    </w:rPr>
                  </w:pPr>
                  <w:r>
                    <w:rPr>
                      <w:rFonts w:ascii="Times New Roman" w:hAnsi="Times New Roman" w:cs="Times New Roman"/>
                      <w:color w:val="auto"/>
                      <w:spacing w:val="6"/>
                      <w:sz w:val="21"/>
                      <w:szCs w:val="21"/>
                    </w:rPr>
                    <w:t>危险固废</w:t>
                  </w:r>
                </w:p>
              </w:tc>
              <w:tc>
                <w:tcPr>
                  <w:tcW w:w="2168" w:type="dxa"/>
                  <w:vMerge w:val="restart"/>
                  <w:tcBorders>
                    <w:right w:val="single" w:color="000000" w:sz="2" w:space="0"/>
                  </w:tcBorders>
                  <w:vAlign w:val="center"/>
                </w:tcPr>
                <w:p>
                  <w:pPr>
                    <w:pStyle w:val="33"/>
                    <w:keepNext w:val="0"/>
                    <w:pageBreakBefore w:val="0"/>
                    <w:kinsoku/>
                    <w:wordWrap/>
                    <w:overflowPunct/>
                    <w:topLinePunct w:val="0"/>
                    <w:bidi w:val="0"/>
                    <w:spacing w:line="245" w:lineRule="auto"/>
                    <w:jc w:val="center"/>
                    <w:rPr>
                      <w:rFonts w:ascii="Times New Roman" w:hAnsi="Times New Roman" w:eastAsia="宋体" w:cs="Times New Roman"/>
                      <w:color w:val="auto"/>
                      <w:spacing w:val="6"/>
                      <w:sz w:val="21"/>
                      <w:szCs w:val="21"/>
                      <w:lang w:eastAsia="zh-CN"/>
                    </w:rPr>
                  </w:pPr>
                  <w:r>
                    <w:rPr>
                      <w:rFonts w:hint="eastAsia" w:ascii="Times New Roman" w:hAnsi="Times New Roman" w:eastAsia="宋体" w:cs="Times New Roman"/>
                      <w:color w:val="auto"/>
                      <w:spacing w:val="6"/>
                      <w:sz w:val="21"/>
                      <w:szCs w:val="21"/>
                      <w:lang w:eastAsia="zh-CN"/>
                    </w:rPr>
                    <w:t>暂存</w:t>
                  </w:r>
                  <w:r>
                    <w:rPr>
                      <w:rFonts w:ascii="Times New Roman" w:hAnsi="Times New Roman" w:eastAsia="宋体" w:cs="Times New Roman"/>
                      <w:color w:val="auto"/>
                      <w:spacing w:val="6"/>
                      <w:sz w:val="21"/>
                      <w:szCs w:val="21"/>
                      <w:lang w:eastAsia="zh-CN"/>
                    </w:rPr>
                    <w:t>于危废间，定期送有资质单位处置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6" w:hRule="atLeast"/>
                <w:jc w:val="center"/>
              </w:trPr>
              <w:tc>
                <w:tcPr>
                  <w:tcW w:w="777" w:type="dxa"/>
                  <w:tcBorders>
                    <w:top w:val="nil"/>
                    <w:left w:val="single" w:color="000000" w:sz="2" w:space="0"/>
                  </w:tcBorders>
                  <w:shd w:val="clear" w:color="auto" w:fill="auto"/>
                  <w:vAlign w:val="center"/>
                </w:tcPr>
                <w:p>
                  <w:pPr>
                    <w:keepNext w:val="0"/>
                    <w:pageBreakBefore w:val="0"/>
                    <w:kinsoku/>
                    <w:wordWrap/>
                    <w:overflowPunct/>
                    <w:topLinePunct w:val="0"/>
                    <w:bidi w:val="0"/>
                    <w:spacing w:line="195" w:lineRule="auto"/>
                    <w:jc w:val="center"/>
                    <w:rPr>
                      <w:rFonts w:ascii="Times New Roman" w:hAnsi="Times New Roman" w:eastAsia="Times New Roman" w:cs="Times New Roman"/>
                      <w:color w:val="auto"/>
                      <w:kern w:val="2"/>
                      <w:sz w:val="21"/>
                      <w:szCs w:val="21"/>
                      <w:lang w:val="en-US" w:eastAsia="zh-CN" w:bidi="ar-SA"/>
                    </w:rPr>
                  </w:pPr>
                  <w:r>
                    <w:rPr>
                      <w:rFonts w:hint="eastAsia" w:eastAsia="宋体"/>
                      <w:color w:val="auto"/>
                      <w:sz w:val="21"/>
                      <w:szCs w:val="21"/>
                      <w:lang w:val="en-US" w:eastAsia="zh-CN"/>
                    </w:rPr>
                    <w:t>9</w:t>
                  </w:r>
                </w:p>
              </w:tc>
              <w:tc>
                <w:tcPr>
                  <w:tcW w:w="2383" w:type="dxa"/>
                  <w:tcBorders>
                    <w:top w:val="nil"/>
                  </w:tcBorders>
                  <w:vAlign w:val="center"/>
                </w:tcPr>
                <w:p>
                  <w:pPr>
                    <w:pStyle w:val="33"/>
                    <w:keepNext w:val="0"/>
                    <w:pageBreakBefore w:val="0"/>
                    <w:kinsoku/>
                    <w:wordWrap/>
                    <w:overflowPunct/>
                    <w:topLinePunct w:val="0"/>
                    <w:bidi w:val="0"/>
                    <w:spacing w:line="222" w:lineRule="auto"/>
                    <w:jc w:val="center"/>
                    <w:rPr>
                      <w:rFonts w:ascii="Times New Roman" w:hAnsi="Times New Roman" w:cs="Times New Roman"/>
                      <w:color w:val="auto"/>
                      <w:sz w:val="21"/>
                      <w:szCs w:val="21"/>
                      <w:lang w:eastAsia="zh-CN"/>
                    </w:rPr>
                  </w:pPr>
                  <w:r>
                    <w:rPr>
                      <w:rFonts w:ascii="Times New Roman" w:hAnsi="Times New Roman" w:cs="Times New Roman"/>
                      <w:color w:val="auto"/>
                      <w:spacing w:val="7"/>
                      <w:sz w:val="21"/>
                      <w:szCs w:val="21"/>
                      <w:lang w:eastAsia="zh-CN"/>
                    </w:rPr>
                    <w:t>废液压油</w:t>
                  </w:r>
                </w:p>
              </w:tc>
              <w:tc>
                <w:tcPr>
                  <w:tcW w:w="1211" w:type="dxa"/>
                  <w:tcBorders>
                    <w:top w:val="nil"/>
                  </w:tcBorders>
                  <w:vAlign w:val="center"/>
                </w:tcPr>
                <w:p>
                  <w:pPr>
                    <w:keepNext w:val="0"/>
                    <w:pageBreakBefore w:val="0"/>
                    <w:kinsoku/>
                    <w:wordWrap/>
                    <w:overflowPunct/>
                    <w:topLinePunct w:val="0"/>
                    <w:bidi w:val="0"/>
                    <w:spacing w:line="195" w:lineRule="auto"/>
                    <w:jc w:val="center"/>
                    <w:rPr>
                      <w:rFonts w:hint="default" w:eastAsia="宋体"/>
                      <w:color w:val="auto"/>
                      <w:sz w:val="21"/>
                      <w:szCs w:val="21"/>
                      <w:lang w:val="en-US" w:eastAsia="zh-CN"/>
                    </w:rPr>
                  </w:pPr>
                  <w:r>
                    <w:rPr>
                      <w:rFonts w:eastAsia="Times New Roman"/>
                      <w:color w:val="auto"/>
                      <w:sz w:val="21"/>
                      <w:szCs w:val="21"/>
                    </w:rPr>
                    <w:t>0.</w:t>
                  </w:r>
                  <w:r>
                    <w:rPr>
                      <w:rFonts w:hint="eastAsia" w:eastAsia="宋体"/>
                      <w:color w:val="auto"/>
                      <w:sz w:val="21"/>
                      <w:szCs w:val="21"/>
                      <w:lang w:val="en-US" w:eastAsia="zh-CN"/>
                    </w:rPr>
                    <w:t>05</w:t>
                  </w:r>
                </w:p>
              </w:tc>
              <w:tc>
                <w:tcPr>
                  <w:tcW w:w="1335" w:type="dxa"/>
                  <w:tcBorders>
                    <w:top w:val="nil"/>
                  </w:tcBorders>
                  <w:vAlign w:val="center"/>
                </w:tcPr>
                <w:p>
                  <w:pPr>
                    <w:keepNext w:val="0"/>
                    <w:pageBreakBefore w:val="0"/>
                    <w:kinsoku/>
                    <w:wordWrap/>
                    <w:overflowPunct/>
                    <w:topLinePunct w:val="0"/>
                    <w:bidi w:val="0"/>
                    <w:spacing w:line="195" w:lineRule="auto"/>
                    <w:jc w:val="center"/>
                    <w:rPr>
                      <w:rFonts w:eastAsia="Times New Roman"/>
                      <w:color w:val="auto"/>
                      <w:sz w:val="21"/>
                      <w:szCs w:val="21"/>
                    </w:rPr>
                  </w:pPr>
                  <w:r>
                    <w:rPr>
                      <w:rFonts w:eastAsia="Times New Roman"/>
                      <w:color w:val="auto"/>
                      <w:spacing w:val="3"/>
                      <w:sz w:val="21"/>
                      <w:szCs w:val="21"/>
                    </w:rPr>
                    <w:t>900-218-08</w:t>
                  </w:r>
                </w:p>
              </w:tc>
              <w:tc>
                <w:tcPr>
                  <w:tcW w:w="1442" w:type="dxa"/>
                  <w:tcBorders>
                    <w:top w:val="nil"/>
                  </w:tcBorders>
                  <w:vAlign w:val="center"/>
                </w:tcPr>
                <w:p>
                  <w:pPr>
                    <w:pStyle w:val="33"/>
                    <w:keepNext w:val="0"/>
                    <w:pageBreakBefore w:val="0"/>
                    <w:kinsoku/>
                    <w:wordWrap/>
                    <w:overflowPunct/>
                    <w:topLinePunct w:val="0"/>
                    <w:bidi w:val="0"/>
                    <w:spacing w:line="222" w:lineRule="auto"/>
                    <w:jc w:val="center"/>
                    <w:rPr>
                      <w:rFonts w:ascii="Times New Roman" w:hAnsi="Times New Roman" w:cs="Times New Roman"/>
                      <w:color w:val="auto"/>
                      <w:sz w:val="21"/>
                      <w:szCs w:val="21"/>
                      <w:lang w:eastAsia="zh-CN"/>
                    </w:rPr>
                  </w:pPr>
                  <w:r>
                    <w:rPr>
                      <w:rFonts w:ascii="Times New Roman" w:hAnsi="Times New Roman" w:cs="Times New Roman"/>
                      <w:color w:val="auto"/>
                      <w:spacing w:val="6"/>
                      <w:sz w:val="21"/>
                      <w:szCs w:val="21"/>
                      <w:lang w:eastAsia="zh-CN"/>
                    </w:rPr>
                    <w:t>危险固废</w:t>
                  </w:r>
                </w:p>
              </w:tc>
              <w:tc>
                <w:tcPr>
                  <w:tcW w:w="2168" w:type="dxa"/>
                  <w:vMerge w:val="continue"/>
                  <w:tcBorders>
                    <w:right w:val="single" w:color="000000" w:sz="2" w:space="0"/>
                  </w:tcBorders>
                  <w:vAlign w:val="center"/>
                </w:tcPr>
                <w:p>
                  <w:pPr>
                    <w:pStyle w:val="33"/>
                    <w:keepNext w:val="0"/>
                    <w:pageBreakBefore w:val="0"/>
                    <w:kinsoku/>
                    <w:wordWrap/>
                    <w:overflowPunct/>
                    <w:topLinePunct w:val="0"/>
                    <w:bidi w:val="0"/>
                    <w:spacing w:line="245" w:lineRule="auto"/>
                    <w:jc w:val="center"/>
                    <w:rPr>
                      <w:rFonts w:ascii="Times New Roman" w:hAnsi="Times New Roman" w:eastAsia="宋体" w:cs="Times New Roman"/>
                      <w:color w:val="auto"/>
                      <w:spacing w:val="6"/>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jc w:val="center"/>
              </w:trPr>
              <w:tc>
                <w:tcPr>
                  <w:tcW w:w="777" w:type="dxa"/>
                  <w:tcBorders>
                    <w:left w:val="single" w:color="000000" w:sz="2" w:space="0"/>
                  </w:tcBorders>
                  <w:shd w:val="clear" w:color="auto" w:fill="auto"/>
                  <w:vAlign w:val="center"/>
                </w:tcPr>
                <w:p>
                  <w:pPr>
                    <w:keepNext w:val="0"/>
                    <w:pageBreakBefore w:val="0"/>
                    <w:kinsoku/>
                    <w:wordWrap/>
                    <w:overflowPunct/>
                    <w:topLinePunct w:val="0"/>
                    <w:bidi w:val="0"/>
                    <w:spacing w:line="195" w:lineRule="auto"/>
                    <w:jc w:val="center"/>
                    <w:rPr>
                      <w:rFonts w:hint="default" w:ascii="Times New Roman" w:hAnsi="Times New Roman" w:eastAsia="宋体" w:cs="Times New Roman"/>
                      <w:color w:val="auto"/>
                      <w:kern w:val="2"/>
                      <w:sz w:val="21"/>
                      <w:szCs w:val="21"/>
                      <w:lang w:val="en-US" w:eastAsia="zh-CN" w:bidi="ar-SA"/>
                    </w:rPr>
                  </w:pPr>
                  <w:r>
                    <w:rPr>
                      <w:rFonts w:eastAsia="Times New Roman"/>
                      <w:color w:val="auto"/>
                      <w:spacing w:val="-8"/>
                      <w:sz w:val="21"/>
                      <w:szCs w:val="21"/>
                    </w:rPr>
                    <w:t>1</w:t>
                  </w:r>
                  <w:r>
                    <w:rPr>
                      <w:rFonts w:hint="eastAsia" w:eastAsia="宋体"/>
                      <w:color w:val="auto"/>
                      <w:spacing w:val="-8"/>
                      <w:sz w:val="21"/>
                      <w:szCs w:val="21"/>
                      <w:lang w:val="en-US" w:eastAsia="zh-CN"/>
                    </w:rPr>
                    <w:t>0</w:t>
                  </w:r>
                </w:p>
              </w:tc>
              <w:tc>
                <w:tcPr>
                  <w:tcW w:w="2383"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z w:val="21"/>
                      <w:szCs w:val="21"/>
                      <w:lang w:eastAsia="zh-CN"/>
                    </w:rPr>
                  </w:pPr>
                  <w:r>
                    <w:rPr>
                      <w:rFonts w:ascii="Times New Roman" w:hAnsi="Times New Roman" w:cs="Times New Roman"/>
                      <w:color w:val="auto"/>
                      <w:spacing w:val="4"/>
                      <w:sz w:val="21"/>
                      <w:szCs w:val="21"/>
                      <w:lang w:eastAsia="zh-CN"/>
                    </w:rPr>
                    <w:t>废活性炭</w:t>
                  </w:r>
                </w:p>
              </w:tc>
              <w:tc>
                <w:tcPr>
                  <w:tcW w:w="1211" w:type="dxa"/>
                  <w:vAlign w:val="center"/>
                </w:tcPr>
                <w:p>
                  <w:pPr>
                    <w:keepNext w:val="0"/>
                    <w:pageBreakBefore w:val="0"/>
                    <w:kinsoku/>
                    <w:wordWrap/>
                    <w:overflowPunct/>
                    <w:topLinePunct w:val="0"/>
                    <w:bidi w:val="0"/>
                    <w:spacing w:line="195" w:lineRule="auto"/>
                    <w:jc w:val="center"/>
                    <w:rPr>
                      <w:rFonts w:hint="default" w:eastAsia="宋体"/>
                      <w:color w:val="auto"/>
                      <w:sz w:val="21"/>
                      <w:szCs w:val="21"/>
                      <w:lang w:val="en-US" w:eastAsia="zh-CN"/>
                    </w:rPr>
                  </w:pPr>
                  <w:r>
                    <w:rPr>
                      <w:rFonts w:hint="eastAsia"/>
                      <w:color w:val="auto"/>
                      <w:spacing w:val="-4"/>
                      <w:sz w:val="21"/>
                      <w:szCs w:val="21"/>
                      <w:lang w:val="en-US" w:eastAsia="zh-CN"/>
                    </w:rPr>
                    <w:t>0.6</w:t>
                  </w:r>
                </w:p>
              </w:tc>
              <w:tc>
                <w:tcPr>
                  <w:tcW w:w="1335" w:type="dxa"/>
                  <w:vAlign w:val="center"/>
                </w:tcPr>
                <w:p>
                  <w:pPr>
                    <w:keepNext w:val="0"/>
                    <w:pageBreakBefore w:val="0"/>
                    <w:kinsoku/>
                    <w:wordWrap/>
                    <w:overflowPunct/>
                    <w:topLinePunct w:val="0"/>
                    <w:bidi w:val="0"/>
                    <w:spacing w:line="195" w:lineRule="auto"/>
                    <w:jc w:val="center"/>
                    <w:rPr>
                      <w:rFonts w:eastAsia="Times New Roman"/>
                      <w:color w:val="auto"/>
                      <w:sz w:val="21"/>
                      <w:szCs w:val="21"/>
                    </w:rPr>
                  </w:pPr>
                  <w:r>
                    <w:rPr>
                      <w:rFonts w:eastAsia="Times New Roman"/>
                      <w:color w:val="auto"/>
                      <w:spacing w:val="3"/>
                      <w:sz w:val="21"/>
                      <w:szCs w:val="21"/>
                    </w:rPr>
                    <w:t>900-039-49</w:t>
                  </w:r>
                </w:p>
              </w:tc>
              <w:tc>
                <w:tcPr>
                  <w:tcW w:w="1442"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z w:val="21"/>
                      <w:szCs w:val="21"/>
                      <w:lang w:eastAsia="zh-CN"/>
                    </w:rPr>
                  </w:pPr>
                  <w:r>
                    <w:rPr>
                      <w:rFonts w:ascii="Times New Roman" w:hAnsi="Times New Roman" w:cs="Times New Roman"/>
                      <w:color w:val="auto"/>
                      <w:spacing w:val="6"/>
                      <w:sz w:val="21"/>
                      <w:szCs w:val="21"/>
                      <w:lang w:eastAsia="zh-CN"/>
                    </w:rPr>
                    <w:t>危险固废</w:t>
                  </w:r>
                </w:p>
              </w:tc>
              <w:tc>
                <w:tcPr>
                  <w:tcW w:w="2168" w:type="dxa"/>
                  <w:vMerge w:val="continue"/>
                  <w:tcBorders>
                    <w:right w:val="single" w:color="000000" w:sz="2" w:space="0"/>
                  </w:tcBorders>
                  <w:vAlign w:val="center"/>
                </w:tcPr>
                <w:p>
                  <w:pPr>
                    <w:pStyle w:val="33"/>
                    <w:keepNext w:val="0"/>
                    <w:pageBreakBefore w:val="0"/>
                    <w:kinsoku/>
                    <w:wordWrap/>
                    <w:overflowPunct/>
                    <w:topLinePunct w:val="0"/>
                    <w:bidi w:val="0"/>
                    <w:spacing w:line="245" w:lineRule="auto"/>
                    <w:jc w:val="center"/>
                    <w:rPr>
                      <w:rFonts w:ascii="Times New Roman" w:hAnsi="Times New Roman" w:eastAsia="宋体" w:cs="Times New Roman"/>
                      <w:color w:val="auto"/>
                      <w:spacing w:val="6"/>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jc w:val="center"/>
              </w:trPr>
              <w:tc>
                <w:tcPr>
                  <w:tcW w:w="777" w:type="dxa"/>
                  <w:tcBorders>
                    <w:left w:val="single" w:color="000000" w:sz="2" w:space="0"/>
                  </w:tcBorders>
                  <w:vAlign w:val="center"/>
                </w:tcPr>
                <w:p>
                  <w:pPr>
                    <w:keepNext w:val="0"/>
                    <w:pageBreakBefore w:val="0"/>
                    <w:kinsoku/>
                    <w:wordWrap/>
                    <w:overflowPunct/>
                    <w:topLinePunct w:val="0"/>
                    <w:bidi w:val="0"/>
                    <w:spacing w:line="195" w:lineRule="auto"/>
                    <w:jc w:val="center"/>
                    <w:rPr>
                      <w:rFonts w:hint="default" w:eastAsia="宋体"/>
                      <w:color w:val="auto"/>
                      <w:sz w:val="21"/>
                      <w:szCs w:val="21"/>
                      <w:lang w:val="en-US" w:eastAsia="zh-CN"/>
                    </w:rPr>
                  </w:pPr>
                  <w:r>
                    <w:rPr>
                      <w:rFonts w:hint="eastAsia"/>
                      <w:color w:val="auto"/>
                      <w:sz w:val="21"/>
                      <w:szCs w:val="21"/>
                      <w:lang w:val="en-US" w:eastAsia="zh-CN"/>
                    </w:rPr>
                    <w:t>11</w:t>
                  </w:r>
                </w:p>
              </w:tc>
              <w:tc>
                <w:tcPr>
                  <w:tcW w:w="2383"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z w:val="21"/>
                      <w:szCs w:val="21"/>
                      <w:lang w:eastAsia="zh-CN"/>
                    </w:rPr>
                  </w:pPr>
                  <w:r>
                    <w:rPr>
                      <w:rFonts w:ascii="Times New Roman" w:hAnsi="Times New Roman" w:cs="Times New Roman"/>
                      <w:color w:val="auto"/>
                      <w:spacing w:val="6"/>
                      <w:sz w:val="21"/>
                      <w:szCs w:val="21"/>
                      <w:lang w:eastAsia="zh-CN"/>
                    </w:rPr>
                    <w:t>生活垃圾</w:t>
                  </w:r>
                </w:p>
              </w:tc>
              <w:tc>
                <w:tcPr>
                  <w:tcW w:w="1211" w:type="dxa"/>
                  <w:vAlign w:val="center"/>
                </w:tcPr>
                <w:p>
                  <w:pPr>
                    <w:keepNext w:val="0"/>
                    <w:pageBreakBefore w:val="0"/>
                    <w:kinsoku/>
                    <w:wordWrap/>
                    <w:overflowPunct/>
                    <w:topLinePunct w:val="0"/>
                    <w:bidi w:val="0"/>
                    <w:spacing w:line="195" w:lineRule="auto"/>
                    <w:jc w:val="center"/>
                    <w:rPr>
                      <w:color w:val="auto"/>
                      <w:sz w:val="21"/>
                      <w:szCs w:val="21"/>
                    </w:rPr>
                  </w:pPr>
                  <w:r>
                    <w:rPr>
                      <w:rFonts w:hint="eastAsia"/>
                      <w:color w:val="auto"/>
                      <w:spacing w:val="1"/>
                      <w:sz w:val="21"/>
                      <w:szCs w:val="21"/>
                    </w:rPr>
                    <w:t>4.5</w:t>
                  </w:r>
                </w:p>
              </w:tc>
              <w:tc>
                <w:tcPr>
                  <w:tcW w:w="1335" w:type="dxa"/>
                  <w:vAlign w:val="center"/>
                </w:tcPr>
                <w:p>
                  <w:pPr>
                    <w:keepNext w:val="0"/>
                    <w:pageBreakBefore w:val="0"/>
                    <w:kinsoku/>
                    <w:wordWrap/>
                    <w:overflowPunct/>
                    <w:topLinePunct w:val="0"/>
                    <w:bidi w:val="0"/>
                    <w:spacing w:line="195" w:lineRule="auto"/>
                    <w:jc w:val="center"/>
                    <w:rPr>
                      <w:rFonts w:hint="eastAsia" w:ascii="Times New Roman" w:hAnsi="Times New Roman" w:eastAsia="Times New Roman" w:cs="Times New Roman"/>
                      <w:color w:val="auto"/>
                      <w:spacing w:val="3"/>
                      <w:sz w:val="21"/>
                      <w:szCs w:val="21"/>
                      <w:lang w:val="en-US" w:eastAsia="zh-CN"/>
                    </w:rPr>
                  </w:pPr>
                  <w:r>
                    <w:rPr>
                      <w:rFonts w:hint="eastAsia" w:ascii="Times New Roman" w:hAnsi="Times New Roman" w:eastAsia="Times New Roman" w:cs="Times New Roman"/>
                      <w:color w:val="auto"/>
                      <w:spacing w:val="3"/>
                      <w:sz w:val="21"/>
                      <w:szCs w:val="21"/>
                      <w:lang w:val="en-US" w:eastAsia="zh-CN"/>
                    </w:rPr>
                    <w:t>900-001-S62</w:t>
                  </w:r>
                </w:p>
                <w:p>
                  <w:pPr>
                    <w:keepNext w:val="0"/>
                    <w:pageBreakBefore w:val="0"/>
                    <w:kinsoku/>
                    <w:wordWrap/>
                    <w:overflowPunct/>
                    <w:topLinePunct w:val="0"/>
                    <w:bidi w:val="0"/>
                    <w:spacing w:line="195" w:lineRule="auto"/>
                    <w:jc w:val="center"/>
                    <w:rPr>
                      <w:rFonts w:hint="default" w:ascii="Times New Roman" w:hAnsi="Times New Roman" w:eastAsia="Times New Roman" w:cs="Times New Roman"/>
                      <w:color w:val="auto"/>
                      <w:spacing w:val="3"/>
                      <w:sz w:val="21"/>
                      <w:szCs w:val="21"/>
                      <w:lang w:val="en-US" w:eastAsia="zh-CN"/>
                    </w:rPr>
                  </w:pPr>
                  <w:r>
                    <w:rPr>
                      <w:rFonts w:hint="eastAsia" w:ascii="Times New Roman" w:hAnsi="Times New Roman" w:eastAsia="Times New Roman" w:cs="Times New Roman"/>
                      <w:color w:val="auto"/>
                      <w:spacing w:val="3"/>
                      <w:sz w:val="21"/>
                      <w:szCs w:val="21"/>
                      <w:lang w:val="en-US" w:eastAsia="zh-CN"/>
                    </w:rPr>
                    <w:t>900-002-S62</w:t>
                  </w:r>
                </w:p>
              </w:tc>
              <w:tc>
                <w:tcPr>
                  <w:tcW w:w="1442" w:type="dxa"/>
                  <w:vAlign w:val="center"/>
                </w:tcPr>
                <w:p>
                  <w:pPr>
                    <w:pStyle w:val="33"/>
                    <w:keepNext w:val="0"/>
                    <w:pageBreakBefore w:val="0"/>
                    <w:kinsoku/>
                    <w:wordWrap/>
                    <w:overflowPunct/>
                    <w:topLinePunct w:val="0"/>
                    <w:bidi w:val="0"/>
                    <w:spacing w:line="228" w:lineRule="auto"/>
                    <w:jc w:val="center"/>
                    <w:rPr>
                      <w:rFonts w:ascii="Times New Roman" w:hAnsi="Times New Roman" w:cs="Times New Roman"/>
                      <w:color w:val="auto"/>
                      <w:sz w:val="21"/>
                      <w:szCs w:val="21"/>
                      <w:lang w:eastAsia="zh-CN"/>
                    </w:rPr>
                  </w:pPr>
                  <w:r>
                    <w:rPr>
                      <w:rFonts w:ascii="Times New Roman" w:hAnsi="Times New Roman" w:cs="Times New Roman"/>
                      <w:color w:val="auto"/>
                      <w:spacing w:val="6"/>
                      <w:sz w:val="21"/>
                      <w:szCs w:val="21"/>
                      <w:lang w:eastAsia="zh-CN"/>
                    </w:rPr>
                    <w:t>一般固废</w:t>
                  </w:r>
                </w:p>
              </w:tc>
              <w:tc>
                <w:tcPr>
                  <w:tcW w:w="2168" w:type="dxa"/>
                  <w:tcBorders>
                    <w:right w:val="single" w:color="000000" w:sz="2" w:space="0"/>
                  </w:tcBorders>
                  <w:vAlign w:val="center"/>
                </w:tcPr>
                <w:p>
                  <w:pPr>
                    <w:pStyle w:val="33"/>
                    <w:keepNext w:val="0"/>
                    <w:pageBreakBefore w:val="0"/>
                    <w:kinsoku/>
                    <w:wordWrap/>
                    <w:overflowPunct/>
                    <w:topLinePunct w:val="0"/>
                    <w:bidi w:val="0"/>
                    <w:spacing w:line="245" w:lineRule="auto"/>
                    <w:jc w:val="center"/>
                    <w:rPr>
                      <w:rFonts w:hint="default" w:ascii="Times New Roman" w:hAnsi="Times New Roman" w:eastAsia="宋体" w:cs="Times New Roman"/>
                      <w:color w:val="auto"/>
                      <w:spacing w:val="6"/>
                      <w:sz w:val="21"/>
                      <w:szCs w:val="21"/>
                      <w:lang w:val="en-US" w:eastAsia="zh-CN"/>
                    </w:rPr>
                  </w:pPr>
                  <w:r>
                    <w:rPr>
                      <w:rFonts w:ascii="Times New Roman" w:hAnsi="Times New Roman" w:eastAsia="宋体" w:cs="Times New Roman"/>
                      <w:color w:val="auto"/>
                      <w:spacing w:val="6"/>
                      <w:sz w:val="21"/>
                      <w:szCs w:val="21"/>
                      <w:lang w:eastAsia="zh-CN"/>
                    </w:rPr>
                    <w:t>环卫部门</w:t>
                  </w:r>
                  <w:r>
                    <w:rPr>
                      <w:rFonts w:hint="eastAsia" w:ascii="Times New Roman" w:hAnsi="Times New Roman" w:eastAsia="宋体" w:cs="Times New Roman"/>
                      <w:color w:val="auto"/>
                      <w:spacing w:val="6"/>
                      <w:sz w:val="21"/>
                      <w:szCs w:val="21"/>
                      <w:lang w:val="en-US" w:eastAsia="zh-CN"/>
                    </w:rPr>
                    <w:t>统一清运</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color w:val="auto"/>
              </w:rPr>
              <w:t>一般固体废弃物处置执行《一般工业固体废物贮存和填埋污染控制标准》（GB18599-2020）有关规定，分类暂存在占地</w:t>
            </w:r>
            <w:r>
              <w:rPr>
                <w:rFonts w:hint="eastAsia"/>
                <w:color w:val="auto"/>
                <w:lang w:val="en-US" w:eastAsia="zh-CN"/>
              </w:rPr>
              <w:t>2</w:t>
            </w:r>
            <w:r>
              <w:rPr>
                <w:color w:val="auto"/>
              </w:rPr>
              <w:t>0m</w:t>
            </w:r>
            <w:r>
              <w:rPr>
                <w:color w:val="auto"/>
                <w:vertAlign w:val="superscript"/>
              </w:rPr>
              <w:t>2</w:t>
            </w:r>
            <w:r>
              <w:rPr>
                <w:color w:val="auto"/>
              </w:rPr>
              <w:t>的一般固废暂存间（1个）；根据</w:t>
            </w:r>
            <w:r>
              <w:rPr>
                <w:rFonts w:hint="eastAsia"/>
                <w:color w:val="auto"/>
                <w:lang w:eastAsia="zh-CN"/>
              </w:rPr>
              <w:t>《国家危险废物名录（2025年本）》</w:t>
            </w:r>
            <w:r>
              <w:rPr>
                <w:color w:val="auto"/>
              </w:rPr>
              <w:t>属于危险废物的，建设单位需进行分类收集，分类暂存在均占地</w:t>
            </w:r>
            <w:r>
              <w:rPr>
                <w:rFonts w:hint="eastAsia"/>
                <w:color w:val="auto"/>
                <w:lang w:val="en-US" w:eastAsia="zh-CN"/>
              </w:rPr>
              <w:t>2</w:t>
            </w:r>
            <w:r>
              <w:rPr>
                <w:color w:val="auto"/>
              </w:rPr>
              <w:t>0m</w:t>
            </w:r>
            <w:r>
              <w:rPr>
                <w:color w:val="auto"/>
                <w:vertAlign w:val="superscript"/>
              </w:rPr>
              <w:t>2</w:t>
            </w:r>
            <w:r>
              <w:rPr>
                <w:color w:val="auto"/>
              </w:rPr>
              <w:t>的危险废物暂存间，委托有相应资质的单位按照国家有关规定妥善处理处置，厂内危险废物暂存设施建设应符合《危险废物贮存污染控制标准》（GB18597-2023）中有关规定。按照以上处理规范处理后项目产生的固废对周围环境造成的影响较小。</w:t>
            </w:r>
          </w:p>
          <w:p>
            <w:pPr>
              <w:pStyle w:val="33"/>
              <w:keepNext w:val="0"/>
              <w:pageBreakBefore w:val="0"/>
              <w:kinsoku/>
              <w:wordWrap/>
              <w:overflowPunct/>
              <w:topLinePunct w:val="0"/>
              <w:bidi w:val="0"/>
              <w:spacing w:before="57" w:line="211" w:lineRule="auto"/>
              <w:ind w:left="3264"/>
              <w:rPr>
                <w:rFonts w:ascii="Times New Roman" w:hAnsi="Times New Roman" w:cs="Times New Roman"/>
                <w:color w:val="auto"/>
              </w:rPr>
            </w:pPr>
            <w:r>
              <w:rPr>
                <w:rFonts w:ascii="Times New Roman" w:hAnsi="Times New Roman" w:cs="Times New Roman"/>
                <w:b/>
                <w:bCs/>
                <w:color w:val="auto"/>
                <w:spacing w:val="-3"/>
              </w:rPr>
              <w:t>表</w:t>
            </w:r>
            <w:r>
              <w:rPr>
                <w:rFonts w:ascii="Times New Roman" w:hAnsi="Times New Roman" w:eastAsia="Times New Roman" w:cs="Times New Roman"/>
                <w:b/>
                <w:bCs/>
                <w:color w:val="auto"/>
                <w:spacing w:val="-3"/>
              </w:rPr>
              <w:t>4-1</w:t>
            </w:r>
            <w:r>
              <w:rPr>
                <w:rFonts w:hint="eastAsia" w:ascii="Times New Roman" w:hAnsi="Times New Roman" w:cs="Times New Roman"/>
                <w:b/>
                <w:bCs/>
                <w:color w:val="auto"/>
                <w:spacing w:val="-3"/>
                <w:lang w:val="en-US" w:eastAsia="zh-CN"/>
              </w:rPr>
              <w:t>3</w:t>
            </w:r>
            <w:r>
              <w:rPr>
                <w:rFonts w:hint="eastAsia" w:ascii="Times New Roman" w:hAnsi="Times New Roman" w:cs="Times New Roman"/>
                <w:b/>
                <w:bCs/>
                <w:color w:val="auto"/>
                <w:spacing w:val="-3"/>
                <w:lang w:eastAsia="zh-CN"/>
              </w:rPr>
              <w:t xml:space="preserve"> </w:t>
            </w:r>
            <w:r>
              <w:rPr>
                <w:rFonts w:hint="eastAsia" w:ascii="Times New Roman" w:hAnsi="Times New Roman" w:cs="Times New Roman"/>
                <w:b/>
                <w:bCs/>
                <w:color w:val="auto"/>
                <w:spacing w:val="-3"/>
                <w:lang w:val="en-US" w:eastAsia="zh-CN"/>
              </w:rPr>
              <w:t xml:space="preserve"> </w:t>
            </w:r>
            <w:r>
              <w:rPr>
                <w:rFonts w:ascii="Times New Roman" w:hAnsi="Times New Roman" w:cs="Times New Roman"/>
                <w:b/>
                <w:bCs/>
                <w:color w:val="auto"/>
                <w:spacing w:val="-3"/>
              </w:rPr>
              <w:t>危险废物汇总表</w:t>
            </w:r>
          </w:p>
          <w:tbl>
            <w:tblPr>
              <w:tblStyle w:val="32"/>
              <w:tblW w:w="931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898"/>
              <w:gridCol w:w="1216"/>
              <w:gridCol w:w="1076"/>
              <w:gridCol w:w="764"/>
              <w:gridCol w:w="494"/>
              <w:gridCol w:w="868"/>
              <w:gridCol w:w="868"/>
              <w:gridCol w:w="641"/>
              <w:gridCol w:w="642"/>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trPr>
              <w:tc>
                <w:tcPr>
                  <w:tcW w:w="517"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5"/>
                      <w:sz w:val="21"/>
                      <w:szCs w:val="21"/>
                    </w:rPr>
                    <w:t>序号</w:t>
                  </w:r>
                </w:p>
              </w:tc>
              <w:tc>
                <w:tcPr>
                  <w:tcW w:w="898"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7"/>
                      <w:sz w:val="21"/>
                      <w:szCs w:val="21"/>
                    </w:rPr>
                    <w:t>危险废物</w:t>
                  </w:r>
                  <w:r>
                    <w:rPr>
                      <w:rFonts w:ascii="Times New Roman" w:hAnsi="Times New Roman" w:cs="Times New Roman"/>
                      <w:b/>
                      <w:bCs/>
                      <w:color w:val="auto"/>
                      <w:spacing w:val="3"/>
                      <w:sz w:val="21"/>
                      <w:szCs w:val="21"/>
                    </w:rPr>
                    <w:t>名称</w:t>
                  </w:r>
                </w:p>
              </w:tc>
              <w:tc>
                <w:tcPr>
                  <w:tcW w:w="1216"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6"/>
                      <w:sz w:val="21"/>
                      <w:szCs w:val="21"/>
                    </w:rPr>
                    <w:t>危废代码</w:t>
                  </w:r>
                </w:p>
              </w:tc>
              <w:tc>
                <w:tcPr>
                  <w:tcW w:w="1076"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数量（</w:t>
                  </w:r>
                  <w:r>
                    <w:rPr>
                      <w:rFonts w:ascii="Times New Roman" w:hAnsi="Times New Roman" w:eastAsia="Times New Roman" w:cs="Times New Roman"/>
                      <w:b/>
                      <w:bCs/>
                      <w:color w:val="auto"/>
                      <w:sz w:val="21"/>
                      <w:szCs w:val="21"/>
                    </w:rPr>
                    <w:t>t/a</w:t>
                  </w:r>
                  <w:r>
                    <w:rPr>
                      <w:rFonts w:ascii="Times New Roman" w:hAnsi="Times New Roman" w:cs="Times New Roman"/>
                      <w:b/>
                      <w:bCs/>
                      <w:color w:val="auto"/>
                      <w:sz w:val="21"/>
                      <w:szCs w:val="21"/>
                    </w:rPr>
                    <w:t>）</w:t>
                  </w:r>
                </w:p>
              </w:tc>
              <w:tc>
                <w:tcPr>
                  <w:tcW w:w="764"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6"/>
                      <w:sz w:val="21"/>
                      <w:szCs w:val="21"/>
                    </w:rPr>
                    <w:t>产生工</w:t>
                  </w:r>
                  <w:r>
                    <w:rPr>
                      <w:rFonts w:ascii="Times New Roman" w:hAnsi="Times New Roman" w:cs="Times New Roman"/>
                      <w:b/>
                      <w:bCs/>
                      <w:color w:val="auto"/>
                      <w:spacing w:val="1"/>
                      <w:sz w:val="21"/>
                      <w:szCs w:val="21"/>
                    </w:rPr>
                    <w:t>序</w:t>
                  </w:r>
                </w:p>
              </w:tc>
              <w:tc>
                <w:tcPr>
                  <w:tcW w:w="494"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3"/>
                      <w:sz w:val="21"/>
                      <w:szCs w:val="21"/>
                    </w:rPr>
                    <w:t>形态</w:t>
                  </w:r>
                </w:p>
              </w:tc>
              <w:tc>
                <w:tcPr>
                  <w:tcW w:w="868"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3"/>
                      <w:sz w:val="21"/>
                      <w:szCs w:val="21"/>
                    </w:rPr>
                    <w:t>主要成分</w:t>
                  </w:r>
                </w:p>
              </w:tc>
              <w:tc>
                <w:tcPr>
                  <w:tcW w:w="868"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4"/>
                      <w:sz w:val="21"/>
                      <w:szCs w:val="21"/>
                    </w:rPr>
                    <w:t>有害</w:t>
                  </w:r>
                  <w:r>
                    <w:rPr>
                      <w:rFonts w:ascii="Times New Roman" w:hAnsi="Times New Roman" w:cs="Times New Roman"/>
                      <w:b/>
                      <w:bCs/>
                      <w:color w:val="auto"/>
                      <w:spacing w:val="3"/>
                      <w:sz w:val="21"/>
                      <w:szCs w:val="21"/>
                    </w:rPr>
                    <w:t>成分</w:t>
                  </w:r>
                </w:p>
              </w:tc>
              <w:tc>
                <w:tcPr>
                  <w:tcW w:w="641"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4"/>
                      <w:sz w:val="21"/>
                      <w:szCs w:val="21"/>
                    </w:rPr>
                    <w:t>产废周期</w:t>
                  </w:r>
                </w:p>
              </w:tc>
              <w:tc>
                <w:tcPr>
                  <w:tcW w:w="642"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3"/>
                      <w:sz w:val="21"/>
                      <w:szCs w:val="21"/>
                    </w:rPr>
                    <w:t>危险</w:t>
                  </w:r>
                  <w:r>
                    <w:rPr>
                      <w:rFonts w:ascii="Times New Roman" w:hAnsi="Times New Roman" w:cs="Times New Roman"/>
                      <w:b/>
                      <w:bCs/>
                      <w:color w:val="auto"/>
                      <w:spacing w:val="4"/>
                      <w:sz w:val="21"/>
                      <w:szCs w:val="21"/>
                    </w:rPr>
                    <w:t>特性</w:t>
                  </w:r>
                </w:p>
              </w:tc>
              <w:tc>
                <w:tcPr>
                  <w:tcW w:w="1330" w:type="dxa"/>
                  <w:vAlign w:val="center"/>
                </w:tcPr>
                <w:p>
                  <w:pPr>
                    <w:pStyle w:val="33"/>
                    <w:keepNext w:val="0"/>
                    <w:pageBreakBefore w:val="0"/>
                    <w:kinsoku/>
                    <w:wordWrap/>
                    <w:overflowPunct/>
                    <w:topLinePunct w:val="0"/>
                    <w:bidi w:val="0"/>
                    <w:jc w:val="center"/>
                    <w:rPr>
                      <w:rFonts w:ascii="Times New Roman" w:hAnsi="Times New Roman" w:cs="Times New Roman"/>
                      <w:b/>
                      <w:bCs/>
                      <w:color w:val="auto"/>
                      <w:sz w:val="21"/>
                      <w:szCs w:val="21"/>
                    </w:rPr>
                  </w:pPr>
                  <w:r>
                    <w:rPr>
                      <w:rFonts w:ascii="Times New Roman" w:hAnsi="Times New Roman" w:cs="Times New Roman"/>
                      <w:b/>
                      <w:bCs/>
                      <w:color w:val="auto"/>
                      <w:spacing w:val="29"/>
                      <w:sz w:val="21"/>
                      <w:szCs w:val="21"/>
                    </w:rPr>
                    <w:t>污染防</w:t>
                  </w:r>
                  <w:r>
                    <w:rPr>
                      <w:rFonts w:ascii="Times New Roman" w:hAnsi="Times New Roman" w:cs="Times New Roman"/>
                      <w:b/>
                      <w:bCs/>
                      <w:color w:val="auto"/>
                      <w:spacing w:val="5"/>
                      <w:sz w:val="21"/>
                      <w:szCs w:val="21"/>
                    </w:rPr>
                    <w:t>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trPr>
              <w:tc>
                <w:tcPr>
                  <w:tcW w:w="517" w:type="dxa"/>
                  <w:vAlign w:val="center"/>
                </w:tcPr>
                <w:p>
                  <w:pPr>
                    <w:keepNext w:val="0"/>
                    <w:pageBreakBefore w:val="0"/>
                    <w:kinsoku/>
                    <w:wordWrap/>
                    <w:overflowPunct/>
                    <w:topLinePunct w:val="0"/>
                    <w:bidi w:val="0"/>
                    <w:jc w:val="center"/>
                    <w:rPr>
                      <w:rFonts w:eastAsia="Times New Roman"/>
                      <w:color w:val="auto"/>
                      <w:sz w:val="21"/>
                      <w:szCs w:val="21"/>
                    </w:rPr>
                  </w:pPr>
                  <w:r>
                    <w:rPr>
                      <w:rFonts w:eastAsia="Times New Roman"/>
                      <w:color w:val="auto"/>
                      <w:sz w:val="21"/>
                      <w:szCs w:val="21"/>
                    </w:rPr>
                    <w:t>1</w:t>
                  </w:r>
                </w:p>
              </w:tc>
              <w:tc>
                <w:tcPr>
                  <w:tcW w:w="898" w:type="dxa"/>
                  <w:vAlign w:val="center"/>
                </w:tcPr>
                <w:p>
                  <w:pPr>
                    <w:keepNext w:val="0"/>
                    <w:pageBreakBefore w:val="0"/>
                    <w:kinsoku/>
                    <w:wordWrap/>
                    <w:overflowPunct/>
                    <w:topLinePunct w:val="0"/>
                    <w:bidi w:val="0"/>
                    <w:jc w:val="center"/>
                    <w:rPr>
                      <w:rFonts w:eastAsia="Times New Roman"/>
                      <w:color w:val="auto"/>
                      <w:spacing w:val="3"/>
                      <w:sz w:val="21"/>
                      <w:szCs w:val="21"/>
                    </w:rPr>
                  </w:pPr>
                  <w:r>
                    <w:rPr>
                      <w:rFonts w:eastAsia="Times New Roman"/>
                      <w:color w:val="auto"/>
                      <w:spacing w:val="3"/>
                      <w:sz w:val="21"/>
                      <w:szCs w:val="21"/>
                    </w:rPr>
                    <w:t>废机油</w:t>
                  </w:r>
                </w:p>
              </w:tc>
              <w:tc>
                <w:tcPr>
                  <w:tcW w:w="1216" w:type="dxa"/>
                  <w:vAlign w:val="center"/>
                </w:tcPr>
                <w:p>
                  <w:pPr>
                    <w:keepNext w:val="0"/>
                    <w:pageBreakBefore w:val="0"/>
                    <w:kinsoku/>
                    <w:wordWrap/>
                    <w:overflowPunct/>
                    <w:topLinePunct w:val="0"/>
                    <w:bidi w:val="0"/>
                    <w:jc w:val="center"/>
                    <w:rPr>
                      <w:rFonts w:eastAsia="Times New Roman"/>
                      <w:color w:val="auto"/>
                      <w:sz w:val="21"/>
                      <w:szCs w:val="21"/>
                    </w:rPr>
                  </w:pPr>
                  <w:r>
                    <w:rPr>
                      <w:rFonts w:eastAsia="Times New Roman"/>
                      <w:color w:val="auto"/>
                      <w:spacing w:val="3"/>
                      <w:sz w:val="21"/>
                      <w:szCs w:val="21"/>
                    </w:rPr>
                    <w:t>900-214-08</w:t>
                  </w:r>
                </w:p>
              </w:tc>
              <w:tc>
                <w:tcPr>
                  <w:tcW w:w="1076" w:type="dxa"/>
                  <w:vAlign w:val="center"/>
                </w:tcPr>
                <w:p>
                  <w:pPr>
                    <w:keepNext w:val="0"/>
                    <w:pageBreakBefore w:val="0"/>
                    <w:kinsoku/>
                    <w:wordWrap/>
                    <w:overflowPunct/>
                    <w:topLinePunct w:val="0"/>
                    <w:bidi w:val="0"/>
                    <w:jc w:val="center"/>
                    <w:rPr>
                      <w:rFonts w:eastAsia="Times New Roman"/>
                      <w:color w:val="auto"/>
                      <w:sz w:val="21"/>
                      <w:szCs w:val="21"/>
                    </w:rPr>
                  </w:pPr>
                  <w:r>
                    <w:rPr>
                      <w:rFonts w:eastAsia="Times New Roman"/>
                      <w:color w:val="auto"/>
                      <w:spacing w:val="2"/>
                      <w:sz w:val="21"/>
                      <w:szCs w:val="21"/>
                    </w:rPr>
                    <w:t>0.05</w:t>
                  </w:r>
                </w:p>
              </w:tc>
              <w:tc>
                <w:tcPr>
                  <w:tcW w:w="764"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rPr>
                  </w:pPr>
                  <w:r>
                    <w:rPr>
                      <w:rFonts w:ascii="Times New Roman" w:hAnsi="Times New Roman" w:cs="Times New Roman"/>
                      <w:color w:val="auto"/>
                      <w:spacing w:val="5"/>
                      <w:sz w:val="21"/>
                      <w:szCs w:val="21"/>
                    </w:rPr>
                    <w:t>设备维</w:t>
                  </w:r>
                  <w:r>
                    <w:rPr>
                      <w:rFonts w:ascii="Times New Roman" w:hAnsi="Times New Roman" w:cs="Times New Roman"/>
                      <w:color w:val="auto"/>
                      <w:sz w:val="21"/>
                      <w:szCs w:val="21"/>
                    </w:rPr>
                    <w:t>护</w:t>
                  </w:r>
                </w:p>
              </w:tc>
              <w:tc>
                <w:tcPr>
                  <w:tcW w:w="494"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rPr>
                  </w:pPr>
                  <w:r>
                    <w:rPr>
                      <w:rFonts w:ascii="Times New Roman" w:hAnsi="Times New Roman" w:cs="Times New Roman"/>
                      <w:color w:val="auto"/>
                      <w:spacing w:val="3"/>
                      <w:sz w:val="21"/>
                      <w:szCs w:val="21"/>
                    </w:rPr>
                    <w:t>液态</w:t>
                  </w:r>
                </w:p>
              </w:tc>
              <w:tc>
                <w:tcPr>
                  <w:tcW w:w="868"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rPr>
                  </w:pPr>
                  <w:r>
                    <w:rPr>
                      <w:rFonts w:ascii="Times New Roman" w:hAnsi="Times New Roman" w:cs="Times New Roman"/>
                      <w:color w:val="auto"/>
                      <w:spacing w:val="7"/>
                      <w:sz w:val="21"/>
                      <w:szCs w:val="21"/>
                    </w:rPr>
                    <w:t>矿物油</w:t>
                  </w:r>
                </w:p>
              </w:tc>
              <w:tc>
                <w:tcPr>
                  <w:tcW w:w="868"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rPr>
                  </w:pPr>
                  <w:r>
                    <w:rPr>
                      <w:rFonts w:ascii="Times New Roman" w:hAnsi="Times New Roman" w:cs="Times New Roman"/>
                      <w:color w:val="auto"/>
                      <w:spacing w:val="6"/>
                      <w:sz w:val="21"/>
                      <w:szCs w:val="21"/>
                    </w:rPr>
                    <w:t>石油类</w:t>
                  </w:r>
                </w:p>
              </w:tc>
              <w:tc>
                <w:tcPr>
                  <w:tcW w:w="641" w:type="dxa"/>
                  <w:vAlign w:val="center"/>
                </w:tcPr>
                <w:p>
                  <w:pPr>
                    <w:pStyle w:val="33"/>
                    <w:keepNext w:val="0"/>
                    <w:pageBreakBefore w:val="0"/>
                    <w:kinsoku/>
                    <w:wordWrap/>
                    <w:overflowPunct/>
                    <w:topLinePunct w:val="0"/>
                    <w:bidi w:val="0"/>
                    <w:jc w:val="center"/>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13"/>
                      <w:sz w:val="21"/>
                      <w:szCs w:val="21"/>
                    </w:rPr>
                    <w:t>1</w:t>
                  </w:r>
                  <w:r>
                    <w:rPr>
                      <w:rFonts w:ascii="Times New Roman" w:hAnsi="Times New Roman" w:cs="Times New Roman"/>
                      <w:color w:val="auto"/>
                      <w:spacing w:val="-13"/>
                      <w:sz w:val="21"/>
                      <w:szCs w:val="21"/>
                    </w:rPr>
                    <w:t>次</w:t>
                  </w:r>
                  <w:r>
                    <w:rPr>
                      <w:rFonts w:ascii="Times New Roman" w:hAnsi="Times New Roman" w:eastAsia="Times New Roman" w:cs="Times New Roman"/>
                      <w:color w:val="auto"/>
                      <w:spacing w:val="4"/>
                      <w:sz w:val="21"/>
                      <w:szCs w:val="21"/>
                    </w:rPr>
                    <w:t>/300d</w:t>
                  </w:r>
                </w:p>
              </w:tc>
              <w:tc>
                <w:tcPr>
                  <w:tcW w:w="642" w:type="dxa"/>
                  <w:vAlign w:val="center"/>
                </w:tcPr>
                <w:p>
                  <w:pPr>
                    <w:keepNext w:val="0"/>
                    <w:pageBreakBefore w:val="0"/>
                    <w:kinsoku/>
                    <w:wordWrap/>
                    <w:overflowPunct/>
                    <w:topLinePunct w:val="0"/>
                    <w:bidi w:val="0"/>
                    <w:jc w:val="center"/>
                    <w:rPr>
                      <w:rFonts w:eastAsia="Times New Roman"/>
                      <w:color w:val="auto"/>
                      <w:sz w:val="21"/>
                      <w:szCs w:val="21"/>
                    </w:rPr>
                  </w:pPr>
                  <w:r>
                    <w:rPr>
                      <w:rFonts w:eastAsia="Times New Roman"/>
                      <w:color w:val="auto"/>
                      <w:sz w:val="21"/>
                      <w:szCs w:val="21"/>
                    </w:rPr>
                    <w:t>T</w:t>
                  </w:r>
                </w:p>
              </w:tc>
              <w:tc>
                <w:tcPr>
                  <w:tcW w:w="1330" w:type="dxa"/>
                  <w:vMerge w:val="restart"/>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lang w:eastAsia="zh-CN"/>
                    </w:rPr>
                  </w:pPr>
                  <w:r>
                    <w:rPr>
                      <w:rFonts w:ascii="Times New Roman" w:hAnsi="Times New Roman" w:cs="Times New Roman"/>
                      <w:color w:val="auto"/>
                      <w:spacing w:val="29"/>
                      <w:sz w:val="21"/>
                      <w:szCs w:val="21"/>
                      <w:lang w:eastAsia="zh-CN"/>
                    </w:rPr>
                    <w:t>经集中</w:t>
                  </w:r>
                  <w:r>
                    <w:rPr>
                      <w:rFonts w:ascii="Times New Roman" w:hAnsi="Times New Roman" w:cs="Times New Roman"/>
                      <w:color w:val="auto"/>
                      <w:spacing w:val="30"/>
                      <w:sz w:val="21"/>
                      <w:szCs w:val="21"/>
                      <w:lang w:eastAsia="zh-CN"/>
                    </w:rPr>
                    <w:t>分类收</w:t>
                  </w:r>
                  <w:r>
                    <w:rPr>
                      <w:rFonts w:ascii="Times New Roman" w:hAnsi="Times New Roman" w:cs="Times New Roman"/>
                      <w:color w:val="auto"/>
                      <w:spacing w:val="9"/>
                      <w:sz w:val="21"/>
                      <w:szCs w:val="21"/>
                      <w:lang w:eastAsia="zh-CN"/>
                    </w:rPr>
                    <w:t>集后，</w:t>
                  </w:r>
                  <w:r>
                    <w:rPr>
                      <w:rFonts w:ascii="Times New Roman" w:hAnsi="Times New Roman" w:cs="Times New Roman"/>
                      <w:color w:val="auto"/>
                      <w:spacing w:val="30"/>
                      <w:sz w:val="21"/>
                      <w:szCs w:val="21"/>
                      <w:lang w:eastAsia="zh-CN"/>
                    </w:rPr>
                    <w:t>定期交由有资质单位</w:t>
                  </w:r>
                  <w:r>
                    <w:rPr>
                      <w:rFonts w:ascii="Times New Roman" w:hAnsi="Times New Roman" w:cs="Times New Roman"/>
                      <w:color w:val="auto"/>
                      <w:spacing w:val="4"/>
                      <w:sz w:val="21"/>
                      <w:szCs w:val="21"/>
                      <w:lang w:eastAsia="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7" w:hRule="atLeast"/>
              </w:trPr>
              <w:tc>
                <w:tcPr>
                  <w:tcW w:w="517" w:type="dxa"/>
                  <w:vAlign w:val="center"/>
                </w:tcPr>
                <w:p>
                  <w:pPr>
                    <w:keepNext w:val="0"/>
                    <w:pageBreakBefore w:val="0"/>
                    <w:kinsoku/>
                    <w:wordWrap/>
                    <w:overflowPunct/>
                    <w:topLinePunct w:val="0"/>
                    <w:bidi w:val="0"/>
                    <w:jc w:val="center"/>
                    <w:rPr>
                      <w:rFonts w:eastAsia="Times New Roman"/>
                      <w:color w:val="auto"/>
                      <w:sz w:val="21"/>
                      <w:szCs w:val="21"/>
                    </w:rPr>
                  </w:pPr>
                  <w:r>
                    <w:rPr>
                      <w:rFonts w:eastAsia="Times New Roman"/>
                      <w:color w:val="auto"/>
                      <w:sz w:val="21"/>
                      <w:szCs w:val="21"/>
                    </w:rPr>
                    <w:t>2</w:t>
                  </w:r>
                </w:p>
              </w:tc>
              <w:tc>
                <w:tcPr>
                  <w:tcW w:w="898" w:type="dxa"/>
                  <w:vAlign w:val="center"/>
                </w:tcPr>
                <w:p>
                  <w:pPr>
                    <w:keepNext w:val="0"/>
                    <w:pageBreakBefore w:val="0"/>
                    <w:kinsoku/>
                    <w:wordWrap/>
                    <w:overflowPunct/>
                    <w:topLinePunct w:val="0"/>
                    <w:bidi w:val="0"/>
                    <w:jc w:val="center"/>
                    <w:rPr>
                      <w:rFonts w:eastAsia="Times New Roman"/>
                      <w:color w:val="auto"/>
                      <w:spacing w:val="3"/>
                      <w:sz w:val="21"/>
                      <w:szCs w:val="21"/>
                    </w:rPr>
                  </w:pPr>
                  <w:r>
                    <w:rPr>
                      <w:rFonts w:eastAsia="Times New Roman"/>
                      <w:color w:val="auto"/>
                      <w:spacing w:val="3"/>
                      <w:sz w:val="21"/>
                      <w:szCs w:val="21"/>
                    </w:rPr>
                    <w:t>废液压油</w:t>
                  </w:r>
                </w:p>
              </w:tc>
              <w:tc>
                <w:tcPr>
                  <w:tcW w:w="1216" w:type="dxa"/>
                  <w:vAlign w:val="center"/>
                </w:tcPr>
                <w:p>
                  <w:pPr>
                    <w:keepNext w:val="0"/>
                    <w:pageBreakBefore w:val="0"/>
                    <w:kinsoku/>
                    <w:wordWrap/>
                    <w:overflowPunct/>
                    <w:topLinePunct w:val="0"/>
                    <w:bidi w:val="0"/>
                    <w:jc w:val="center"/>
                    <w:rPr>
                      <w:rFonts w:eastAsia="Times New Roman"/>
                      <w:color w:val="auto"/>
                      <w:sz w:val="21"/>
                      <w:szCs w:val="21"/>
                    </w:rPr>
                  </w:pPr>
                  <w:r>
                    <w:rPr>
                      <w:rFonts w:eastAsia="Times New Roman"/>
                      <w:color w:val="auto"/>
                      <w:spacing w:val="3"/>
                      <w:sz w:val="21"/>
                      <w:szCs w:val="21"/>
                    </w:rPr>
                    <w:t>900-218-08</w:t>
                  </w:r>
                </w:p>
              </w:tc>
              <w:tc>
                <w:tcPr>
                  <w:tcW w:w="1076" w:type="dxa"/>
                  <w:vAlign w:val="center"/>
                </w:tcPr>
                <w:p>
                  <w:pPr>
                    <w:keepNext w:val="0"/>
                    <w:pageBreakBefore w:val="0"/>
                    <w:kinsoku/>
                    <w:wordWrap/>
                    <w:overflowPunct/>
                    <w:topLinePunct w:val="0"/>
                    <w:bidi w:val="0"/>
                    <w:jc w:val="center"/>
                    <w:rPr>
                      <w:rFonts w:hint="eastAsia" w:eastAsia="宋体"/>
                      <w:color w:val="auto"/>
                      <w:sz w:val="21"/>
                      <w:szCs w:val="21"/>
                      <w:lang w:eastAsia="zh-CN"/>
                    </w:rPr>
                  </w:pPr>
                  <w:r>
                    <w:rPr>
                      <w:rFonts w:eastAsia="Times New Roman"/>
                      <w:color w:val="auto"/>
                      <w:sz w:val="21"/>
                      <w:szCs w:val="21"/>
                    </w:rPr>
                    <w:t>0.</w:t>
                  </w:r>
                  <w:r>
                    <w:rPr>
                      <w:rFonts w:hint="eastAsia" w:eastAsia="宋体"/>
                      <w:color w:val="auto"/>
                      <w:sz w:val="21"/>
                      <w:szCs w:val="21"/>
                      <w:lang w:val="en-US" w:eastAsia="zh-CN"/>
                    </w:rPr>
                    <w:t>05</w:t>
                  </w:r>
                </w:p>
              </w:tc>
              <w:tc>
                <w:tcPr>
                  <w:tcW w:w="764"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lang w:eastAsia="zh-CN"/>
                    </w:rPr>
                  </w:pPr>
                  <w:r>
                    <w:rPr>
                      <w:rFonts w:ascii="Times New Roman" w:hAnsi="Times New Roman" w:cs="Times New Roman"/>
                      <w:color w:val="auto"/>
                      <w:spacing w:val="6"/>
                      <w:sz w:val="21"/>
                      <w:szCs w:val="21"/>
                      <w:lang w:eastAsia="zh-CN"/>
                    </w:rPr>
                    <w:t>液压油</w:t>
                  </w:r>
                  <w:r>
                    <w:rPr>
                      <w:rFonts w:ascii="Times New Roman" w:hAnsi="Times New Roman" w:cs="Times New Roman"/>
                      <w:color w:val="auto"/>
                      <w:spacing w:val="3"/>
                      <w:sz w:val="21"/>
                      <w:szCs w:val="21"/>
                      <w:lang w:eastAsia="zh-CN"/>
                    </w:rPr>
                    <w:t>更换</w:t>
                  </w:r>
                </w:p>
              </w:tc>
              <w:tc>
                <w:tcPr>
                  <w:tcW w:w="494"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lang w:eastAsia="zh-CN"/>
                    </w:rPr>
                  </w:pPr>
                  <w:r>
                    <w:rPr>
                      <w:rFonts w:ascii="Times New Roman" w:hAnsi="Times New Roman" w:cs="Times New Roman"/>
                      <w:color w:val="auto"/>
                      <w:spacing w:val="3"/>
                      <w:sz w:val="21"/>
                      <w:szCs w:val="21"/>
                      <w:lang w:eastAsia="zh-CN"/>
                    </w:rPr>
                    <w:t>液态</w:t>
                  </w:r>
                </w:p>
              </w:tc>
              <w:tc>
                <w:tcPr>
                  <w:tcW w:w="868"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lang w:eastAsia="zh-CN"/>
                    </w:rPr>
                  </w:pPr>
                  <w:r>
                    <w:rPr>
                      <w:rFonts w:ascii="Times New Roman" w:hAnsi="Times New Roman" w:cs="Times New Roman"/>
                      <w:color w:val="auto"/>
                      <w:spacing w:val="7"/>
                      <w:sz w:val="21"/>
                      <w:szCs w:val="21"/>
                      <w:lang w:eastAsia="zh-CN"/>
                    </w:rPr>
                    <w:t>矿物油</w:t>
                  </w:r>
                </w:p>
              </w:tc>
              <w:tc>
                <w:tcPr>
                  <w:tcW w:w="868"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lang w:eastAsia="zh-CN"/>
                    </w:rPr>
                  </w:pPr>
                  <w:r>
                    <w:rPr>
                      <w:rFonts w:ascii="Times New Roman" w:hAnsi="Times New Roman" w:cs="Times New Roman"/>
                      <w:color w:val="auto"/>
                      <w:spacing w:val="6"/>
                      <w:sz w:val="21"/>
                      <w:szCs w:val="21"/>
                      <w:lang w:eastAsia="zh-CN"/>
                    </w:rPr>
                    <w:t>石油类</w:t>
                  </w:r>
                </w:p>
              </w:tc>
              <w:tc>
                <w:tcPr>
                  <w:tcW w:w="641" w:type="dxa"/>
                  <w:vAlign w:val="center"/>
                </w:tcPr>
                <w:p>
                  <w:pPr>
                    <w:pStyle w:val="33"/>
                    <w:keepNext w:val="0"/>
                    <w:pageBreakBefore w:val="0"/>
                    <w:kinsoku/>
                    <w:wordWrap/>
                    <w:overflowPunct/>
                    <w:topLinePunct w:val="0"/>
                    <w:bidi w:val="0"/>
                    <w:jc w:val="center"/>
                    <w:rPr>
                      <w:rFonts w:ascii="Times New Roman" w:hAnsi="Times New Roman" w:eastAsia="Times New Roman" w:cs="Times New Roman"/>
                      <w:color w:val="auto"/>
                      <w:sz w:val="21"/>
                      <w:szCs w:val="21"/>
                      <w:lang w:eastAsia="zh-CN"/>
                    </w:rPr>
                  </w:pPr>
                  <w:r>
                    <w:rPr>
                      <w:rFonts w:ascii="Times New Roman" w:hAnsi="Times New Roman" w:eastAsia="Times New Roman" w:cs="Times New Roman"/>
                      <w:color w:val="auto"/>
                      <w:spacing w:val="-13"/>
                      <w:sz w:val="21"/>
                      <w:szCs w:val="21"/>
                      <w:lang w:eastAsia="zh-CN"/>
                    </w:rPr>
                    <w:t>1</w:t>
                  </w:r>
                  <w:r>
                    <w:rPr>
                      <w:rFonts w:ascii="Times New Roman" w:hAnsi="Times New Roman" w:cs="Times New Roman"/>
                      <w:color w:val="auto"/>
                      <w:spacing w:val="-13"/>
                      <w:sz w:val="21"/>
                      <w:szCs w:val="21"/>
                      <w:lang w:eastAsia="zh-CN"/>
                    </w:rPr>
                    <w:t>次</w:t>
                  </w:r>
                  <w:r>
                    <w:rPr>
                      <w:rFonts w:ascii="Times New Roman" w:hAnsi="Times New Roman" w:eastAsia="Times New Roman" w:cs="Times New Roman"/>
                      <w:color w:val="auto"/>
                      <w:spacing w:val="4"/>
                      <w:sz w:val="21"/>
                      <w:szCs w:val="21"/>
                      <w:lang w:eastAsia="zh-CN"/>
                    </w:rPr>
                    <w:t>/300d</w:t>
                  </w:r>
                </w:p>
              </w:tc>
              <w:tc>
                <w:tcPr>
                  <w:tcW w:w="642" w:type="dxa"/>
                  <w:vAlign w:val="center"/>
                </w:tcPr>
                <w:p>
                  <w:pPr>
                    <w:keepNext w:val="0"/>
                    <w:pageBreakBefore w:val="0"/>
                    <w:kinsoku/>
                    <w:wordWrap/>
                    <w:overflowPunct/>
                    <w:topLinePunct w:val="0"/>
                    <w:bidi w:val="0"/>
                    <w:jc w:val="center"/>
                    <w:rPr>
                      <w:rFonts w:eastAsia="Times New Roman"/>
                      <w:color w:val="auto"/>
                      <w:sz w:val="21"/>
                      <w:szCs w:val="21"/>
                    </w:rPr>
                  </w:pPr>
                  <w:r>
                    <w:rPr>
                      <w:rFonts w:eastAsia="Times New Roman"/>
                      <w:color w:val="auto"/>
                      <w:spacing w:val="4"/>
                      <w:sz w:val="21"/>
                      <w:szCs w:val="21"/>
                    </w:rPr>
                    <w:t>T/</w:t>
                  </w:r>
                  <w:r>
                    <w:rPr>
                      <w:rFonts w:eastAsia="Times New Roman"/>
                      <w:color w:val="auto"/>
                      <w:sz w:val="21"/>
                      <w:szCs w:val="21"/>
                    </w:rPr>
                    <w:t>In</w:t>
                  </w:r>
                </w:p>
              </w:tc>
              <w:tc>
                <w:tcPr>
                  <w:tcW w:w="1330" w:type="dxa"/>
                  <w:vMerge w:val="continue"/>
                  <w:vAlign w:val="center"/>
                </w:tcPr>
                <w:p>
                  <w:pPr>
                    <w:keepNext w:val="0"/>
                    <w:pageBreakBefore w:val="0"/>
                    <w:kinsoku/>
                    <w:wordWrap/>
                    <w:overflowPunct/>
                    <w:topLinePunct w:val="0"/>
                    <w:bidi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5" w:hRule="atLeast"/>
              </w:trPr>
              <w:tc>
                <w:tcPr>
                  <w:tcW w:w="517" w:type="dxa"/>
                  <w:vAlign w:val="center"/>
                </w:tcPr>
                <w:p>
                  <w:pPr>
                    <w:keepNext w:val="0"/>
                    <w:pageBreakBefore w:val="0"/>
                    <w:kinsoku/>
                    <w:wordWrap/>
                    <w:overflowPunct/>
                    <w:topLinePunct w:val="0"/>
                    <w:bidi w:val="0"/>
                    <w:jc w:val="center"/>
                    <w:rPr>
                      <w:rFonts w:hint="eastAsia" w:eastAsia="宋体"/>
                      <w:color w:val="auto"/>
                      <w:sz w:val="21"/>
                      <w:szCs w:val="21"/>
                      <w:lang w:eastAsia="zh-CN"/>
                    </w:rPr>
                  </w:pPr>
                  <w:r>
                    <w:rPr>
                      <w:rFonts w:hint="eastAsia" w:eastAsia="宋体"/>
                      <w:color w:val="auto"/>
                      <w:spacing w:val="1"/>
                      <w:sz w:val="21"/>
                      <w:szCs w:val="21"/>
                      <w:lang w:val="en-US" w:eastAsia="zh-CN"/>
                    </w:rPr>
                    <w:t>3</w:t>
                  </w:r>
                </w:p>
              </w:tc>
              <w:tc>
                <w:tcPr>
                  <w:tcW w:w="898" w:type="dxa"/>
                  <w:vAlign w:val="center"/>
                </w:tcPr>
                <w:p>
                  <w:pPr>
                    <w:keepNext w:val="0"/>
                    <w:pageBreakBefore w:val="0"/>
                    <w:kinsoku/>
                    <w:wordWrap/>
                    <w:overflowPunct/>
                    <w:topLinePunct w:val="0"/>
                    <w:bidi w:val="0"/>
                    <w:jc w:val="center"/>
                    <w:rPr>
                      <w:rFonts w:eastAsia="Times New Roman"/>
                      <w:color w:val="auto"/>
                      <w:spacing w:val="3"/>
                      <w:sz w:val="21"/>
                      <w:szCs w:val="21"/>
                    </w:rPr>
                  </w:pPr>
                  <w:r>
                    <w:rPr>
                      <w:rFonts w:eastAsia="Times New Roman"/>
                      <w:color w:val="auto"/>
                      <w:spacing w:val="3"/>
                      <w:sz w:val="21"/>
                      <w:szCs w:val="21"/>
                    </w:rPr>
                    <w:t>废活性炭</w:t>
                  </w:r>
                </w:p>
              </w:tc>
              <w:tc>
                <w:tcPr>
                  <w:tcW w:w="1216" w:type="dxa"/>
                  <w:vAlign w:val="center"/>
                </w:tcPr>
                <w:p>
                  <w:pPr>
                    <w:keepNext w:val="0"/>
                    <w:pageBreakBefore w:val="0"/>
                    <w:kinsoku/>
                    <w:wordWrap/>
                    <w:overflowPunct/>
                    <w:topLinePunct w:val="0"/>
                    <w:bidi w:val="0"/>
                    <w:jc w:val="center"/>
                    <w:rPr>
                      <w:rFonts w:eastAsia="Times New Roman"/>
                      <w:color w:val="auto"/>
                      <w:sz w:val="21"/>
                      <w:szCs w:val="21"/>
                    </w:rPr>
                  </w:pPr>
                  <w:r>
                    <w:rPr>
                      <w:rFonts w:eastAsia="Times New Roman"/>
                      <w:color w:val="auto"/>
                      <w:spacing w:val="3"/>
                      <w:sz w:val="21"/>
                      <w:szCs w:val="21"/>
                    </w:rPr>
                    <w:t>900-039-49</w:t>
                  </w:r>
                </w:p>
              </w:tc>
              <w:tc>
                <w:tcPr>
                  <w:tcW w:w="1076" w:type="dxa"/>
                  <w:vAlign w:val="center"/>
                </w:tcPr>
                <w:p>
                  <w:pPr>
                    <w:keepNext w:val="0"/>
                    <w:pageBreakBefore w:val="0"/>
                    <w:kinsoku/>
                    <w:wordWrap/>
                    <w:overflowPunct/>
                    <w:topLinePunct w:val="0"/>
                    <w:bidi w:val="0"/>
                    <w:jc w:val="center"/>
                    <w:rPr>
                      <w:rFonts w:hint="default" w:eastAsia="宋体"/>
                      <w:color w:val="auto"/>
                      <w:sz w:val="21"/>
                      <w:szCs w:val="21"/>
                      <w:lang w:val="en-US" w:eastAsia="zh-CN"/>
                    </w:rPr>
                  </w:pPr>
                  <w:r>
                    <w:rPr>
                      <w:rFonts w:hint="eastAsia" w:eastAsia="宋体"/>
                      <w:color w:val="auto"/>
                      <w:spacing w:val="-4"/>
                      <w:sz w:val="21"/>
                      <w:szCs w:val="21"/>
                      <w:lang w:val="en-US" w:eastAsia="zh-CN"/>
                    </w:rPr>
                    <w:t>0.6</w:t>
                  </w:r>
                </w:p>
              </w:tc>
              <w:tc>
                <w:tcPr>
                  <w:tcW w:w="764"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废气处理</w:t>
                  </w:r>
                </w:p>
              </w:tc>
              <w:tc>
                <w:tcPr>
                  <w:tcW w:w="494" w:type="dxa"/>
                  <w:vAlign w:val="center"/>
                </w:tcPr>
                <w:p>
                  <w:pPr>
                    <w:pStyle w:val="33"/>
                    <w:keepNext w:val="0"/>
                    <w:pageBreakBefore w:val="0"/>
                    <w:kinsoku/>
                    <w:wordWrap/>
                    <w:overflowPunct/>
                    <w:topLinePunct w:val="0"/>
                    <w:bidi w:val="0"/>
                    <w:jc w:val="center"/>
                    <w:rPr>
                      <w:rFonts w:ascii="Times New Roman" w:hAnsi="Times New Roman" w:cs="Times New Roman"/>
                      <w:color w:val="auto"/>
                      <w:sz w:val="21"/>
                      <w:szCs w:val="21"/>
                      <w:lang w:eastAsia="zh-CN"/>
                    </w:rPr>
                  </w:pPr>
                  <w:r>
                    <w:rPr>
                      <w:rFonts w:ascii="Times New Roman" w:hAnsi="Times New Roman" w:cs="Times New Roman"/>
                      <w:color w:val="auto"/>
                      <w:spacing w:val="-5"/>
                      <w:sz w:val="21"/>
                      <w:szCs w:val="21"/>
                      <w:lang w:eastAsia="zh-CN"/>
                    </w:rPr>
                    <w:t>固态</w:t>
                  </w:r>
                </w:p>
              </w:tc>
              <w:tc>
                <w:tcPr>
                  <w:tcW w:w="868" w:type="dxa"/>
                  <w:vAlign w:val="center"/>
                </w:tcPr>
                <w:p>
                  <w:pPr>
                    <w:pStyle w:val="33"/>
                    <w:keepNext w:val="0"/>
                    <w:pageBreakBefore w:val="0"/>
                    <w:kinsoku/>
                    <w:wordWrap/>
                    <w:overflowPunct/>
                    <w:topLinePunct w:val="0"/>
                    <w:bidi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活性炭、乙烯、醋酸乙烯等</w:t>
                  </w:r>
                </w:p>
              </w:tc>
              <w:tc>
                <w:tcPr>
                  <w:tcW w:w="868" w:type="dxa"/>
                  <w:vAlign w:val="center"/>
                </w:tcPr>
                <w:p>
                  <w:pPr>
                    <w:pStyle w:val="33"/>
                    <w:keepNext w:val="0"/>
                    <w:pageBreakBefore w:val="0"/>
                    <w:kinsoku/>
                    <w:wordWrap/>
                    <w:overflowPunct/>
                    <w:topLinePunct w:val="0"/>
                    <w:bidi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吸附的有机物</w:t>
                  </w:r>
                </w:p>
              </w:tc>
              <w:tc>
                <w:tcPr>
                  <w:tcW w:w="641" w:type="dxa"/>
                  <w:vAlign w:val="center"/>
                </w:tcPr>
                <w:p>
                  <w:pPr>
                    <w:pStyle w:val="33"/>
                    <w:keepNext w:val="0"/>
                    <w:pageBreakBefore w:val="0"/>
                    <w:kinsoku/>
                    <w:wordWrap/>
                    <w:overflowPunct/>
                    <w:topLinePunct w:val="0"/>
                    <w:bidi w:val="0"/>
                    <w:jc w:val="center"/>
                    <w:rPr>
                      <w:rFonts w:ascii="Times New Roman" w:hAnsi="Times New Roman" w:eastAsia="Times New Roman" w:cs="Times New Roman"/>
                      <w:color w:val="auto"/>
                      <w:sz w:val="21"/>
                      <w:szCs w:val="21"/>
                      <w:lang w:eastAsia="zh-CN"/>
                    </w:rPr>
                  </w:pPr>
                  <w:r>
                    <w:rPr>
                      <w:rFonts w:hint="eastAsia" w:ascii="Times New Roman" w:hAnsi="Times New Roman" w:eastAsia="Times New Roman" w:cs="Times New Roman"/>
                      <w:color w:val="auto"/>
                      <w:spacing w:val="-13"/>
                      <w:sz w:val="21"/>
                      <w:szCs w:val="21"/>
                      <w:lang w:val="en-US" w:eastAsia="zh-CN"/>
                    </w:rPr>
                    <w:t>2</w:t>
                  </w:r>
                  <w:r>
                    <w:rPr>
                      <w:rFonts w:ascii="Times New Roman" w:hAnsi="Times New Roman" w:cs="Times New Roman"/>
                      <w:color w:val="auto"/>
                      <w:spacing w:val="-13"/>
                      <w:sz w:val="21"/>
                      <w:szCs w:val="21"/>
                      <w:lang w:eastAsia="zh-CN"/>
                    </w:rPr>
                    <w:t>次</w:t>
                  </w:r>
                  <w:r>
                    <w:rPr>
                      <w:rFonts w:ascii="Times New Roman" w:hAnsi="Times New Roman" w:eastAsia="Times New Roman" w:cs="Times New Roman"/>
                      <w:color w:val="auto"/>
                      <w:spacing w:val="4"/>
                      <w:sz w:val="21"/>
                      <w:szCs w:val="21"/>
                      <w:lang w:eastAsia="zh-CN"/>
                    </w:rPr>
                    <w:t>/</w:t>
                  </w:r>
                  <w:r>
                    <w:rPr>
                      <w:rFonts w:hint="eastAsia" w:ascii="Times New Roman" w:hAnsi="Times New Roman" w:cs="Times New Roman"/>
                      <w:color w:val="auto"/>
                      <w:spacing w:val="4"/>
                      <w:sz w:val="21"/>
                      <w:szCs w:val="21"/>
                      <w:lang w:eastAsia="zh-CN"/>
                    </w:rPr>
                    <w:t>30</w:t>
                  </w:r>
                  <w:r>
                    <w:rPr>
                      <w:rFonts w:ascii="Times New Roman" w:hAnsi="Times New Roman" w:eastAsia="Times New Roman" w:cs="Times New Roman"/>
                      <w:color w:val="auto"/>
                      <w:spacing w:val="4"/>
                      <w:sz w:val="21"/>
                      <w:szCs w:val="21"/>
                      <w:lang w:eastAsia="zh-CN"/>
                    </w:rPr>
                    <w:t>0d</w:t>
                  </w:r>
                </w:p>
              </w:tc>
              <w:tc>
                <w:tcPr>
                  <w:tcW w:w="642" w:type="dxa"/>
                  <w:vAlign w:val="center"/>
                </w:tcPr>
                <w:p>
                  <w:pPr>
                    <w:keepNext w:val="0"/>
                    <w:pageBreakBefore w:val="0"/>
                    <w:kinsoku/>
                    <w:wordWrap/>
                    <w:overflowPunct/>
                    <w:topLinePunct w:val="0"/>
                    <w:bidi w:val="0"/>
                    <w:jc w:val="center"/>
                    <w:rPr>
                      <w:rFonts w:eastAsia="Times New Roman"/>
                      <w:color w:val="auto"/>
                      <w:sz w:val="21"/>
                      <w:szCs w:val="21"/>
                    </w:rPr>
                  </w:pPr>
                  <w:r>
                    <w:rPr>
                      <w:rFonts w:eastAsia="Times New Roman"/>
                      <w:color w:val="auto"/>
                      <w:spacing w:val="4"/>
                      <w:sz w:val="21"/>
                      <w:szCs w:val="21"/>
                    </w:rPr>
                    <w:t>T</w:t>
                  </w:r>
                </w:p>
              </w:tc>
              <w:tc>
                <w:tcPr>
                  <w:tcW w:w="1330" w:type="dxa"/>
                  <w:vMerge w:val="continue"/>
                  <w:vAlign w:val="center"/>
                </w:tcPr>
                <w:p>
                  <w:pPr>
                    <w:keepNext w:val="0"/>
                    <w:pageBreakBefore w:val="0"/>
                    <w:kinsoku/>
                    <w:wordWrap/>
                    <w:overflowPunct/>
                    <w:topLinePunct w:val="0"/>
                    <w:bidi w:val="0"/>
                    <w:jc w:val="center"/>
                    <w:rPr>
                      <w:color w:val="auto"/>
                      <w:sz w:val="21"/>
                      <w:szCs w:val="21"/>
                    </w:rPr>
                  </w:pPr>
                </w:p>
              </w:tc>
            </w:tr>
          </w:tbl>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rFonts w:hint="eastAsia"/>
                <w:b w:val="0"/>
                <w:bCs w:val="0"/>
                <w:color w:val="auto"/>
                <w:u w:val="none"/>
              </w:rPr>
              <w:t>（4）工程固体废物处置措施及环境管理要求</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rFonts w:hint="eastAsia"/>
                <w:b w:val="0"/>
                <w:bCs w:val="0"/>
                <w:color w:val="auto"/>
                <w:u w:val="none"/>
              </w:rPr>
              <w:t>①</w:t>
            </w:r>
            <w:r>
              <w:rPr>
                <w:b w:val="0"/>
                <w:bCs w:val="0"/>
                <w:color w:val="auto"/>
                <w:u w:val="none"/>
              </w:rPr>
              <w:t>一般工业固废</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项目生产过程产生的一般固废分类收集后，暂存于一般固废暂存区，定期外售或综合利用，不会对周围环境造成不良影响。</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针对各类固废性质，通过以上相应资源化、减量化、无害化处理措施后，项目固体废物可得到有效处理，对周围环境的影响较小。建立工业固体废物管理台账，如实记录产生工业固体废物的种类、数量、流向等信息。项目固体废物防治措施可行，不会对周围环境造成二次污染。</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rFonts w:hint="eastAsia"/>
                <w:b w:val="0"/>
                <w:bCs w:val="0"/>
                <w:color w:val="auto"/>
                <w:u w:val="none"/>
                <w:lang w:val="en-US" w:eastAsia="zh-CN"/>
              </w:rPr>
              <w:t>②</w:t>
            </w:r>
            <w:r>
              <w:rPr>
                <w:b w:val="0"/>
                <w:bCs w:val="0"/>
                <w:color w:val="auto"/>
                <w:u w:val="none"/>
              </w:rPr>
              <w:t>危险废物</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b w:val="0"/>
                <w:bCs w:val="0"/>
                <w:color w:val="auto"/>
                <w:u w:val="none"/>
              </w:rPr>
            </w:pPr>
            <w:r>
              <w:rPr>
                <w:b w:val="0"/>
                <w:bCs w:val="0"/>
                <w:color w:val="auto"/>
                <w:u w:val="none"/>
              </w:rPr>
              <w:t>项目产生的危险废物集中收后暂存于危废暂存间。评价建议建设单位在厂房</w:t>
            </w:r>
            <w:r>
              <w:rPr>
                <w:rFonts w:hint="eastAsia"/>
                <w:b w:val="0"/>
                <w:bCs w:val="0"/>
                <w:color w:val="auto"/>
                <w:u w:val="none"/>
              </w:rPr>
              <w:t>东</w:t>
            </w:r>
            <w:r>
              <w:rPr>
                <w:b w:val="0"/>
                <w:bCs w:val="0"/>
                <w:color w:val="auto"/>
                <w:u w:val="none"/>
              </w:rPr>
              <w:t>南侧设置1座危废储存间（</w:t>
            </w:r>
            <w:r>
              <w:rPr>
                <w:rFonts w:hint="eastAsia"/>
                <w:b w:val="0"/>
                <w:bCs w:val="0"/>
                <w:color w:val="auto"/>
                <w:u w:val="none"/>
                <w:lang w:val="en-US" w:eastAsia="zh-CN"/>
              </w:rPr>
              <w:t>2</w:t>
            </w:r>
            <w:r>
              <w:rPr>
                <w:b w:val="0"/>
                <w:bCs w:val="0"/>
                <w:color w:val="auto"/>
                <w:u w:val="none"/>
              </w:rPr>
              <w:t>0m</w:t>
            </w:r>
            <w:r>
              <w:rPr>
                <w:b w:val="0"/>
                <w:bCs w:val="0"/>
                <w:color w:val="auto"/>
                <w:u w:val="none"/>
                <w:vertAlign w:val="superscript"/>
              </w:rPr>
              <w:t>2</w:t>
            </w:r>
            <w:r>
              <w:rPr>
                <w:b w:val="0"/>
                <w:bCs w:val="0"/>
                <w:color w:val="auto"/>
                <w:u w:val="none"/>
              </w:rPr>
              <w:t>），按照《危险废物贮存污染控制标准》（GB18597-2023）的规定进行收集，并对危废暂存间、容器和包装物设置危险废物识别标志，其管理应实行从固体废物的产生到处理、处置的全过程监督管理原则，包括对固体废物的产生、收集、运输、利用、贮存、处理、处置等环节，最终委托有资质的危废处置单位进行安全处置。具体如下：</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2" w:firstLineChars="200"/>
              <w:textAlignment w:val="baseline"/>
              <w:rPr>
                <w:rFonts w:hint="default" w:ascii="Times New Roman" w:hAnsi="Times New Roman" w:eastAsia="宋体" w:cs="Times New Roman"/>
                <w:b/>
                <w:bCs/>
                <w:color w:val="auto"/>
                <w:sz w:val="24"/>
                <w:szCs w:val="22"/>
                <w:highlight w:val="none"/>
                <w:u w:val="none"/>
                <w:lang w:val="en-US" w:eastAsia="zh-CN"/>
              </w:rPr>
            </w:pPr>
            <w:r>
              <w:rPr>
                <w:rFonts w:hint="default" w:ascii="Times New Roman" w:hAnsi="Times New Roman" w:eastAsia="宋体" w:cs="Times New Roman"/>
                <w:b/>
                <w:bCs/>
                <w:color w:val="auto"/>
                <w:sz w:val="24"/>
                <w:szCs w:val="22"/>
                <w:highlight w:val="none"/>
                <w:u w:val="none"/>
                <w:lang w:val="en-US" w:eastAsia="zh-CN"/>
              </w:rPr>
              <w:t>危废暂存间</w:t>
            </w:r>
            <w:r>
              <w:rPr>
                <w:rFonts w:hint="default" w:ascii="Times New Roman" w:hAnsi="Times New Roman" w:cs="Times New Roman"/>
                <w:b/>
                <w:bCs/>
                <w:color w:val="auto"/>
                <w:sz w:val="24"/>
                <w:szCs w:val="22"/>
                <w:highlight w:val="none"/>
                <w:u w:val="none"/>
                <w:lang w:val="en-US" w:eastAsia="zh-CN"/>
              </w:rPr>
              <w:t>环境</w:t>
            </w:r>
            <w:r>
              <w:rPr>
                <w:rFonts w:hint="default" w:ascii="Times New Roman" w:hAnsi="Times New Roman" w:eastAsia="宋体" w:cs="Times New Roman"/>
                <w:b/>
                <w:bCs/>
                <w:color w:val="auto"/>
                <w:sz w:val="24"/>
                <w:szCs w:val="22"/>
                <w:highlight w:val="none"/>
                <w:u w:val="none"/>
                <w:lang w:val="en-US" w:eastAsia="zh-CN"/>
              </w:rPr>
              <w:t>管理要求</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2" w:firstLineChars="200"/>
              <w:textAlignment w:val="baseline"/>
              <w:rPr>
                <w:rFonts w:hint="default" w:ascii="Times New Roman" w:hAnsi="Times New Roman" w:eastAsia="宋体" w:cs="Times New Roman"/>
                <w:b/>
                <w:bCs/>
                <w:color w:val="auto"/>
                <w:sz w:val="24"/>
                <w:szCs w:val="22"/>
                <w:highlight w:val="none"/>
                <w:u w:val="single"/>
                <w:lang w:val="en-US" w:eastAsia="zh-CN"/>
              </w:rPr>
            </w:pPr>
            <w:r>
              <w:rPr>
                <w:rFonts w:hint="default" w:ascii="Times New Roman" w:hAnsi="Times New Roman" w:eastAsia="宋体" w:cs="Times New Roman"/>
                <w:b/>
                <w:bCs/>
                <w:color w:val="auto"/>
                <w:sz w:val="24"/>
                <w:szCs w:val="22"/>
                <w:highlight w:val="none"/>
                <w:u w:val="single"/>
                <w:lang w:val="en-US" w:eastAsia="zh-CN"/>
              </w:rPr>
              <w:t>（1）危废暂存间环保管理要求</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2" w:firstLineChars="200"/>
              <w:textAlignment w:val="baseline"/>
              <w:rPr>
                <w:rFonts w:hint="default" w:ascii="Times New Roman" w:hAnsi="Times New Roman" w:eastAsia="宋体" w:cs="Times New Roman"/>
                <w:b/>
                <w:bCs/>
                <w:color w:val="auto"/>
                <w:sz w:val="24"/>
                <w:szCs w:val="22"/>
                <w:highlight w:val="none"/>
                <w:u w:val="single"/>
                <w:lang w:val="en-US" w:eastAsia="zh-CN"/>
              </w:rPr>
            </w:pPr>
            <w:r>
              <w:rPr>
                <w:rFonts w:hint="default" w:ascii="Times New Roman" w:hAnsi="Times New Roman" w:eastAsia="宋体" w:cs="Times New Roman"/>
                <w:b/>
                <w:bCs/>
                <w:color w:val="auto"/>
                <w:sz w:val="24"/>
                <w:szCs w:val="22"/>
                <w:highlight w:val="none"/>
                <w:u w:val="single"/>
                <w:lang w:val="en-US" w:eastAsia="zh-CN"/>
              </w:rPr>
              <w:t>本项目</w:t>
            </w:r>
            <w:r>
              <w:rPr>
                <w:rFonts w:hint="default" w:ascii="Times New Roman" w:hAnsi="Times New Roman" w:cs="Times New Roman"/>
                <w:b/>
                <w:bCs/>
                <w:color w:val="auto"/>
                <w:sz w:val="24"/>
                <w:szCs w:val="22"/>
                <w:highlight w:val="none"/>
                <w:u w:val="single"/>
                <w:lang w:val="en-US" w:eastAsia="zh-CN"/>
              </w:rPr>
              <w:t>建设</w:t>
            </w:r>
            <w:r>
              <w:rPr>
                <w:rFonts w:hint="default" w:ascii="Times New Roman" w:hAnsi="Times New Roman" w:eastAsia="宋体" w:cs="Times New Roman"/>
                <w:b/>
                <w:bCs/>
                <w:color w:val="auto"/>
                <w:sz w:val="24"/>
                <w:szCs w:val="22"/>
                <w:highlight w:val="none"/>
                <w:u w:val="single"/>
                <w:lang w:val="en-US" w:eastAsia="zh-CN"/>
              </w:rPr>
              <w:t>1座危险废物暂存间，建筑面积</w:t>
            </w:r>
            <w:r>
              <w:rPr>
                <w:rFonts w:hint="eastAsia" w:cs="Times New Roman"/>
                <w:b/>
                <w:bCs/>
                <w:color w:val="auto"/>
                <w:sz w:val="24"/>
                <w:szCs w:val="22"/>
                <w:highlight w:val="none"/>
                <w:u w:val="single"/>
                <w:lang w:val="en-US" w:eastAsia="zh-CN"/>
              </w:rPr>
              <w:t>10</w:t>
            </w:r>
            <w:r>
              <w:rPr>
                <w:rFonts w:hint="default" w:ascii="Times New Roman" w:hAnsi="Times New Roman" w:eastAsia="宋体" w:cs="Times New Roman"/>
                <w:b/>
                <w:bCs/>
                <w:color w:val="auto"/>
                <w:sz w:val="24"/>
                <w:szCs w:val="22"/>
                <w:highlight w:val="none"/>
                <w:u w:val="single"/>
                <w:lang w:val="en-US" w:eastAsia="zh-CN"/>
              </w:rPr>
              <w:t>m</w:t>
            </w:r>
            <w:r>
              <w:rPr>
                <w:rFonts w:hint="default" w:ascii="Times New Roman" w:hAnsi="Times New Roman" w:eastAsia="宋体" w:cs="Times New Roman"/>
                <w:b/>
                <w:bCs/>
                <w:color w:val="auto"/>
                <w:sz w:val="24"/>
                <w:szCs w:val="22"/>
                <w:highlight w:val="none"/>
                <w:u w:val="single"/>
                <w:vertAlign w:val="superscript"/>
                <w:lang w:val="en-US" w:eastAsia="zh-CN"/>
              </w:rPr>
              <w:t>2</w:t>
            </w:r>
            <w:r>
              <w:rPr>
                <w:rFonts w:hint="default" w:ascii="Times New Roman" w:hAnsi="Times New Roman" w:eastAsia="宋体" w:cs="Times New Roman"/>
                <w:b/>
                <w:bCs/>
                <w:color w:val="auto"/>
                <w:sz w:val="24"/>
                <w:szCs w:val="22"/>
                <w:highlight w:val="none"/>
                <w:u w:val="single"/>
                <w:lang w:val="en-US" w:eastAsia="zh-CN"/>
              </w:rPr>
              <w:t>。本次评价要求危险废物暂存间满足《危险废物贮存污染控制标准》（GB18597-2023）及《建设项目危险废物环境影响评价指南》（环境保护部公告〔2017〕43号）要求，并按照设置警示标志、张贴标准规范的危险废物标识和危废信息板、屋内张贴企业《危险废物管理制度》。</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2" w:firstLineChars="200"/>
              <w:textAlignment w:val="baseline"/>
              <w:rPr>
                <w:rFonts w:hint="default" w:ascii="Times New Roman" w:hAnsi="Times New Roman" w:eastAsia="宋体" w:cs="Times New Roman"/>
                <w:b/>
                <w:bCs/>
                <w:color w:val="auto"/>
                <w:sz w:val="24"/>
                <w:szCs w:val="22"/>
                <w:highlight w:val="none"/>
                <w:u w:val="single"/>
                <w:lang w:val="en-US" w:eastAsia="zh-CN"/>
              </w:rPr>
            </w:pPr>
            <w:r>
              <w:rPr>
                <w:rFonts w:hint="default" w:ascii="Times New Roman" w:hAnsi="Times New Roman" w:eastAsia="宋体" w:cs="Times New Roman"/>
                <w:b/>
                <w:bCs/>
                <w:color w:val="auto"/>
                <w:sz w:val="24"/>
                <w:szCs w:val="22"/>
                <w:highlight w:val="none"/>
                <w:u w:val="single"/>
                <w:lang w:val="en-US" w:eastAsia="zh-CN"/>
              </w:rPr>
              <w:t>（1）贮存设施应根据危险废物的形态、物理化学性质、包装形式和污染物迁 移途径，采取必要的防风、防晒、防雨、防漏、防渗、防腐以及其他</w:t>
            </w:r>
            <w:r>
              <w:rPr>
                <w:rFonts w:hint="eastAsia" w:cs="Times New Roman"/>
                <w:b/>
                <w:bCs/>
                <w:color w:val="auto"/>
                <w:sz w:val="24"/>
                <w:szCs w:val="22"/>
                <w:highlight w:val="none"/>
                <w:u w:val="single"/>
                <w:lang w:val="en-US" w:eastAsia="zh-CN"/>
              </w:rPr>
              <w:t>环境污染防治</w:t>
            </w:r>
            <w:r>
              <w:rPr>
                <w:rFonts w:hint="default" w:ascii="Times New Roman" w:hAnsi="Times New Roman" w:eastAsia="宋体" w:cs="Times New Roman"/>
                <w:b/>
                <w:bCs/>
                <w:color w:val="auto"/>
                <w:sz w:val="24"/>
                <w:szCs w:val="22"/>
                <w:highlight w:val="none"/>
                <w:u w:val="single"/>
                <w:lang w:val="en-US" w:eastAsia="zh-CN"/>
              </w:rPr>
              <w:t>措施，不应露天堆放危险废物。</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2" w:firstLineChars="200"/>
              <w:textAlignment w:val="baseline"/>
              <w:rPr>
                <w:rFonts w:hint="default" w:ascii="Times New Roman" w:hAnsi="Times New Roman" w:eastAsia="宋体" w:cs="Times New Roman"/>
                <w:b/>
                <w:bCs/>
                <w:color w:val="auto"/>
                <w:sz w:val="24"/>
                <w:szCs w:val="22"/>
                <w:highlight w:val="none"/>
                <w:u w:val="single"/>
                <w:lang w:val="en-US" w:eastAsia="zh-CN"/>
              </w:rPr>
            </w:pPr>
            <w:r>
              <w:rPr>
                <w:rFonts w:hint="default" w:ascii="Times New Roman" w:hAnsi="Times New Roman" w:eastAsia="宋体" w:cs="Times New Roman"/>
                <w:b/>
                <w:bCs/>
                <w:color w:val="auto"/>
                <w:sz w:val="24"/>
                <w:szCs w:val="22"/>
                <w:highlight w:val="none"/>
                <w:u w:val="single"/>
                <w:lang w:val="en-US" w:eastAsia="zh-CN"/>
              </w:rPr>
              <w:t>（2）贮存设施应根据危险废物的类别、数量、形态、物理化学性质和污染防治等要求设置必要的贮存分区，避免不相容的危险废物接触、混合。</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2" w:firstLineChars="200"/>
              <w:textAlignment w:val="baseline"/>
              <w:rPr>
                <w:rFonts w:hint="default" w:ascii="Times New Roman" w:hAnsi="Times New Roman" w:eastAsia="宋体" w:cs="Times New Roman"/>
                <w:b/>
                <w:bCs/>
                <w:color w:val="auto"/>
                <w:sz w:val="24"/>
                <w:szCs w:val="22"/>
                <w:highlight w:val="none"/>
                <w:u w:val="single"/>
                <w:lang w:val="en-US" w:eastAsia="zh-CN"/>
              </w:rPr>
            </w:pPr>
            <w:r>
              <w:rPr>
                <w:rFonts w:hint="default" w:ascii="Times New Roman" w:hAnsi="Times New Roman" w:eastAsia="宋体" w:cs="Times New Roman"/>
                <w:b/>
                <w:bCs/>
                <w:color w:val="auto"/>
                <w:sz w:val="24"/>
                <w:szCs w:val="22"/>
                <w:highlight w:val="none"/>
                <w:u w:val="single"/>
                <w:lang w:val="en-US" w:eastAsia="zh-CN"/>
              </w:rPr>
              <w:t>（3）贮存设施或贮存分区内地面、墙面</w:t>
            </w:r>
            <w:r>
              <w:rPr>
                <w:rFonts w:hint="eastAsia" w:cs="Times New Roman"/>
                <w:b/>
                <w:bCs/>
                <w:color w:val="auto"/>
                <w:sz w:val="24"/>
                <w:szCs w:val="22"/>
                <w:highlight w:val="none"/>
                <w:u w:val="single"/>
                <w:lang w:val="en-US" w:eastAsia="zh-CN"/>
              </w:rPr>
              <w:t>裙角</w:t>
            </w:r>
            <w:r>
              <w:rPr>
                <w:rFonts w:hint="default" w:ascii="Times New Roman" w:hAnsi="Times New Roman" w:eastAsia="宋体" w:cs="Times New Roman"/>
                <w:b/>
                <w:bCs/>
                <w:color w:val="auto"/>
                <w:sz w:val="24"/>
                <w:szCs w:val="22"/>
                <w:highlight w:val="none"/>
                <w:u w:val="single"/>
                <w:lang w:val="en-US" w:eastAsia="zh-CN"/>
              </w:rPr>
              <w:t>、堵截泄漏的围堰、接触危险废 物的隔板和墙体等应采用坚固的材料建造，表面无裂缝。</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2" w:firstLineChars="200"/>
              <w:textAlignment w:val="baseline"/>
              <w:rPr>
                <w:rFonts w:hint="default" w:ascii="Times New Roman" w:hAnsi="Times New Roman" w:eastAsia="宋体" w:cs="Times New Roman"/>
                <w:b/>
                <w:bCs/>
                <w:color w:val="auto"/>
                <w:sz w:val="24"/>
                <w:szCs w:val="22"/>
                <w:highlight w:val="none"/>
                <w:u w:val="single"/>
                <w:lang w:val="en-US" w:eastAsia="zh-CN"/>
              </w:rPr>
            </w:pPr>
            <w:r>
              <w:rPr>
                <w:rFonts w:hint="default" w:ascii="Times New Roman" w:hAnsi="Times New Roman" w:eastAsia="宋体" w:cs="Times New Roman"/>
                <w:b/>
                <w:bCs/>
                <w:color w:val="auto"/>
                <w:sz w:val="24"/>
                <w:szCs w:val="22"/>
                <w:highlight w:val="none"/>
                <w:u w:val="single"/>
                <w:lang w:val="en-US" w:eastAsia="zh-CN"/>
              </w:rPr>
              <w:t>（4）贮存设施地面与裙脚应采取表面防渗措施；表面防渗材料应与所接触的  物料或污染物相容，可采用抗渗混凝土、高密度聚乙烯膜、钠基膨润土防水毯或  其他防渗性能等效的材料。贮存的危险废物直接接触地面的，还应进行基础防渗， 防渗层为至少 1m 厚黏土层（渗透系数不大于 10-7cm/s），或至少 2mm 厚高密度  聚乙烯膜等人工防渗材料（渗透系数不大于 10-10cm/s），或其他防渗性能等效的  材料。</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2" w:firstLineChars="200"/>
              <w:textAlignment w:val="baseline"/>
              <w:rPr>
                <w:rFonts w:hint="default" w:ascii="Times New Roman" w:hAnsi="Times New Roman" w:eastAsia="宋体" w:cs="Times New Roman"/>
                <w:b/>
                <w:bCs/>
                <w:color w:val="auto"/>
                <w:sz w:val="24"/>
                <w:szCs w:val="22"/>
                <w:highlight w:val="none"/>
                <w:u w:val="single"/>
                <w:lang w:val="en-US" w:eastAsia="zh-CN"/>
              </w:rPr>
            </w:pPr>
            <w:r>
              <w:rPr>
                <w:rFonts w:hint="default" w:ascii="Times New Roman" w:hAnsi="Times New Roman" w:eastAsia="宋体" w:cs="Times New Roman"/>
                <w:b/>
                <w:bCs/>
                <w:color w:val="auto"/>
                <w:sz w:val="24"/>
                <w:szCs w:val="22"/>
                <w:highlight w:val="none"/>
                <w:u w:val="single"/>
                <w:lang w:val="en-US" w:eastAsia="zh-CN"/>
              </w:rPr>
              <w:t>（5）同一贮存设施宜采用相同的防渗、防腐工艺（包括防渗、防腐结构或材 料），防渗、防腐材料应覆盖所有可能与废物及其渗滤液、渗漏液等接触的构筑 物表面；采用不同防渗、防腐工艺应分别建设贮存分区。</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2" w:firstLineChars="200"/>
              <w:textAlignment w:val="baseline"/>
              <w:rPr>
                <w:rFonts w:hint="default" w:ascii="Times New Roman" w:hAnsi="Times New Roman" w:eastAsia="宋体" w:cs="Times New Roman"/>
                <w:b/>
                <w:bCs/>
                <w:color w:val="auto"/>
                <w:sz w:val="24"/>
                <w:szCs w:val="22"/>
                <w:highlight w:val="none"/>
                <w:u w:val="single"/>
                <w:lang w:val="en-US" w:eastAsia="zh-CN"/>
              </w:rPr>
            </w:pPr>
            <w:r>
              <w:rPr>
                <w:rFonts w:hint="default" w:ascii="Times New Roman" w:hAnsi="Times New Roman" w:eastAsia="宋体" w:cs="Times New Roman"/>
                <w:b/>
                <w:bCs/>
                <w:color w:val="auto"/>
                <w:sz w:val="24"/>
                <w:szCs w:val="22"/>
                <w:highlight w:val="none"/>
                <w:u w:val="single"/>
                <w:lang w:val="en-US" w:eastAsia="zh-CN"/>
              </w:rPr>
              <w:t>（6）贮存设施应采取技术和管理措施防止无关人员进入。</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leftChars="0" w:firstLine="480" w:firstLineChars="200"/>
              <w:textAlignment w:val="baseline"/>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（2）</w:t>
            </w:r>
            <w:r>
              <w:rPr>
                <w:rFonts w:hint="eastAsia" w:ascii="Times New Roman" w:hAnsi="Times New Roman" w:cs="Times New Roman"/>
                <w:b w:val="0"/>
                <w:bCs w:val="0"/>
                <w:color w:val="auto"/>
                <w:sz w:val="24"/>
                <w:szCs w:val="22"/>
                <w:highlight w:val="none"/>
                <w:u w:val="none"/>
                <w:lang w:val="en-US" w:eastAsia="zh-CN"/>
              </w:rPr>
              <w:t>危险</w:t>
            </w:r>
            <w:r>
              <w:rPr>
                <w:rFonts w:hint="default" w:ascii="Times New Roman" w:hAnsi="Times New Roman" w:eastAsia="宋体" w:cs="Times New Roman"/>
                <w:b w:val="0"/>
                <w:bCs w:val="0"/>
                <w:color w:val="auto"/>
                <w:sz w:val="24"/>
                <w:szCs w:val="22"/>
                <w:highlight w:val="none"/>
                <w:u w:val="none"/>
                <w:lang w:val="en-US" w:eastAsia="zh-CN"/>
              </w:rPr>
              <w:t>废物收集管理要求</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eastAsia" w:cs="Times New Roman"/>
                <w:b w:val="0"/>
                <w:bCs w:val="0"/>
                <w:color w:val="auto"/>
                <w:sz w:val="24"/>
                <w:highlight w:val="none"/>
                <w:u w:val="none"/>
                <w:lang w:val="en-US" w:eastAsia="zh-CN"/>
              </w:rPr>
              <w:t>①</w:t>
            </w:r>
            <w:r>
              <w:rPr>
                <w:rFonts w:hint="default" w:ascii="Times New Roman" w:hAnsi="Times New Roman" w:eastAsia="宋体" w:cs="Times New Roman"/>
                <w:b w:val="0"/>
                <w:bCs w:val="0"/>
                <w:color w:val="auto"/>
                <w:sz w:val="24"/>
                <w:highlight w:val="none"/>
                <w:u w:val="none"/>
              </w:rPr>
              <w:t>贮存场所必须符合《危险废弃物贮存污染控制标准》（GB18597-2023）的规定，必须有符合要求的专用标志、警示、标签。</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eastAsia" w:cs="Times New Roman"/>
                <w:b w:val="0"/>
                <w:bCs w:val="0"/>
                <w:color w:val="auto"/>
                <w:sz w:val="24"/>
                <w:highlight w:val="none"/>
                <w:u w:val="none"/>
                <w:lang w:val="en-US" w:eastAsia="zh-CN"/>
              </w:rPr>
              <w:t>②</w:t>
            </w:r>
            <w:r>
              <w:rPr>
                <w:rFonts w:hint="default" w:ascii="Times New Roman" w:hAnsi="Times New Roman" w:eastAsia="宋体" w:cs="Times New Roman"/>
                <w:b w:val="0"/>
                <w:bCs w:val="0"/>
                <w:color w:val="auto"/>
                <w:sz w:val="24"/>
                <w:highlight w:val="none"/>
                <w:u w:val="none"/>
              </w:rPr>
              <w:t>贮存场所内危险废物应分类存放。储存区、道路应分区明显。</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eastAsia" w:cs="Times New Roman"/>
                <w:b w:val="0"/>
                <w:bCs w:val="0"/>
                <w:color w:val="auto"/>
                <w:sz w:val="24"/>
                <w:highlight w:val="none"/>
                <w:u w:val="none"/>
                <w:lang w:val="en-US" w:eastAsia="zh-CN"/>
              </w:rPr>
              <w:t>③</w:t>
            </w:r>
            <w:r>
              <w:rPr>
                <w:rFonts w:hint="default" w:ascii="Times New Roman" w:hAnsi="Times New Roman" w:eastAsia="宋体" w:cs="Times New Roman"/>
                <w:b w:val="0"/>
                <w:bCs w:val="0"/>
                <w:color w:val="auto"/>
                <w:sz w:val="24"/>
                <w:highlight w:val="none"/>
                <w:u w:val="none"/>
              </w:rPr>
              <w:t>存场点应防风、防雨、防晒、防止危险废物流失、扬散等措施。</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eastAsia" w:cs="Times New Roman"/>
                <w:b w:val="0"/>
                <w:bCs w:val="0"/>
                <w:color w:val="auto"/>
                <w:sz w:val="24"/>
                <w:highlight w:val="none"/>
                <w:u w:val="none"/>
                <w:lang w:val="en-US" w:eastAsia="zh-CN"/>
              </w:rPr>
              <w:t>④</w:t>
            </w:r>
            <w:r>
              <w:rPr>
                <w:rFonts w:hint="default" w:ascii="Times New Roman" w:hAnsi="Times New Roman" w:eastAsia="宋体" w:cs="Times New Roman"/>
                <w:b w:val="0"/>
                <w:bCs w:val="0"/>
                <w:color w:val="auto"/>
                <w:sz w:val="24"/>
                <w:highlight w:val="none"/>
                <w:u w:val="none"/>
              </w:rPr>
              <w:t>危险废物应置于容器或包装物中，不应直接散堆。项目</w:t>
            </w:r>
            <w:r>
              <w:rPr>
                <w:rFonts w:hint="default" w:ascii="Times New Roman" w:hAnsi="Times New Roman" w:eastAsia="宋体" w:cs="Times New Roman"/>
                <w:b w:val="0"/>
                <w:bCs w:val="0"/>
                <w:color w:val="auto"/>
                <w:sz w:val="24"/>
                <w:highlight w:val="none"/>
                <w:u w:val="none"/>
                <w:lang w:val="en-US" w:eastAsia="zh-CN"/>
              </w:rPr>
              <w:t>废润滑油</w:t>
            </w:r>
            <w:r>
              <w:rPr>
                <w:rFonts w:hint="eastAsia" w:cs="Times New Roman"/>
                <w:b w:val="0"/>
                <w:bCs w:val="0"/>
                <w:color w:val="auto"/>
                <w:sz w:val="24"/>
                <w:highlight w:val="none"/>
                <w:u w:val="none"/>
                <w:lang w:val="en-US" w:eastAsia="zh-CN"/>
              </w:rPr>
              <w:t>桶</w:t>
            </w:r>
            <w:r>
              <w:rPr>
                <w:rFonts w:hint="default" w:ascii="Times New Roman" w:hAnsi="Times New Roman" w:eastAsia="宋体" w:cs="Times New Roman"/>
                <w:b w:val="0"/>
                <w:bCs w:val="0"/>
                <w:color w:val="auto"/>
                <w:sz w:val="24"/>
                <w:highlight w:val="none"/>
                <w:u w:val="none"/>
              </w:rPr>
              <w:t>闭口暂存。</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eastAsia" w:cs="Times New Roman"/>
                <w:b w:val="0"/>
                <w:bCs w:val="0"/>
                <w:color w:val="auto"/>
                <w:sz w:val="24"/>
                <w:highlight w:val="none"/>
                <w:u w:val="none"/>
                <w:lang w:val="en-US" w:eastAsia="zh-CN"/>
              </w:rPr>
              <w:t>⑤</w:t>
            </w:r>
            <w:r>
              <w:rPr>
                <w:rFonts w:hint="default" w:ascii="Times New Roman" w:hAnsi="Times New Roman" w:eastAsia="宋体" w:cs="Times New Roman"/>
                <w:b w:val="0"/>
                <w:bCs w:val="0"/>
                <w:color w:val="auto"/>
                <w:sz w:val="24"/>
                <w:highlight w:val="none"/>
                <w:u w:val="none"/>
              </w:rPr>
              <w:t>贮存点根据危险废物的形态、物理化学性质、包装形式等，采取防渗、防漏等污染防治措施或采用具有相应功能的装置。</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eastAsia" w:cs="Times New Roman"/>
                <w:b w:val="0"/>
                <w:bCs w:val="0"/>
                <w:color w:val="auto"/>
                <w:sz w:val="24"/>
                <w:highlight w:val="none"/>
                <w:u w:val="none"/>
                <w:lang w:val="en-US" w:eastAsia="zh-CN"/>
              </w:rPr>
              <w:t>⑥</w:t>
            </w:r>
            <w:r>
              <w:rPr>
                <w:rFonts w:hint="default" w:ascii="Times New Roman" w:hAnsi="Times New Roman" w:eastAsia="宋体" w:cs="Times New Roman"/>
                <w:b w:val="0"/>
                <w:bCs w:val="0"/>
                <w:color w:val="auto"/>
                <w:sz w:val="24"/>
                <w:highlight w:val="none"/>
                <w:u w:val="none"/>
              </w:rPr>
              <w:t>硬质容器和包装物及其支护结构堆叠码放时不应有明显变形，无破损泄漏；柔性容器和包装物堆叠码放时应封口严密，无破损泄漏。</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eastAsia" w:cs="Times New Roman"/>
                <w:b w:val="0"/>
                <w:bCs w:val="0"/>
                <w:color w:val="auto"/>
                <w:sz w:val="24"/>
                <w:highlight w:val="none"/>
                <w:u w:val="none"/>
                <w:lang w:val="en-US" w:eastAsia="zh-CN"/>
              </w:rPr>
              <w:t>⑦</w:t>
            </w:r>
            <w:r>
              <w:rPr>
                <w:rFonts w:hint="default" w:ascii="Times New Roman" w:hAnsi="Times New Roman" w:eastAsia="宋体" w:cs="Times New Roman"/>
                <w:b w:val="0"/>
                <w:bCs w:val="0"/>
                <w:color w:val="auto"/>
                <w:sz w:val="24"/>
                <w:highlight w:val="none"/>
                <w:u w:val="none"/>
              </w:rPr>
              <w:t>贮存点应及时清运贮存的危险废物。</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eastAsia" w:cs="Times New Roman"/>
                <w:b w:val="0"/>
                <w:bCs w:val="0"/>
                <w:color w:val="auto"/>
                <w:sz w:val="24"/>
                <w:highlight w:val="none"/>
                <w:u w:val="none"/>
                <w:lang w:val="en-US" w:eastAsia="zh-CN"/>
              </w:rPr>
              <w:t>⑧</w:t>
            </w:r>
            <w:r>
              <w:rPr>
                <w:rFonts w:hint="default" w:ascii="Times New Roman" w:hAnsi="Times New Roman" w:eastAsia="宋体" w:cs="Times New Roman"/>
                <w:b w:val="0"/>
                <w:bCs w:val="0"/>
                <w:color w:val="auto"/>
                <w:sz w:val="24"/>
                <w:highlight w:val="none"/>
                <w:u w:val="none"/>
              </w:rPr>
              <w:t>贮存设施所有者或运营者应建立贮存设施环境管理制度、管理人员岗位职责制度、设施运行操作制度、人员岗位培训制度等。</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eastAsia" w:cs="Times New Roman"/>
                <w:b w:val="0"/>
                <w:bCs w:val="0"/>
                <w:color w:val="auto"/>
                <w:sz w:val="24"/>
                <w:highlight w:val="none"/>
                <w:u w:val="none"/>
                <w:lang w:val="en-US" w:eastAsia="zh-CN"/>
              </w:rPr>
              <w:t>⑨</w:t>
            </w:r>
            <w:r>
              <w:rPr>
                <w:rFonts w:hint="default" w:ascii="Times New Roman" w:hAnsi="Times New Roman" w:eastAsia="宋体" w:cs="Times New Roman"/>
                <w:b w:val="0"/>
                <w:bCs w:val="0"/>
                <w:color w:val="auto"/>
                <w:sz w:val="24"/>
                <w:highlight w:val="none"/>
                <w:u w:val="none"/>
              </w:rPr>
              <w:t>定期检查危险废物的贮存状况，及时清理贮存设施地面，更换破损泄漏的危险废物贮存容器和包装物，保证堆存危险废物的防雨、防风、防扬尘等设施功能完好。</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rPr>
            </w:pPr>
            <w:r>
              <w:rPr>
                <w:rFonts w:hint="default" w:ascii="Times New Roman" w:hAnsi="Times New Roman" w:eastAsia="宋体" w:cs="Times New Roman"/>
                <w:b w:val="0"/>
                <w:bCs w:val="0"/>
                <w:color w:val="auto"/>
                <w:sz w:val="24"/>
                <w:highlight w:val="none"/>
                <w:u w:val="none"/>
              </w:rPr>
              <w:t>建设单位按《危险废物转移管理办法》、《危险废物管理计划和管理台账制定技术导则》（HJ1259-2022）、《危险废物转移联单管理办法》等要求，做好项目危险废物转移“五联单”制度，防止非法转移和非法处置，保证危险废物的安全监控，按要求建立危险废物的档案管理制度，建立并做好危险废物台账，记录上须注明危险废物的名称、来源、数量、特性和包装容器的类别等。</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lang w:val="en-US" w:eastAsia="zh-CN"/>
              </w:rPr>
            </w:pPr>
            <w:r>
              <w:rPr>
                <w:rFonts w:hint="default" w:ascii="Times New Roman" w:hAnsi="Times New Roman" w:cs="Times New Roman"/>
                <w:b w:val="0"/>
                <w:bCs w:val="0"/>
                <w:color w:val="auto"/>
                <w:sz w:val="24"/>
                <w:highlight w:val="none"/>
                <w:u w:val="none"/>
                <w:lang w:val="en-US" w:eastAsia="zh-CN"/>
              </w:rPr>
              <w:t>（3）</w:t>
            </w:r>
            <w:r>
              <w:rPr>
                <w:rFonts w:hint="default" w:ascii="Times New Roman" w:hAnsi="Times New Roman" w:eastAsia="宋体" w:cs="Times New Roman"/>
                <w:b w:val="0"/>
                <w:bCs w:val="0"/>
                <w:color w:val="auto"/>
                <w:sz w:val="24"/>
                <w:highlight w:val="none"/>
                <w:u w:val="none"/>
                <w:lang w:val="en-US" w:eastAsia="zh-CN"/>
              </w:rPr>
              <w:t>危险废物运输过程中应严格遵守以下要求：</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lang w:val="en-US" w:eastAsia="zh-CN"/>
              </w:rPr>
            </w:pPr>
            <w:r>
              <w:rPr>
                <w:rFonts w:hint="default" w:ascii="Times New Roman" w:hAnsi="Times New Roman" w:eastAsia="宋体" w:cs="Times New Roman"/>
                <w:b w:val="0"/>
                <w:bCs w:val="0"/>
                <w:color w:val="auto"/>
                <w:sz w:val="24"/>
                <w:highlight w:val="none"/>
                <w:u w:val="none"/>
                <w:lang w:val="en-US" w:eastAsia="zh-CN"/>
              </w:rPr>
              <w:t>①危险废物运输应由持有危险废物经营许可证的单位按照其许可证的经营范围组织实施，承担危险废物运输的单位应获得交通运输部门颁发的危险货物运输资质。</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lang w:val="en-US" w:eastAsia="zh-CN"/>
              </w:rPr>
            </w:pPr>
            <w:r>
              <w:rPr>
                <w:rFonts w:hint="default" w:ascii="Times New Roman" w:hAnsi="Times New Roman" w:eastAsia="宋体" w:cs="Times New Roman"/>
                <w:b w:val="0"/>
                <w:bCs w:val="0"/>
                <w:color w:val="auto"/>
                <w:sz w:val="24"/>
                <w:highlight w:val="none"/>
                <w:u w:val="none"/>
                <w:lang w:val="en-US" w:eastAsia="zh-CN"/>
              </w:rPr>
              <w:t>②运输单位承运危险废物时，应在危险废物包装上按照GB18597附录A设置标志。</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lang w:val="en-US" w:eastAsia="zh-CN"/>
              </w:rPr>
            </w:pPr>
            <w:r>
              <w:rPr>
                <w:rFonts w:hint="default" w:ascii="Times New Roman" w:hAnsi="Times New Roman" w:eastAsia="宋体" w:cs="Times New Roman"/>
                <w:b w:val="0"/>
                <w:bCs w:val="0"/>
                <w:color w:val="auto"/>
                <w:sz w:val="24"/>
                <w:highlight w:val="none"/>
                <w:u w:val="none"/>
                <w:lang w:val="en-US" w:eastAsia="zh-CN"/>
              </w:rPr>
              <w:t>③危险废物公路运输时，运输车辆应按照GB13392设置车辆标志。</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line="520" w:lineRule="exact"/>
              <w:ind w:firstLine="480" w:firstLineChars="200"/>
              <w:textAlignment w:val="baseline"/>
              <w:rPr>
                <w:rFonts w:hint="default" w:ascii="Times New Roman" w:hAnsi="Times New Roman" w:eastAsia="宋体" w:cs="Times New Roman"/>
                <w:b w:val="0"/>
                <w:bCs w:val="0"/>
                <w:color w:val="auto"/>
                <w:sz w:val="24"/>
                <w:highlight w:val="none"/>
                <w:u w:val="none"/>
                <w:lang w:val="en-US" w:eastAsia="zh-CN"/>
              </w:rPr>
            </w:pPr>
            <w:r>
              <w:rPr>
                <w:rFonts w:hint="default" w:ascii="Times New Roman" w:hAnsi="Times New Roman" w:eastAsia="宋体" w:cs="Times New Roman"/>
                <w:b w:val="0"/>
                <w:bCs w:val="0"/>
                <w:color w:val="auto"/>
                <w:sz w:val="24"/>
                <w:highlight w:val="none"/>
                <w:u w:val="none"/>
                <w:lang w:val="en-US" w:eastAsia="zh-CN"/>
              </w:rPr>
              <w:t>在收集、贮存、运输、处置等环节均按照《危险废物贮存污染控制标准》（GB18597-2023）及《建设项目危险废物环境影响评价指南》（环境保护部公告〔2017〕43号）要求严格落实后，能够安全、妥善处置，对周围环境影响较小。</w:t>
            </w:r>
          </w:p>
          <w:p>
            <w:pPr>
              <w:pStyle w:val="33"/>
              <w:keepNext w:val="0"/>
              <w:pageBreakBefore w:val="0"/>
              <w:kinsoku/>
              <w:wordWrap/>
              <w:overflowPunct/>
              <w:topLinePunct w:val="0"/>
              <w:bidi w:val="0"/>
              <w:spacing w:before="193" w:line="220" w:lineRule="auto"/>
              <w:ind w:left="104"/>
              <w:rPr>
                <w:rFonts w:ascii="Times New Roman" w:hAnsi="Times New Roman" w:cs="Times New Roman"/>
                <w:b/>
                <w:bCs/>
                <w:color w:val="auto"/>
                <w:spacing w:val="-4"/>
                <w:lang w:eastAsia="zh-CN"/>
              </w:rPr>
            </w:pPr>
            <w:r>
              <w:rPr>
                <w:rFonts w:ascii="Times New Roman" w:hAnsi="Times New Roman" w:cs="Times New Roman"/>
                <w:b/>
                <w:bCs/>
                <w:color w:val="auto"/>
                <w:spacing w:val="-4"/>
                <w:lang w:eastAsia="zh-CN"/>
              </w:rPr>
              <w:t>5、土壤及地下水</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rFonts w:hint="eastAsia"/>
                <w:color w:val="auto"/>
              </w:rPr>
              <w:t>根据《环境影响评价技术导则—土壤环境（试行）》（HJ964-2018）附录A，本项目家具制造属于制造业中“其他用品制造”中的</w:t>
            </w:r>
            <w:r>
              <w:rPr>
                <w:rFonts w:hint="eastAsia"/>
                <w:color w:val="auto"/>
                <w:lang w:val="en-US"/>
              </w:rPr>
              <w:t>其他类</w:t>
            </w:r>
            <w:r>
              <w:rPr>
                <w:rFonts w:hint="eastAsia"/>
                <w:color w:val="auto"/>
              </w:rPr>
              <w:t>，属于</w:t>
            </w:r>
            <w:r>
              <w:rPr>
                <w:rFonts w:hint="eastAsia"/>
                <w:color w:val="auto"/>
                <w:lang w:val="en-US"/>
              </w:rPr>
              <w:t>Ⅲ</w:t>
            </w:r>
            <w:r>
              <w:rPr>
                <w:rFonts w:hint="eastAsia"/>
                <w:color w:val="auto"/>
              </w:rPr>
              <w:t>类项目。项目占地面积</w:t>
            </w:r>
            <w:r>
              <w:rPr>
                <w:rFonts w:hint="eastAsia"/>
                <w:color w:val="auto"/>
                <w:lang w:val="en-US"/>
              </w:rPr>
              <w:t>98</w:t>
            </w:r>
            <w:r>
              <w:rPr>
                <w:rFonts w:hint="eastAsia"/>
                <w:color w:val="auto"/>
              </w:rPr>
              <w:t>00</w:t>
            </w:r>
            <w:r>
              <w:rPr>
                <w:color w:val="auto"/>
              </w:rPr>
              <w:t>m</w:t>
            </w:r>
            <w:r>
              <w:rPr>
                <w:color w:val="auto"/>
                <w:vertAlign w:val="superscript"/>
              </w:rPr>
              <w:t>2</w:t>
            </w:r>
            <w:r>
              <w:rPr>
                <w:rFonts w:hint="eastAsia"/>
                <w:color w:val="auto"/>
              </w:rPr>
              <w:t>，占地属于小型，且不敏感，故</w:t>
            </w:r>
            <w:r>
              <w:rPr>
                <w:rFonts w:hint="eastAsia"/>
                <w:color w:val="auto"/>
                <w:lang w:val="en-US"/>
              </w:rPr>
              <w:t>无需进行土壤</w:t>
            </w:r>
            <w:r>
              <w:rPr>
                <w:rFonts w:hint="eastAsia"/>
                <w:color w:val="auto"/>
              </w:rPr>
              <w:t>评价。</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color w:val="auto"/>
              </w:rPr>
            </w:pPr>
            <w:r>
              <w:rPr>
                <w:rFonts w:hint="eastAsia"/>
                <w:color w:val="auto"/>
              </w:rPr>
              <w:t>根据《环境影响评价技术导则 地下水环境》（HJ610-2016）的附录A地下水环境影响评价行业分类表对本项目类别进行判别，本项目属于附录A中“N轻工-109、锯材、木片加工、家具制造”的报告表项目，属于Ⅳ类项目</w:t>
            </w:r>
            <w:r>
              <w:rPr>
                <w:rFonts w:hint="eastAsia"/>
                <w:color w:val="auto"/>
                <w:lang w:eastAsia="zh-CN"/>
              </w:rPr>
              <w:t>，</w:t>
            </w:r>
            <w:r>
              <w:rPr>
                <w:rFonts w:hint="eastAsia"/>
                <w:color w:val="auto"/>
              </w:rPr>
              <w:t>无需进行地下水评价。</w:t>
            </w:r>
          </w:p>
          <w:p>
            <w:pPr>
              <w:keepNext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eastAsia="宋体"/>
                <w:color w:val="auto"/>
                <w:lang w:val="en-US" w:eastAsia="zh-CN"/>
              </w:rPr>
            </w:pPr>
            <w:r>
              <w:rPr>
                <w:rFonts w:hint="eastAsia"/>
                <w:color w:val="auto"/>
                <w:lang w:val="en-US" w:eastAsia="zh-CN"/>
              </w:rPr>
              <w:t>项目生活污水经厂区化粪池处理达标后排入市政污水管网，进入清丰中州水务有限公司第二污水处理厂，处理后排入潴泷河。同时，本项目营运期废气收集后经废气处理设施处理后达标排放，排放量较少，通过大气沉降途径对土壤环境的影响极小。另外，本项目危废仓库按照《危险废物贮存污染控制标准》(GB18597-2023中的规定采取了防风、防雨、防晒、防渗漏措施。因此，本项目不会对周围地下水、土壤产生不利影响。</w:t>
            </w:r>
          </w:p>
          <w:p>
            <w:pPr>
              <w:pStyle w:val="33"/>
              <w:keepNext w:val="0"/>
              <w:pageBreakBefore w:val="0"/>
              <w:kinsoku/>
              <w:wordWrap/>
              <w:overflowPunct/>
              <w:topLinePunct w:val="0"/>
              <w:bidi w:val="0"/>
              <w:spacing w:before="193" w:line="220" w:lineRule="auto"/>
              <w:ind w:left="104"/>
              <w:rPr>
                <w:rFonts w:ascii="Times New Roman" w:hAnsi="Times New Roman" w:cs="Times New Roman"/>
                <w:color w:val="auto"/>
                <w:lang w:eastAsia="zh-CN"/>
              </w:rPr>
            </w:pPr>
            <w:r>
              <w:rPr>
                <w:rFonts w:ascii="Times New Roman" w:hAnsi="Times New Roman" w:cs="Times New Roman"/>
                <w:b/>
                <w:bCs/>
                <w:color w:val="auto"/>
                <w:spacing w:val="-4"/>
                <w:lang w:eastAsia="zh-CN"/>
              </w:rPr>
              <w:t>6、环境风险</w:t>
            </w:r>
          </w:p>
          <w:p>
            <w:pPr>
              <w:pStyle w:val="33"/>
              <w:keepNext w:val="0"/>
              <w:pageBreakBefore w:val="0"/>
              <w:kinsoku/>
              <w:wordWrap/>
              <w:overflowPunct/>
              <w:topLinePunct w:val="0"/>
              <w:bidi w:val="0"/>
              <w:spacing w:before="215" w:line="354" w:lineRule="auto"/>
              <w:ind w:left="102" w:right="97" w:firstLine="465"/>
              <w:rPr>
                <w:rFonts w:ascii="Times New Roman" w:hAnsi="Times New Roman" w:cs="Times New Roman"/>
                <w:color w:val="auto"/>
                <w:lang w:eastAsia="zh-CN"/>
              </w:rPr>
            </w:pPr>
            <w:r>
              <w:rPr>
                <w:rFonts w:ascii="Times New Roman" w:hAnsi="Times New Roman" w:cs="Times New Roman"/>
                <w:color w:val="auto"/>
                <w:spacing w:val="-2"/>
                <w:lang w:eastAsia="zh-CN"/>
              </w:rPr>
              <w:t>依据《建设项目环境风险评价技术导则》（</w:t>
            </w:r>
            <w:r>
              <w:rPr>
                <w:rFonts w:ascii="Times New Roman" w:hAnsi="Times New Roman" w:eastAsia="Times New Roman" w:cs="Times New Roman"/>
                <w:color w:val="auto"/>
                <w:spacing w:val="-2"/>
                <w:lang w:eastAsia="zh-CN"/>
              </w:rPr>
              <w:t>HJ169-2018</w:t>
            </w:r>
            <w:r>
              <w:rPr>
                <w:rFonts w:ascii="Times New Roman" w:hAnsi="Times New Roman" w:cs="Times New Roman"/>
                <w:color w:val="auto"/>
                <w:spacing w:val="-1"/>
                <w:lang w:eastAsia="zh-CN"/>
              </w:rPr>
              <w:t>），</w:t>
            </w:r>
            <w:r>
              <w:rPr>
                <w:rFonts w:ascii="Times New Roman" w:hAnsi="Times New Roman" w:cs="Times New Roman"/>
                <w:color w:val="auto"/>
                <w:spacing w:val="-3"/>
                <w:lang w:eastAsia="zh-CN"/>
              </w:rPr>
              <w:t>项目</w:t>
            </w:r>
            <w:r>
              <w:rPr>
                <w:rFonts w:hint="eastAsia" w:ascii="Times New Roman" w:hAnsi="Times New Roman" w:cs="Times New Roman"/>
                <w:color w:val="auto"/>
                <w:spacing w:val="-3"/>
                <w:lang w:val="en-US" w:eastAsia="zh-CN"/>
              </w:rPr>
              <w:t>涉及环境</w:t>
            </w:r>
            <w:r>
              <w:rPr>
                <w:rFonts w:ascii="Times New Roman" w:hAnsi="Times New Roman" w:cs="Times New Roman"/>
                <w:color w:val="auto"/>
                <w:spacing w:val="-3"/>
                <w:lang w:eastAsia="zh-CN"/>
              </w:rPr>
              <w:t>风险</w:t>
            </w:r>
            <w:r>
              <w:rPr>
                <w:rFonts w:ascii="Times New Roman" w:hAnsi="Times New Roman" w:cs="Times New Roman"/>
                <w:color w:val="auto"/>
                <w:spacing w:val="-1"/>
                <w:lang w:eastAsia="zh-CN"/>
              </w:rPr>
              <w:t>物质</w:t>
            </w:r>
            <w:r>
              <w:rPr>
                <w:rFonts w:hint="eastAsia" w:ascii="Times New Roman" w:hAnsi="Times New Roman" w:cs="Times New Roman"/>
                <w:color w:val="auto"/>
                <w:spacing w:val="-1"/>
                <w:lang w:val="en-US" w:eastAsia="zh-CN"/>
              </w:rPr>
              <w:t>为废活性炭、废润滑油、废液压油</w:t>
            </w:r>
            <w:r>
              <w:rPr>
                <w:rFonts w:hint="eastAsia" w:ascii="Times New Roman" w:hAnsi="Times New Roman" w:cs="Times New Roman"/>
                <w:color w:val="auto"/>
                <w:spacing w:val="-1"/>
                <w:lang w:eastAsia="zh-CN"/>
              </w:rPr>
              <w:t>。</w:t>
            </w:r>
            <w:r>
              <w:rPr>
                <w:rFonts w:hint="eastAsia" w:ascii="Times New Roman" w:hAnsi="Times New Roman" w:cs="Times New Roman"/>
                <w:color w:val="auto"/>
                <w:spacing w:val="-1"/>
                <w:lang w:val="en-US" w:eastAsia="zh-CN"/>
              </w:rPr>
              <w:t>存在</w:t>
            </w:r>
            <w:r>
              <w:rPr>
                <w:rFonts w:ascii="Times New Roman" w:hAnsi="Times New Roman" w:cs="Times New Roman"/>
                <w:color w:val="auto"/>
                <w:spacing w:val="-1"/>
                <w:lang w:eastAsia="zh-CN"/>
              </w:rPr>
              <w:t>因风险物质泄漏、火灾或爆</w:t>
            </w:r>
            <w:r>
              <w:rPr>
                <w:rFonts w:ascii="Times New Roman" w:hAnsi="Times New Roman" w:cs="Times New Roman"/>
                <w:color w:val="auto"/>
                <w:spacing w:val="-2"/>
                <w:lang w:eastAsia="zh-CN"/>
              </w:rPr>
              <w:t>炸等引发的伴生</w:t>
            </w:r>
            <w:r>
              <w:rPr>
                <w:rFonts w:ascii="Times New Roman" w:hAnsi="Times New Roman" w:eastAsia="Times New Roman" w:cs="Times New Roman"/>
                <w:color w:val="auto"/>
                <w:spacing w:val="-2"/>
                <w:lang w:eastAsia="zh-CN"/>
              </w:rPr>
              <w:t>/</w:t>
            </w:r>
            <w:r>
              <w:rPr>
                <w:rFonts w:ascii="Times New Roman" w:hAnsi="Times New Roman" w:cs="Times New Roman"/>
                <w:color w:val="auto"/>
                <w:spacing w:val="-2"/>
                <w:lang w:eastAsia="zh-CN"/>
              </w:rPr>
              <w:t>次生污染物排放导致的环境风</w:t>
            </w:r>
            <w:r>
              <w:rPr>
                <w:rFonts w:ascii="Times New Roman" w:hAnsi="Times New Roman" w:cs="Times New Roman"/>
                <w:color w:val="auto"/>
                <w:spacing w:val="-3"/>
                <w:lang w:eastAsia="zh-CN"/>
              </w:rPr>
              <w:t>险。项目风险物质储存于生产车间</w:t>
            </w:r>
            <w:r>
              <w:rPr>
                <w:rFonts w:ascii="Times New Roman" w:hAnsi="Times New Roman" w:cs="Times New Roman"/>
                <w:color w:val="auto"/>
                <w:spacing w:val="-1"/>
                <w:lang w:eastAsia="zh-CN"/>
              </w:rPr>
              <w:t>内专门设置的储存仓库，最大储存量见下表。</w:t>
            </w:r>
          </w:p>
          <w:p>
            <w:pPr>
              <w:pStyle w:val="33"/>
              <w:keepNext w:val="0"/>
              <w:pageBreakBefore w:val="0"/>
              <w:kinsoku/>
              <w:wordWrap/>
              <w:overflowPunct/>
              <w:topLinePunct w:val="0"/>
              <w:bidi w:val="0"/>
              <w:spacing w:before="1" w:line="211" w:lineRule="auto"/>
              <w:ind w:left="2119"/>
              <w:rPr>
                <w:rFonts w:ascii="Times New Roman" w:hAnsi="Times New Roman" w:cs="Times New Roman"/>
                <w:b/>
                <w:bCs/>
                <w:color w:val="auto"/>
                <w:spacing w:val="-2"/>
                <w:lang w:eastAsia="zh-CN"/>
              </w:rPr>
            </w:pPr>
          </w:p>
          <w:p>
            <w:pPr>
              <w:pStyle w:val="33"/>
              <w:keepNext w:val="0"/>
              <w:pageBreakBefore w:val="0"/>
              <w:kinsoku/>
              <w:wordWrap/>
              <w:overflowPunct/>
              <w:topLinePunct w:val="0"/>
              <w:bidi w:val="0"/>
              <w:spacing w:before="1" w:line="211" w:lineRule="auto"/>
              <w:ind w:left="2119"/>
              <w:rPr>
                <w:rFonts w:ascii="Times New Roman" w:hAnsi="Times New Roman" w:cs="Times New Roman"/>
                <w:b/>
                <w:bCs/>
                <w:color w:val="auto"/>
                <w:spacing w:val="-2"/>
                <w:lang w:eastAsia="zh-CN"/>
              </w:rPr>
            </w:pPr>
          </w:p>
          <w:p>
            <w:pPr>
              <w:pStyle w:val="33"/>
              <w:keepNext w:val="0"/>
              <w:pageBreakBefore w:val="0"/>
              <w:kinsoku/>
              <w:wordWrap/>
              <w:overflowPunct/>
              <w:topLinePunct w:val="0"/>
              <w:bidi w:val="0"/>
              <w:spacing w:before="1" w:line="211" w:lineRule="auto"/>
              <w:ind w:left="2119"/>
              <w:rPr>
                <w:rFonts w:ascii="Times New Roman" w:hAnsi="Times New Roman" w:cs="Times New Roman"/>
                <w:b/>
                <w:bCs/>
                <w:color w:val="auto"/>
                <w:spacing w:val="-2"/>
                <w:lang w:eastAsia="zh-CN"/>
              </w:rPr>
            </w:pPr>
          </w:p>
          <w:p>
            <w:pPr>
              <w:pStyle w:val="33"/>
              <w:keepNext w:val="0"/>
              <w:pageBreakBefore w:val="0"/>
              <w:kinsoku/>
              <w:wordWrap/>
              <w:overflowPunct/>
              <w:topLinePunct w:val="0"/>
              <w:bidi w:val="0"/>
              <w:spacing w:before="1" w:line="211" w:lineRule="auto"/>
              <w:ind w:left="2119"/>
              <w:rPr>
                <w:rFonts w:ascii="Times New Roman" w:hAnsi="Times New Roman" w:cs="Times New Roman"/>
                <w:color w:val="auto"/>
                <w:lang w:eastAsia="zh-CN"/>
              </w:rPr>
            </w:pPr>
            <w:r>
              <w:rPr>
                <w:rFonts w:ascii="Times New Roman" w:hAnsi="Times New Roman" w:cs="Times New Roman"/>
                <w:b/>
                <w:bCs/>
                <w:color w:val="auto"/>
                <w:spacing w:val="-2"/>
                <w:lang w:eastAsia="zh-CN"/>
              </w:rPr>
              <w:t>表</w:t>
            </w:r>
            <w:r>
              <w:rPr>
                <w:rFonts w:ascii="Times New Roman" w:hAnsi="Times New Roman" w:eastAsia="Times New Roman" w:cs="Times New Roman"/>
                <w:b/>
                <w:bCs/>
                <w:color w:val="auto"/>
                <w:spacing w:val="-2"/>
                <w:lang w:eastAsia="zh-CN"/>
              </w:rPr>
              <w:t>4-1</w:t>
            </w:r>
            <w:r>
              <w:rPr>
                <w:rFonts w:hint="eastAsia" w:ascii="Times New Roman" w:hAnsi="Times New Roman" w:cs="Times New Roman"/>
                <w:b/>
                <w:bCs/>
                <w:color w:val="auto"/>
                <w:spacing w:val="-2"/>
                <w:lang w:val="en-US" w:eastAsia="zh-CN"/>
              </w:rPr>
              <w:t>4</w:t>
            </w:r>
            <w:r>
              <w:rPr>
                <w:rFonts w:hint="eastAsia" w:ascii="Times New Roman" w:hAnsi="Times New Roman" w:cs="Times New Roman"/>
                <w:b/>
                <w:bCs/>
                <w:color w:val="auto"/>
                <w:spacing w:val="-2"/>
                <w:lang w:eastAsia="zh-CN"/>
              </w:rPr>
              <w:t xml:space="preserve"> </w:t>
            </w:r>
            <w:r>
              <w:rPr>
                <w:rFonts w:hint="eastAsia" w:ascii="Times New Roman" w:hAnsi="Times New Roman" w:cs="Times New Roman"/>
                <w:b/>
                <w:bCs/>
                <w:color w:val="auto"/>
                <w:spacing w:val="-2"/>
                <w:lang w:val="en-US" w:eastAsia="zh-CN"/>
              </w:rPr>
              <w:t xml:space="preserve"> </w:t>
            </w:r>
            <w:r>
              <w:rPr>
                <w:rFonts w:ascii="Times New Roman" w:hAnsi="Times New Roman" w:cs="Times New Roman"/>
                <w:b/>
                <w:bCs/>
                <w:color w:val="auto"/>
                <w:spacing w:val="-2"/>
                <w:lang w:eastAsia="zh-CN"/>
              </w:rPr>
              <w:t>项目危险物质存在量、临界量</w:t>
            </w:r>
          </w:p>
          <w:tbl>
            <w:tblPr>
              <w:tblStyle w:val="32"/>
              <w:tblW w:w="93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1"/>
              <w:gridCol w:w="2149"/>
              <w:gridCol w:w="2030"/>
              <w:gridCol w:w="2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06" w:hRule="atLeast"/>
              </w:trPr>
              <w:tc>
                <w:tcPr>
                  <w:tcW w:w="2791"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b/>
                      <w:bCs/>
                      <w:color w:val="auto"/>
                      <w:sz w:val="21"/>
                      <w:szCs w:val="21"/>
                      <w:u w:val="none"/>
                      <w:lang w:eastAsia="zh-CN"/>
                    </w:rPr>
                  </w:pPr>
                  <w:r>
                    <w:rPr>
                      <w:rFonts w:ascii="Times New Roman" w:hAnsi="Times New Roman" w:cs="Times New Roman"/>
                      <w:b/>
                      <w:bCs/>
                      <w:color w:val="auto"/>
                      <w:spacing w:val="3"/>
                      <w:sz w:val="21"/>
                      <w:szCs w:val="21"/>
                      <w:u w:val="none"/>
                      <w:lang w:eastAsia="zh-CN"/>
                    </w:rPr>
                    <w:t>名称</w:t>
                  </w:r>
                </w:p>
              </w:tc>
              <w:tc>
                <w:tcPr>
                  <w:tcW w:w="2149"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b/>
                      <w:bCs/>
                      <w:color w:val="auto"/>
                      <w:sz w:val="21"/>
                      <w:szCs w:val="21"/>
                      <w:u w:val="none"/>
                      <w:lang w:eastAsia="zh-CN"/>
                    </w:rPr>
                  </w:pPr>
                  <w:r>
                    <w:rPr>
                      <w:rFonts w:ascii="Times New Roman" w:hAnsi="Times New Roman" w:cs="Times New Roman"/>
                      <w:b/>
                      <w:bCs/>
                      <w:color w:val="auto"/>
                      <w:spacing w:val="5"/>
                      <w:sz w:val="21"/>
                      <w:szCs w:val="21"/>
                      <w:u w:val="none"/>
                      <w:lang w:eastAsia="zh-CN"/>
                    </w:rPr>
                    <w:t>最大储存量</w:t>
                  </w:r>
                  <w:r>
                    <w:rPr>
                      <w:rFonts w:ascii="Times New Roman" w:hAnsi="Times New Roman" w:eastAsia="Times New Roman" w:cs="Times New Roman"/>
                      <w:b/>
                      <w:bCs/>
                      <w:color w:val="auto"/>
                      <w:spacing w:val="5"/>
                      <w:sz w:val="21"/>
                      <w:szCs w:val="21"/>
                      <w:u w:val="none"/>
                      <w:lang w:eastAsia="zh-CN"/>
                    </w:rPr>
                    <w:t>q</w:t>
                  </w:r>
                  <w:r>
                    <w:rPr>
                      <w:rFonts w:ascii="Times New Roman" w:hAnsi="Times New Roman" w:cs="Times New Roman"/>
                      <w:b/>
                      <w:bCs/>
                      <w:color w:val="auto"/>
                      <w:spacing w:val="5"/>
                      <w:sz w:val="21"/>
                      <w:szCs w:val="21"/>
                      <w:u w:val="none"/>
                      <w:lang w:eastAsia="zh-CN"/>
                    </w:rPr>
                    <w:t>（</w:t>
                  </w:r>
                  <w:r>
                    <w:rPr>
                      <w:rFonts w:ascii="Times New Roman" w:hAnsi="Times New Roman" w:eastAsia="Times New Roman" w:cs="Times New Roman"/>
                      <w:b/>
                      <w:bCs/>
                      <w:color w:val="auto"/>
                      <w:spacing w:val="5"/>
                      <w:sz w:val="21"/>
                      <w:szCs w:val="21"/>
                      <w:u w:val="none"/>
                      <w:lang w:eastAsia="zh-CN"/>
                    </w:rPr>
                    <w:t>t</w:t>
                  </w:r>
                  <w:r>
                    <w:rPr>
                      <w:rFonts w:ascii="Times New Roman" w:hAnsi="Times New Roman" w:cs="Times New Roman"/>
                      <w:b/>
                      <w:bCs/>
                      <w:color w:val="auto"/>
                      <w:spacing w:val="5"/>
                      <w:sz w:val="21"/>
                      <w:szCs w:val="21"/>
                      <w:u w:val="none"/>
                      <w:lang w:eastAsia="zh-CN"/>
                    </w:rPr>
                    <w:t>）</w:t>
                  </w:r>
                </w:p>
              </w:tc>
              <w:tc>
                <w:tcPr>
                  <w:tcW w:w="2030"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b/>
                      <w:bCs/>
                      <w:color w:val="auto"/>
                      <w:sz w:val="21"/>
                      <w:szCs w:val="21"/>
                      <w:u w:val="none"/>
                      <w:lang w:eastAsia="zh-CN"/>
                    </w:rPr>
                  </w:pPr>
                  <w:r>
                    <w:rPr>
                      <w:rFonts w:ascii="Times New Roman" w:hAnsi="Times New Roman" w:cs="Times New Roman"/>
                      <w:b/>
                      <w:bCs/>
                      <w:color w:val="auto"/>
                      <w:spacing w:val="3"/>
                      <w:sz w:val="21"/>
                      <w:szCs w:val="21"/>
                      <w:u w:val="none"/>
                      <w:lang w:eastAsia="zh-CN"/>
                    </w:rPr>
                    <w:t>临界量</w:t>
                  </w:r>
                  <w:r>
                    <w:rPr>
                      <w:rFonts w:ascii="Times New Roman" w:hAnsi="Times New Roman" w:eastAsia="Times New Roman" w:cs="Times New Roman"/>
                      <w:b/>
                      <w:bCs/>
                      <w:color w:val="auto"/>
                      <w:spacing w:val="3"/>
                      <w:sz w:val="21"/>
                      <w:szCs w:val="21"/>
                      <w:u w:val="none"/>
                      <w:lang w:eastAsia="zh-CN"/>
                    </w:rPr>
                    <w:t>Q</w:t>
                  </w:r>
                  <w:r>
                    <w:rPr>
                      <w:rFonts w:ascii="Times New Roman" w:hAnsi="Times New Roman" w:cs="Times New Roman"/>
                      <w:b/>
                      <w:bCs/>
                      <w:color w:val="auto"/>
                      <w:spacing w:val="3"/>
                      <w:sz w:val="21"/>
                      <w:szCs w:val="21"/>
                      <w:u w:val="none"/>
                      <w:lang w:eastAsia="zh-CN"/>
                    </w:rPr>
                    <w:t>（</w:t>
                  </w:r>
                  <w:r>
                    <w:rPr>
                      <w:rFonts w:ascii="Times New Roman" w:hAnsi="Times New Roman" w:eastAsia="Times New Roman" w:cs="Times New Roman"/>
                      <w:b/>
                      <w:bCs/>
                      <w:color w:val="auto"/>
                      <w:spacing w:val="3"/>
                      <w:sz w:val="21"/>
                      <w:szCs w:val="21"/>
                      <w:u w:val="none"/>
                      <w:lang w:eastAsia="zh-CN"/>
                    </w:rPr>
                    <w:t>t</w:t>
                  </w:r>
                  <w:r>
                    <w:rPr>
                      <w:rFonts w:ascii="Times New Roman" w:hAnsi="Times New Roman" w:cs="Times New Roman"/>
                      <w:b/>
                      <w:bCs/>
                      <w:color w:val="auto"/>
                      <w:spacing w:val="3"/>
                      <w:sz w:val="21"/>
                      <w:szCs w:val="21"/>
                      <w:u w:val="none"/>
                      <w:lang w:eastAsia="zh-CN"/>
                    </w:rPr>
                    <w:t>）</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eastAsia="Times New Roman"/>
                      <w:b/>
                      <w:bCs/>
                      <w:color w:val="auto"/>
                      <w:sz w:val="21"/>
                      <w:szCs w:val="21"/>
                      <w:u w:val="none"/>
                    </w:rPr>
                  </w:pPr>
                  <w:r>
                    <w:rPr>
                      <w:rFonts w:eastAsia="Times New Roman"/>
                      <w:b/>
                      <w:bCs/>
                      <w:color w:val="auto"/>
                      <w:spacing w:val="2"/>
                      <w:sz w:val="21"/>
                      <w:szCs w:val="21"/>
                      <w:u w:val="none"/>
                    </w:rPr>
                    <w:t>q/Q</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25" w:hRule="atLeast"/>
              </w:trPr>
              <w:tc>
                <w:tcPr>
                  <w:tcW w:w="27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b w:val="0"/>
                      <w:bCs w:val="0"/>
                      <w:color w:val="auto"/>
                      <w:spacing w:val="3"/>
                      <w:kern w:val="2"/>
                      <w:sz w:val="21"/>
                      <w:szCs w:val="21"/>
                      <w:u w:val="none"/>
                      <w:lang w:val="en-US" w:eastAsia="zh-CN" w:bidi="ar-SA"/>
                    </w:rPr>
                  </w:pPr>
                  <w:r>
                    <w:rPr>
                      <w:rFonts w:hint="eastAsia" w:cs="Times New Roman"/>
                      <w:b w:val="0"/>
                      <w:bCs w:val="0"/>
                      <w:color w:val="auto"/>
                      <w:spacing w:val="3"/>
                      <w:kern w:val="2"/>
                      <w:sz w:val="21"/>
                      <w:szCs w:val="21"/>
                      <w:u w:val="none"/>
                      <w:lang w:val="en-US" w:eastAsia="zh-CN" w:bidi="ar-SA"/>
                    </w:rPr>
                    <w:t>废活性炭</w:t>
                  </w:r>
                </w:p>
              </w:tc>
              <w:tc>
                <w:tcPr>
                  <w:tcW w:w="2149"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val="0"/>
                      <w:bCs w:val="0"/>
                      <w:color w:val="auto"/>
                      <w:spacing w:val="5"/>
                      <w:sz w:val="21"/>
                      <w:szCs w:val="21"/>
                      <w:u w:val="none"/>
                      <w:lang w:val="en-US" w:eastAsia="zh-CN"/>
                    </w:rPr>
                  </w:pPr>
                  <w:r>
                    <w:rPr>
                      <w:rFonts w:hint="eastAsia" w:ascii="Times New Roman" w:hAnsi="Times New Roman" w:cs="Times New Roman"/>
                      <w:b w:val="0"/>
                      <w:bCs w:val="0"/>
                      <w:color w:val="auto"/>
                      <w:spacing w:val="5"/>
                      <w:sz w:val="21"/>
                      <w:szCs w:val="21"/>
                      <w:u w:val="none"/>
                      <w:lang w:val="en-US" w:eastAsia="zh-CN"/>
                    </w:rPr>
                    <w:t>0.6</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val="0"/>
                      <w:bCs w:val="0"/>
                      <w:color w:val="auto"/>
                      <w:spacing w:val="3"/>
                      <w:sz w:val="21"/>
                      <w:szCs w:val="21"/>
                      <w:u w:val="none"/>
                      <w:lang w:val="en-US" w:eastAsia="zh-CN"/>
                    </w:rPr>
                  </w:pPr>
                  <w:r>
                    <w:rPr>
                      <w:rFonts w:hint="eastAsia" w:cs="Times New Roman"/>
                      <w:b w:val="0"/>
                      <w:bCs w:val="0"/>
                      <w:color w:val="auto"/>
                      <w:spacing w:val="3"/>
                      <w:sz w:val="21"/>
                      <w:szCs w:val="21"/>
                      <w:u w:val="none"/>
                      <w:lang w:val="en-US" w:eastAsia="zh-CN"/>
                    </w:rPr>
                    <w:t>50</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s="Times New Roman"/>
                      <w:b w:val="0"/>
                      <w:bCs w:val="0"/>
                      <w:color w:val="auto"/>
                      <w:spacing w:val="3"/>
                      <w:sz w:val="21"/>
                      <w:szCs w:val="21"/>
                      <w:u w:val="none"/>
                      <w:lang w:val="en-US" w:eastAsia="zh-CN"/>
                    </w:rPr>
                  </w:pPr>
                  <w:r>
                    <w:rPr>
                      <w:rFonts w:hint="eastAsia" w:cs="Times New Roman"/>
                      <w:b w:val="0"/>
                      <w:bCs w:val="0"/>
                      <w:color w:val="auto"/>
                      <w:spacing w:val="3"/>
                      <w:sz w:val="21"/>
                      <w:szCs w:val="21"/>
                      <w:u w:val="none"/>
                      <w:lang w:val="en-US" w:eastAsia="zh-CN"/>
                    </w:rPr>
                    <w:t>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1" w:hRule="atLeast"/>
              </w:trPr>
              <w:tc>
                <w:tcPr>
                  <w:tcW w:w="2791"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val="0"/>
                      <w:bCs w:val="0"/>
                      <w:color w:val="auto"/>
                      <w:spacing w:val="-9"/>
                      <w:sz w:val="21"/>
                      <w:szCs w:val="21"/>
                      <w:u w:val="none"/>
                      <w:lang w:val="en-US" w:eastAsia="zh-CN"/>
                    </w:rPr>
                  </w:pPr>
                  <w:r>
                    <w:rPr>
                      <w:rFonts w:hint="eastAsia" w:ascii="Times New Roman" w:hAnsi="Times New Roman" w:cs="Times New Roman"/>
                      <w:b w:val="0"/>
                      <w:bCs w:val="0"/>
                      <w:color w:val="auto"/>
                      <w:spacing w:val="-9"/>
                      <w:sz w:val="21"/>
                      <w:szCs w:val="21"/>
                      <w:u w:val="none"/>
                      <w:lang w:val="en-US" w:eastAsia="zh-CN"/>
                    </w:rPr>
                    <w:t>废润滑油</w:t>
                  </w:r>
                </w:p>
              </w:tc>
              <w:tc>
                <w:tcPr>
                  <w:tcW w:w="214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eastAsia="宋体"/>
                      <w:b w:val="0"/>
                      <w:bCs w:val="0"/>
                      <w:color w:val="auto"/>
                      <w:spacing w:val="3"/>
                      <w:sz w:val="21"/>
                      <w:szCs w:val="21"/>
                      <w:u w:val="none"/>
                      <w:lang w:val="en-US" w:eastAsia="zh-CN"/>
                    </w:rPr>
                  </w:pPr>
                  <w:r>
                    <w:rPr>
                      <w:rFonts w:hint="eastAsia"/>
                      <w:b w:val="0"/>
                      <w:bCs w:val="0"/>
                      <w:color w:val="auto"/>
                      <w:spacing w:val="3"/>
                      <w:sz w:val="21"/>
                      <w:szCs w:val="21"/>
                      <w:u w:val="none"/>
                      <w:lang w:val="en-US" w:eastAsia="zh-CN"/>
                    </w:rPr>
                    <w:t>0.05</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eastAsia="宋体"/>
                      <w:b w:val="0"/>
                      <w:bCs w:val="0"/>
                      <w:color w:val="auto"/>
                      <w:sz w:val="21"/>
                      <w:szCs w:val="21"/>
                      <w:u w:val="none"/>
                      <w:lang w:val="en-US" w:eastAsia="zh-CN"/>
                    </w:rPr>
                  </w:pPr>
                  <w:r>
                    <w:rPr>
                      <w:rFonts w:hint="eastAsia" w:eastAsia="宋体"/>
                      <w:b w:val="0"/>
                      <w:bCs w:val="0"/>
                      <w:color w:val="auto"/>
                      <w:sz w:val="21"/>
                      <w:szCs w:val="21"/>
                      <w:u w:val="none"/>
                      <w:lang w:val="en-US" w:eastAsia="zh-CN"/>
                    </w:rPr>
                    <w:t>2500</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cs="Times New Roman"/>
                      <w:b w:val="0"/>
                      <w:bCs w:val="0"/>
                      <w:color w:val="auto"/>
                      <w:spacing w:val="3"/>
                      <w:sz w:val="21"/>
                      <w:szCs w:val="21"/>
                      <w:u w:val="none"/>
                      <w:lang w:val="en-US" w:eastAsia="zh-CN"/>
                    </w:rPr>
                  </w:pPr>
                  <w:r>
                    <w:rPr>
                      <w:rFonts w:hint="eastAsia" w:cs="Times New Roman"/>
                      <w:b w:val="0"/>
                      <w:bCs w:val="0"/>
                      <w:color w:val="auto"/>
                      <w:spacing w:val="3"/>
                      <w:sz w:val="21"/>
                      <w:szCs w:val="21"/>
                      <w:u w:val="none"/>
                      <w:lang w:val="en-US" w:eastAsia="zh-CN"/>
                    </w:rPr>
                    <w:t>0.00002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1" w:hRule="atLeast"/>
              </w:trPr>
              <w:tc>
                <w:tcPr>
                  <w:tcW w:w="2791"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val="0"/>
                      <w:bCs w:val="0"/>
                      <w:color w:val="auto"/>
                      <w:spacing w:val="5"/>
                      <w:sz w:val="21"/>
                      <w:szCs w:val="21"/>
                      <w:u w:val="none"/>
                      <w:lang w:val="en-US" w:eastAsia="zh-CN"/>
                    </w:rPr>
                  </w:pPr>
                  <w:r>
                    <w:rPr>
                      <w:rFonts w:hint="eastAsia" w:ascii="Times New Roman" w:hAnsi="Times New Roman" w:cs="Times New Roman"/>
                      <w:b w:val="0"/>
                      <w:bCs w:val="0"/>
                      <w:color w:val="auto"/>
                      <w:spacing w:val="5"/>
                      <w:sz w:val="21"/>
                      <w:szCs w:val="21"/>
                      <w:u w:val="none"/>
                      <w:lang w:val="en-US" w:eastAsia="zh-CN"/>
                    </w:rPr>
                    <w:t>废液压油</w:t>
                  </w:r>
                </w:p>
              </w:tc>
              <w:tc>
                <w:tcPr>
                  <w:tcW w:w="214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eastAsia="宋体"/>
                      <w:b w:val="0"/>
                      <w:bCs w:val="0"/>
                      <w:color w:val="auto"/>
                      <w:spacing w:val="3"/>
                      <w:sz w:val="21"/>
                      <w:szCs w:val="21"/>
                      <w:u w:val="none"/>
                      <w:lang w:val="en-US" w:eastAsia="zh-CN"/>
                    </w:rPr>
                  </w:pPr>
                  <w:r>
                    <w:rPr>
                      <w:rFonts w:hint="eastAsia"/>
                      <w:b w:val="0"/>
                      <w:bCs w:val="0"/>
                      <w:color w:val="auto"/>
                      <w:spacing w:val="3"/>
                      <w:sz w:val="21"/>
                      <w:szCs w:val="21"/>
                      <w:u w:val="none"/>
                      <w:lang w:val="en-US" w:eastAsia="zh-CN"/>
                    </w:rPr>
                    <w:t>0.05</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eastAsia="宋体"/>
                      <w:b w:val="0"/>
                      <w:bCs w:val="0"/>
                      <w:color w:val="auto"/>
                      <w:sz w:val="21"/>
                      <w:szCs w:val="21"/>
                      <w:u w:val="none"/>
                      <w:lang w:val="en-US" w:eastAsia="zh-CN"/>
                    </w:rPr>
                  </w:pPr>
                  <w:r>
                    <w:rPr>
                      <w:rFonts w:hint="eastAsia" w:eastAsia="宋体"/>
                      <w:b w:val="0"/>
                      <w:bCs w:val="0"/>
                      <w:color w:val="auto"/>
                      <w:sz w:val="21"/>
                      <w:szCs w:val="21"/>
                      <w:u w:val="none"/>
                      <w:lang w:val="en-US" w:eastAsia="zh-CN"/>
                    </w:rPr>
                    <w:t>2500</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s="Times New Roman"/>
                      <w:b w:val="0"/>
                      <w:bCs w:val="0"/>
                      <w:color w:val="auto"/>
                      <w:spacing w:val="3"/>
                      <w:sz w:val="21"/>
                      <w:szCs w:val="21"/>
                      <w:u w:val="none"/>
                      <w:lang w:val="en-US" w:eastAsia="zh-CN"/>
                    </w:rPr>
                  </w:pPr>
                  <w:r>
                    <w:rPr>
                      <w:rFonts w:hint="eastAsia" w:cs="Times New Roman"/>
                      <w:b w:val="0"/>
                      <w:bCs w:val="0"/>
                      <w:color w:val="auto"/>
                      <w:spacing w:val="3"/>
                      <w:sz w:val="21"/>
                      <w:szCs w:val="21"/>
                      <w:u w:val="none"/>
                      <w:lang w:val="en-US" w:eastAsia="zh-CN"/>
                    </w:rPr>
                    <w:t>0.00002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 w:hRule="atLeast"/>
              </w:trPr>
              <w:tc>
                <w:tcPr>
                  <w:tcW w:w="2791"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b w:val="0"/>
                      <w:bCs w:val="0"/>
                      <w:color w:val="auto"/>
                      <w:sz w:val="21"/>
                      <w:szCs w:val="21"/>
                      <w:u w:val="none"/>
                      <w:lang w:eastAsia="zh-CN"/>
                    </w:rPr>
                  </w:pPr>
                  <w:r>
                    <w:rPr>
                      <w:rFonts w:ascii="Times New Roman" w:hAnsi="Times New Roman" w:cs="Times New Roman"/>
                      <w:b w:val="0"/>
                      <w:bCs w:val="0"/>
                      <w:color w:val="auto"/>
                      <w:spacing w:val="2"/>
                      <w:sz w:val="21"/>
                      <w:szCs w:val="21"/>
                      <w:u w:val="none"/>
                      <w:lang w:eastAsia="zh-CN"/>
                    </w:rPr>
                    <w:t>小计</w:t>
                  </w:r>
                </w:p>
              </w:tc>
              <w:tc>
                <w:tcPr>
                  <w:tcW w:w="214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eastAsia="宋体"/>
                      <w:b w:val="0"/>
                      <w:bCs w:val="0"/>
                      <w:color w:val="auto"/>
                      <w:sz w:val="21"/>
                      <w:szCs w:val="21"/>
                      <w:u w:val="none"/>
                      <w:lang w:val="en-US" w:eastAsia="zh-CN"/>
                    </w:rPr>
                  </w:pP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eastAsia="Times New Roman"/>
                      <w:b w:val="0"/>
                      <w:bCs w:val="0"/>
                      <w:color w:val="auto"/>
                      <w:sz w:val="21"/>
                      <w:szCs w:val="21"/>
                      <w:u w:val="none"/>
                    </w:rPr>
                  </w:pPr>
                  <w:r>
                    <w:rPr>
                      <w:rFonts w:eastAsia="Times New Roman"/>
                      <w:b w:val="0"/>
                      <w:bCs w:val="0"/>
                      <w:color w:val="auto"/>
                      <w:position w:val="-2"/>
                      <w:sz w:val="21"/>
                      <w:szCs w:val="21"/>
                      <w:u w:val="none"/>
                    </w:rPr>
                    <w:t>-</w:t>
                  </w:r>
                </w:p>
              </w:tc>
              <w:tc>
                <w:tcPr>
                  <w:tcW w:w="2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cs="Times New Roman"/>
                      <w:b w:val="0"/>
                      <w:bCs w:val="0"/>
                      <w:color w:val="auto"/>
                      <w:spacing w:val="3"/>
                      <w:sz w:val="21"/>
                      <w:szCs w:val="21"/>
                      <w:u w:val="none"/>
                      <w:lang w:val="en-US" w:eastAsia="zh-CN"/>
                    </w:rPr>
                  </w:pPr>
                  <w:r>
                    <w:rPr>
                      <w:rFonts w:hint="eastAsia" w:cs="Times New Roman"/>
                      <w:b w:val="0"/>
                      <w:bCs w:val="0"/>
                      <w:color w:val="auto"/>
                      <w:spacing w:val="3"/>
                      <w:sz w:val="21"/>
                      <w:szCs w:val="21"/>
                      <w:u w:val="none"/>
                      <w:lang w:val="en-US" w:eastAsia="zh-CN"/>
                    </w:rPr>
                    <w:t>0.01204</w:t>
                  </w:r>
                </w:p>
              </w:tc>
            </w:tr>
          </w:tbl>
          <w:p>
            <w:pPr>
              <w:pStyle w:val="33"/>
              <w:keepNext w:val="0"/>
              <w:pageBreakBefore w:val="0"/>
              <w:kinsoku/>
              <w:wordWrap/>
              <w:overflowPunct/>
              <w:topLinePunct w:val="0"/>
              <w:bidi w:val="0"/>
              <w:spacing w:before="194" w:line="363" w:lineRule="auto"/>
              <w:ind w:left="148" w:right="97" w:firstLine="417"/>
              <w:rPr>
                <w:rFonts w:ascii="Times New Roman" w:hAnsi="Times New Roman" w:cs="Times New Roman"/>
                <w:color w:val="auto"/>
                <w:lang w:eastAsia="zh-CN"/>
              </w:rPr>
            </w:pPr>
            <w:r>
              <w:rPr>
                <w:rFonts w:ascii="Times New Roman" w:hAnsi="Times New Roman" w:cs="Times New Roman"/>
                <w:color w:val="auto"/>
                <w:spacing w:val="1"/>
                <w:lang w:eastAsia="zh-CN"/>
              </w:rPr>
              <w:t>根据《建设项目环境风险评价技术导则》（</w:t>
            </w:r>
            <w:r>
              <w:rPr>
                <w:rFonts w:ascii="Times New Roman" w:hAnsi="Times New Roman" w:eastAsia="Times New Roman" w:cs="Times New Roman"/>
                <w:color w:val="auto"/>
                <w:lang w:eastAsia="zh-CN"/>
              </w:rPr>
              <w:t>HJ</w:t>
            </w:r>
            <w:r>
              <w:rPr>
                <w:rFonts w:ascii="Times New Roman" w:hAnsi="Times New Roman" w:eastAsia="Times New Roman" w:cs="Times New Roman"/>
                <w:color w:val="auto"/>
                <w:spacing w:val="1"/>
                <w:lang w:eastAsia="zh-CN"/>
              </w:rPr>
              <w:t>169-2018</w:t>
            </w:r>
            <w:r>
              <w:rPr>
                <w:rFonts w:ascii="Times New Roman" w:hAnsi="Times New Roman" w:cs="Times New Roman"/>
                <w:color w:val="auto"/>
                <w:spacing w:val="1"/>
                <w:lang w:eastAsia="zh-CN"/>
              </w:rPr>
              <w:t>）当</w:t>
            </w:r>
            <w:r>
              <w:rPr>
                <w:rFonts w:ascii="Times New Roman" w:hAnsi="Times New Roman" w:eastAsia="Times New Roman" w:cs="Times New Roman"/>
                <w:color w:val="auto"/>
                <w:spacing w:val="1"/>
                <w:lang w:eastAsia="zh-CN"/>
              </w:rPr>
              <w:t>Q</w:t>
            </w:r>
            <w:r>
              <w:rPr>
                <w:rFonts w:ascii="Times New Roman" w:hAnsi="Times New Roman" w:cs="Times New Roman"/>
                <w:color w:val="auto"/>
                <w:spacing w:val="1"/>
                <w:lang w:eastAsia="zh-CN"/>
              </w:rPr>
              <w:t>＜</w:t>
            </w:r>
            <w:r>
              <w:rPr>
                <w:rFonts w:ascii="Times New Roman" w:hAnsi="Times New Roman" w:eastAsia="Times New Roman" w:cs="Times New Roman"/>
                <w:color w:val="auto"/>
                <w:spacing w:val="1"/>
                <w:lang w:eastAsia="zh-CN"/>
              </w:rPr>
              <w:t>1</w:t>
            </w:r>
            <w:r>
              <w:rPr>
                <w:rFonts w:ascii="Times New Roman" w:hAnsi="Times New Roman" w:cs="Times New Roman"/>
                <w:color w:val="auto"/>
                <w:spacing w:val="1"/>
                <w:lang w:eastAsia="zh-CN"/>
              </w:rPr>
              <w:t>时，该项</w:t>
            </w:r>
            <w:r>
              <w:rPr>
                <w:rFonts w:ascii="Times New Roman" w:hAnsi="Times New Roman" w:cs="Times New Roman"/>
                <w:color w:val="auto"/>
                <w:spacing w:val="-5"/>
                <w:lang w:eastAsia="zh-CN"/>
              </w:rPr>
              <w:t>目环境风险潜势为</w:t>
            </w:r>
            <w:r>
              <w:rPr>
                <w:rFonts w:ascii="Times New Roman" w:hAnsi="Times New Roman" w:eastAsia="Times New Roman" w:cs="Times New Roman"/>
                <w:color w:val="auto"/>
                <w:spacing w:val="-5"/>
                <w:lang w:eastAsia="zh-CN"/>
              </w:rPr>
              <w:t>I</w:t>
            </w:r>
            <w:r>
              <w:rPr>
                <w:rFonts w:ascii="Times New Roman" w:hAnsi="Times New Roman" w:cs="Times New Roman"/>
                <w:color w:val="auto"/>
                <w:spacing w:val="-5"/>
                <w:lang w:eastAsia="zh-CN"/>
              </w:rPr>
              <w:t>，可只进行简单分析。</w:t>
            </w:r>
          </w:p>
          <w:p>
            <w:pPr>
              <w:pStyle w:val="33"/>
              <w:keepNext w:val="0"/>
              <w:pageBreakBefore w:val="0"/>
              <w:kinsoku/>
              <w:wordWrap/>
              <w:overflowPunct/>
              <w:topLinePunct w:val="0"/>
              <w:bidi w:val="0"/>
              <w:spacing w:before="55" w:line="376" w:lineRule="auto"/>
              <w:ind w:left="104" w:right="97" w:firstLine="465"/>
              <w:rPr>
                <w:rFonts w:ascii="Times New Roman" w:hAnsi="Times New Roman" w:cs="Times New Roman"/>
                <w:color w:val="auto"/>
                <w:lang w:eastAsia="zh-CN"/>
              </w:rPr>
            </w:pPr>
            <w:r>
              <w:rPr>
                <w:rFonts w:ascii="Times New Roman" w:hAnsi="Times New Roman" w:cs="Times New Roman"/>
                <w:color w:val="auto"/>
                <w:lang w:eastAsia="zh-CN"/>
              </w:rPr>
              <w:t>项目涉及的风险物质为</w:t>
            </w:r>
            <w:r>
              <w:rPr>
                <w:rFonts w:hint="eastAsia" w:ascii="Times New Roman" w:hAnsi="Times New Roman" w:cs="Times New Roman"/>
                <w:color w:val="auto"/>
                <w:spacing w:val="-1"/>
                <w:lang w:val="en-US" w:eastAsia="zh-CN"/>
              </w:rPr>
              <w:t>废活性炭、废润滑油、废液压油</w:t>
            </w:r>
            <w:r>
              <w:rPr>
                <w:rFonts w:ascii="Times New Roman" w:hAnsi="Times New Roman" w:cs="Times New Roman"/>
                <w:color w:val="auto"/>
                <w:spacing w:val="-1"/>
                <w:lang w:eastAsia="zh-CN"/>
              </w:rPr>
              <w:t>，存在泄漏、</w:t>
            </w:r>
            <w:r>
              <w:rPr>
                <w:rFonts w:ascii="Times New Roman" w:hAnsi="Times New Roman" w:cs="Times New Roman"/>
                <w:color w:val="auto"/>
                <w:spacing w:val="6"/>
                <w:lang w:eastAsia="zh-CN"/>
              </w:rPr>
              <w:t>火灾爆炸等安全风险，由此产生的泄漏物质及伴生次生物排放可对环境产生污</w:t>
            </w:r>
            <w:r>
              <w:rPr>
                <w:rFonts w:ascii="Times New Roman" w:hAnsi="Times New Roman" w:cs="Times New Roman"/>
                <w:color w:val="auto"/>
                <w:spacing w:val="-1"/>
                <w:lang w:eastAsia="zh-CN"/>
              </w:rPr>
              <w:t>染，可能的影响环境途径包括大气、地表水及地下水。</w:t>
            </w:r>
          </w:p>
          <w:p>
            <w:pPr>
              <w:pStyle w:val="33"/>
              <w:keepNext w:val="0"/>
              <w:keepLines w:val="0"/>
              <w:pageBreakBefore w:val="0"/>
              <w:widowControl w:val="0"/>
              <w:kinsoku/>
              <w:wordWrap/>
              <w:overflowPunct/>
              <w:topLinePunct w:val="0"/>
              <w:autoSpaceDE/>
              <w:autoSpaceDN/>
              <w:bidi w:val="0"/>
              <w:adjustRightInd/>
              <w:snapToGrid/>
              <w:spacing w:line="360" w:lineRule="auto"/>
              <w:ind w:left="102" w:right="96" w:firstLine="465"/>
              <w:textAlignment w:val="auto"/>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大气环境</w:t>
            </w:r>
          </w:p>
          <w:p>
            <w:pPr>
              <w:pStyle w:val="33"/>
              <w:keepNext w:val="0"/>
              <w:keepLines w:val="0"/>
              <w:pageBreakBefore w:val="0"/>
              <w:widowControl w:val="0"/>
              <w:kinsoku/>
              <w:wordWrap/>
              <w:overflowPunct/>
              <w:topLinePunct w:val="0"/>
              <w:autoSpaceDE/>
              <w:autoSpaceDN/>
              <w:bidi w:val="0"/>
              <w:adjustRightInd/>
              <w:snapToGrid/>
              <w:spacing w:line="360" w:lineRule="auto"/>
              <w:ind w:left="102" w:right="96" w:firstLine="465"/>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生产过程中废润滑油、废液压油发生泄漏，将对地表水环境造成一定的污染。</w:t>
            </w:r>
          </w:p>
          <w:p>
            <w:pPr>
              <w:pStyle w:val="33"/>
              <w:keepNext w:val="0"/>
              <w:keepLines w:val="0"/>
              <w:pageBreakBefore w:val="0"/>
              <w:widowControl w:val="0"/>
              <w:kinsoku/>
              <w:wordWrap/>
              <w:overflowPunct/>
              <w:topLinePunct w:val="0"/>
              <w:autoSpaceDE/>
              <w:autoSpaceDN/>
              <w:bidi w:val="0"/>
              <w:adjustRightInd/>
              <w:snapToGrid/>
              <w:spacing w:line="360" w:lineRule="auto"/>
              <w:ind w:left="102" w:right="96" w:firstLine="465"/>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环保设施失效，废气未经处理即外排，将对大气环境产生一定的影响。</w:t>
            </w:r>
          </w:p>
          <w:p>
            <w:pPr>
              <w:pStyle w:val="33"/>
              <w:keepNext w:val="0"/>
              <w:keepLines w:val="0"/>
              <w:pageBreakBefore w:val="0"/>
              <w:widowControl w:val="0"/>
              <w:kinsoku/>
              <w:wordWrap/>
              <w:overflowPunct/>
              <w:topLinePunct w:val="0"/>
              <w:autoSpaceDE/>
              <w:autoSpaceDN/>
              <w:bidi w:val="0"/>
              <w:adjustRightInd/>
              <w:snapToGrid/>
              <w:spacing w:line="360" w:lineRule="auto"/>
              <w:ind w:left="102" w:right="96" w:firstLine="465"/>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项目发生火灾时或爆炸时，因燃烧不完全，伴生/次生CO等燃烧废气，会对大气环境产生一定的影响。</w:t>
            </w:r>
          </w:p>
          <w:p>
            <w:pPr>
              <w:pStyle w:val="33"/>
              <w:keepNext w:val="0"/>
              <w:keepLines w:val="0"/>
              <w:pageBreakBefore w:val="0"/>
              <w:widowControl w:val="0"/>
              <w:kinsoku/>
              <w:wordWrap/>
              <w:overflowPunct/>
              <w:topLinePunct w:val="0"/>
              <w:autoSpaceDE/>
              <w:autoSpaceDN/>
              <w:bidi w:val="0"/>
              <w:adjustRightInd/>
              <w:snapToGrid/>
              <w:spacing w:line="360" w:lineRule="auto"/>
              <w:ind w:left="102" w:right="96" w:firstLine="465"/>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地表水影响</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泄漏的废油或消防废水一旦进入地表河流，将造成地表河流的污染。影响小到几公里大到几十公里。污染首先将地表河流的景观破坏，产生严重的刺鼻气味；其次，由于有机烃类难溶于水，大部分上浮在水层表面，形成一层油膜使空气与水隔离，造成水中溶解氧降低，逐渐形成死水，致使水中生物死亡；再次，废油一旦进入水环境，由于可生化性较差，造成被污染水体长时间得不到净化，完全恢复需要十几年，甚至几十年的时间。</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环境风险防范措施及应急要求</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Times New Roman" w:hAnsi="Times New Roman" w:cs="Times New Roman"/>
                <w:color w:val="auto"/>
                <w:lang w:eastAsia="zh-CN"/>
              </w:rPr>
            </w:pPr>
            <w:r>
              <w:rPr>
                <w:rFonts w:ascii="Times New Roman" w:hAnsi="Times New Roman" w:cs="Times New Roman"/>
                <w:color w:val="auto"/>
                <w:spacing w:val="-1"/>
                <w:lang w:eastAsia="zh-CN"/>
              </w:rPr>
              <w:t>①总图布置和建筑安全防范措施：</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Times New Roman" w:hAnsi="Times New Roman" w:cs="Times New Roman"/>
                <w:color w:val="auto"/>
                <w:lang w:eastAsia="zh-CN"/>
              </w:rPr>
            </w:pPr>
            <w:r>
              <w:rPr>
                <w:rFonts w:ascii="Times New Roman" w:hAnsi="Times New Roman" w:cs="Times New Roman"/>
                <w:color w:val="auto"/>
                <w:spacing w:val="-2"/>
                <w:lang w:eastAsia="zh-CN"/>
              </w:rPr>
              <w:t>项目根据《工业企业总平面设计规范》（</w:t>
            </w:r>
            <w:r>
              <w:rPr>
                <w:rFonts w:ascii="Times New Roman" w:hAnsi="Times New Roman" w:eastAsia="Times New Roman" w:cs="Times New Roman"/>
                <w:color w:val="auto"/>
                <w:spacing w:val="-2"/>
                <w:lang w:eastAsia="zh-CN"/>
              </w:rPr>
              <w:t>GB50187-2012</w:t>
            </w:r>
            <w:r>
              <w:rPr>
                <w:rFonts w:ascii="Times New Roman" w:hAnsi="Times New Roman" w:cs="Times New Roman"/>
                <w:color w:val="auto"/>
                <w:spacing w:val="-2"/>
                <w:lang w:eastAsia="zh-CN"/>
              </w:rPr>
              <w:t>）、《工业企业设计</w:t>
            </w:r>
            <w:r>
              <w:rPr>
                <w:rFonts w:ascii="Times New Roman" w:hAnsi="Times New Roman" w:cs="Times New Roman"/>
                <w:color w:val="auto"/>
                <w:spacing w:val="-1"/>
                <w:lang w:eastAsia="zh-CN"/>
              </w:rPr>
              <w:t>卫生标准》（</w:t>
            </w:r>
            <w:r>
              <w:rPr>
                <w:rFonts w:ascii="Times New Roman" w:hAnsi="Times New Roman" w:eastAsia="Times New Roman" w:cs="Times New Roman"/>
                <w:color w:val="auto"/>
                <w:spacing w:val="-1"/>
                <w:lang w:eastAsia="zh-CN"/>
              </w:rPr>
              <w:t>GBZ1-2010</w:t>
            </w:r>
            <w:r>
              <w:rPr>
                <w:rFonts w:ascii="Times New Roman" w:hAnsi="Times New Roman" w:cs="Times New Roman"/>
                <w:color w:val="auto"/>
                <w:spacing w:val="-1"/>
                <w:lang w:eastAsia="zh-CN"/>
              </w:rPr>
              <w:t>）进行设计和布置。</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Times New Roman" w:hAnsi="Times New Roman" w:cs="Times New Roman"/>
                <w:color w:val="auto"/>
                <w:lang w:eastAsia="zh-CN"/>
              </w:rPr>
            </w:pPr>
            <w:r>
              <w:rPr>
                <w:rFonts w:ascii="Times New Roman" w:hAnsi="Times New Roman" w:eastAsia="Times New Roman" w:cs="Times New Roman"/>
                <w:color w:val="auto"/>
                <w:spacing w:val="1"/>
                <w:lang w:eastAsia="zh-CN"/>
              </w:rPr>
              <w:t>A</w:t>
            </w:r>
            <w:r>
              <w:rPr>
                <w:rFonts w:ascii="Times New Roman" w:hAnsi="Times New Roman" w:cs="Times New Roman"/>
                <w:color w:val="auto"/>
                <w:spacing w:val="1"/>
                <w:lang w:eastAsia="zh-CN"/>
              </w:rPr>
              <w:t>、总平面按功能分区布置，项目生产区、办公区分开，</w:t>
            </w:r>
            <w:r>
              <w:rPr>
                <w:rFonts w:ascii="Times New Roman" w:hAnsi="Times New Roman" w:cs="Times New Roman"/>
                <w:color w:val="auto"/>
                <w:lang w:eastAsia="zh-CN"/>
              </w:rPr>
              <w:t>与生产区设置安全</w:t>
            </w:r>
            <w:r>
              <w:rPr>
                <w:rFonts w:ascii="Times New Roman" w:hAnsi="Times New Roman" w:cs="Times New Roman"/>
                <w:color w:val="auto"/>
                <w:spacing w:val="-3"/>
                <w:lang w:eastAsia="zh-CN"/>
              </w:rPr>
              <w:t>距离。</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ascii="Times New Roman" w:hAnsi="Times New Roman" w:cs="Times New Roman"/>
                <w:color w:val="auto"/>
                <w:lang w:eastAsia="zh-CN"/>
              </w:rPr>
            </w:pPr>
            <w:r>
              <w:rPr>
                <w:rFonts w:ascii="Times New Roman" w:hAnsi="Times New Roman" w:eastAsia="Times New Roman" w:cs="Times New Roman"/>
                <w:color w:val="auto"/>
                <w:spacing w:val="-3"/>
                <w:lang w:eastAsia="zh-CN"/>
              </w:rPr>
              <w:t>B</w:t>
            </w:r>
            <w:r>
              <w:rPr>
                <w:rFonts w:ascii="Times New Roman" w:hAnsi="Times New Roman" w:cs="Times New Roman"/>
                <w:color w:val="auto"/>
                <w:spacing w:val="-3"/>
                <w:lang w:eastAsia="zh-CN"/>
              </w:rPr>
              <w:t>、项目原料、材料、成品及半成品的仓库、堆场，根据其储存物料的</w:t>
            </w:r>
            <w:r>
              <w:rPr>
                <w:rFonts w:ascii="Times New Roman" w:hAnsi="Times New Roman" w:cs="Times New Roman"/>
                <w:color w:val="auto"/>
                <w:spacing w:val="-4"/>
                <w:lang w:eastAsia="zh-CN"/>
              </w:rPr>
              <w:t>性质、</w:t>
            </w:r>
            <w:r>
              <w:rPr>
                <w:rFonts w:ascii="Times New Roman" w:hAnsi="Times New Roman" w:cs="Times New Roman"/>
                <w:color w:val="auto"/>
                <w:spacing w:val="-1"/>
                <w:lang w:eastAsia="zh-CN"/>
              </w:rPr>
              <w:t>数据、包装运输方式等条件，按不同类别进行了相对集中布置，靠近相关装置和运输路线，且符合防火、防爆、安全、卫生的规定。</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cs="Times New Roman"/>
                <w:color w:val="auto"/>
                <w:lang w:eastAsia="zh-CN"/>
              </w:rPr>
            </w:pPr>
            <w:r>
              <w:rPr>
                <w:rFonts w:ascii="Times New Roman" w:hAnsi="Times New Roman" w:eastAsia="Times New Roman" w:cs="Times New Roman"/>
                <w:color w:val="auto"/>
                <w:lang w:eastAsia="zh-CN"/>
              </w:rPr>
              <w:t>C</w:t>
            </w:r>
            <w:r>
              <w:rPr>
                <w:rFonts w:ascii="Times New Roman" w:hAnsi="Times New Roman" w:cs="Times New Roman"/>
                <w:color w:val="auto"/>
                <w:lang w:eastAsia="zh-CN"/>
              </w:rPr>
              <w:t>、项目生产、储存厂房按《建筑设计防火规范》（</w:t>
            </w:r>
            <w:r>
              <w:rPr>
                <w:rFonts w:ascii="Times New Roman" w:hAnsi="Times New Roman" w:eastAsia="Times New Roman" w:cs="Times New Roman"/>
                <w:color w:val="auto"/>
                <w:lang w:eastAsia="zh-CN"/>
              </w:rPr>
              <w:t>GB50016-2014</w:t>
            </w:r>
            <w:r>
              <w:rPr>
                <w:rFonts w:ascii="Times New Roman" w:hAnsi="Times New Roman" w:cs="Times New Roman"/>
                <w:color w:val="auto"/>
                <w:lang w:eastAsia="zh-CN"/>
              </w:rPr>
              <w:t>）要求建</w:t>
            </w:r>
            <w:r>
              <w:rPr>
                <w:rFonts w:ascii="Times New Roman" w:hAnsi="Times New Roman" w:cs="Times New Roman"/>
                <w:color w:val="auto"/>
                <w:spacing w:val="-7"/>
                <w:lang w:eastAsia="zh-CN"/>
              </w:rPr>
              <w:t>设。</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b w:val="0"/>
                <w:bCs w:val="0"/>
                <w:color w:val="auto"/>
                <w:u w:val="none"/>
                <w:lang w:eastAsia="zh-CN"/>
              </w:rPr>
            </w:pPr>
            <w:r>
              <w:rPr>
                <w:rFonts w:ascii="Times New Roman" w:hAnsi="Times New Roman" w:cs="Times New Roman"/>
                <w:b w:val="0"/>
                <w:bCs w:val="0"/>
                <w:color w:val="auto"/>
                <w:spacing w:val="-1"/>
                <w:u w:val="none"/>
                <w:lang w:eastAsia="zh-CN"/>
              </w:rPr>
              <w:t>②</w:t>
            </w:r>
            <w:r>
              <w:rPr>
                <w:b w:val="0"/>
                <w:bCs w:val="0"/>
                <w:color w:val="auto"/>
                <w:u w:val="none"/>
                <w:lang w:eastAsia="zh-CN"/>
              </w:rPr>
              <w:t>原辅材料风险防范措施</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b w:val="0"/>
                <w:bCs w:val="0"/>
                <w:color w:val="auto"/>
                <w:u w:val="none"/>
              </w:rPr>
            </w:pPr>
            <w:r>
              <w:rPr>
                <w:b w:val="0"/>
                <w:bCs w:val="0"/>
                <w:color w:val="auto"/>
                <w:u w:val="none"/>
              </w:rPr>
              <w:t>（1）在</w:t>
            </w:r>
            <w:r>
              <w:rPr>
                <w:rFonts w:hint="eastAsia"/>
                <w:b w:val="0"/>
                <w:bCs w:val="0"/>
                <w:color w:val="auto"/>
                <w:u w:val="none"/>
                <w:lang w:val="en-US" w:eastAsia="zh-CN"/>
              </w:rPr>
              <w:t>生产车间</w:t>
            </w:r>
            <w:r>
              <w:rPr>
                <w:b w:val="0"/>
                <w:bCs w:val="0"/>
                <w:color w:val="auto"/>
                <w:u w:val="none"/>
              </w:rPr>
              <w:t>醒目部位是否设置“防火、防静电”等安全警示铭牌；</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b w:val="0"/>
                <w:bCs w:val="0"/>
                <w:color w:val="auto"/>
                <w:u w:val="none"/>
              </w:rPr>
            </w:pPr>
            <w:r>
              <w:rPr>
                <w:b w:val="0"/>
                <w:bCs w:val="0"/>
                <w:color w:val="auto"/>
                <w:u w:val="none"/>
              </w:rPr>
              <w:t>（2）</w:t>
            </w:r>
            <w:r>
              <w:rPr>
                <w:rFonts w:hint="eastAsia"/>
                <w:b w:val="0"/>
                <w:bCs w:val="0"/>
                <w:color w:val="auto"/>
                <w:u w:val="none"/>
                <w:lang w:val="en-US" w:eastAsia="zh-CN"/>
              </w:rPr>
              <w:t>生产车间</w:t>
            </w:r>
            <w:r>
              <w:rPr>
                <w:b w:val="0"/>
                <w:bCs w:val="0"/>
                <w:color w:val="auto"/>
                <w:u w:val="none"/>
              </w:rPr>
              <w:t>的构造均应采用不燃或阻燃的材料；</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b w:val="0"/>
                <w:bCs w:val="0"/>
                <w:color w:val="auto"/>
                <w:u w:val="none"/>
              </w:rPr>
            </w:pPr>
            <w:r>
              <w:rPr>
                <w:b w:val="0"/>
                <w:bCs w:val="0"/>
                <w:color w:val="auto"/>
                <w:u w:val="none"/>
              </w:rPr>
              <w:t>（3）作业场所设置通风。排毒、除尘、屏蔽等预防火灾、爆炸、粉尘、毒物、噪声等危害的防护措施；</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b w:val="0"/>
                <w:bCs w:val="0"/>
                <w:color w:val="auto"/>
                <w:u w:val="none"/>
              </w:rPr>
            </w:pPr>
            <w:r>
              <w:rPr>
                <w:b w:val="0"/>
                <w:bCs w:val="0"/>
                <w:color w:val="auto"/>
                <w:u w:val="none"/>
              </w:rPr>
              <w:t>（</w:t>
            </w:r>
            <w:r>
              <w:rPr>
                <w:rFonts w:hint="eastAsia"/>
                <w:b w:val="0"/>
                <w:bCs w:val="0"/>
                <w:color w:val="auto"/>
                <w:u w:val="none"/>
                <w:lang w:val="en-US" w:eastAsia="zh-CN"/>
              </w:rPr>
              <w:t>4</w:t>
            </w:r>
            <w:r>
              <w:rPr>
                <w:b w:val="0"/>
                <w:bCs w:val="0"/>
                <w:color w:val="auto"/>
                <w:u w:val="none"/>
              </w:rPr>
              <w:t>）生产区、材料堆放、库房、生活区应分开布局，应设置防火分区，耐火等级和防火间距；</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b w:val="0"/>
                <w:bCs w:val="0"/>
                <w:color w:val="auto"/>
                <w:u w:val="none"/>
              </w:rPr>
            </w:pPr>
            <w:r>
              <w:rPr>
                <w:b w:val="0"/>
                <w:bCs w:val="0"/>
                <w:color w:val="auto"/>
                <w:u w:val="none"/>
              </w:rPr>
              <w:t>（</w:t>
            </w:r>
            <w:r>
              <w:rPr>
                <w:rFonts w:hint="eastAsia"/>
                <w:b w:val="0"/>
                <w:bCs w:val="0"/>
                <w:color w:val="auto"/>
                <w:u w:val="none"/>
                <w:lang w:val="en-US" w:eastAsia="zh-CN"/>
              </w:rPr>
              <w:t>5</w:t>
            </w:r>
            <w:r>
              <w:rPr>
                <w:b w:val="0"/>
                <w:bCs w:val="0"/>
                <w:color w:val="auto"/>
                <w:u w:val="none"/>
              </w:rPr>
              <w:t>）产生粉尘、毒物危害的生产区宜集中布置在产区全年最小频率风向的上风侧，且</w:t>
            </w:r>
            <w:r>
              <w:rPr>
                <w:rFonts w:hint="eastAsia"/>
                <w:b w:val="0"/>
                <w:bCs w:val="0"/>
                <w:color w:val="auto"/>
                <w:u w:val="none"/>
                <w:lang w:val="en-US" w:eastAsia="zh-CN"/>
              </w:rPr>
              <w:t>地势</w:t>
            </w:r>
            <w:r>
              <w:rPr>
                <w:b w:val="0"/>
                <w:bCs w:val="0"/>
                <w:color w:val="auto"/>
                <w:u w:val="none"/>
              </w:rPr>
              <w:t>开阔，通风条件良好的场所，对于多层厂房，产生有害气体的场所宜布置在建筑物的上层；</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b w:val="0"/>
                <w:bCs w:val="0"/>
                <w:color w:val="auto"/>
                <w:u w:val="none"/>
              </w:rPr>
            </w:pPr>
            <w:r>
              <w:rPr>
                <w:b w:val="0"/>
                <w:bCs w:val="0"/>
                <w:color w:val="auto"/>
                <w:u w:val="none"/>
              </w:rPr>
              <w:t>（</w:t>
            </w:r>
            <w:r>
              <w:rPr>
                <w:rFonts w:hint="eastAsia"/>
                <w:b w:val="0"/>
                <w:bCs w:val="0"/>
                <w:color w:val="auto"/>
                <w:u w:val="none"/>
                <w:lang w:val="en-US" w:eastAsia="zh-CN"/>
              </w:rPr>
              <w:t>6</w:t>
            </w:r>
            <w:r>
              <w:rPr>
                <w:b w:val="0"/>
                <w:bCs w:val="0"/>
                <w:color w:val="auto"/>
                <w:u w:val="none"/>
              </w:rPr>
              <w:t>）作业场所禁止吸烟和使用明火；</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b w:val="0"/>
                <w:bCs w:val="0"/>
                <w:color w:val="auto"/>
                <w:u w:val="none"/>
              </w:rPr>
            </w:pPr>
            <w:r>
              <w:rPr>
                <w:b w:val="0"/>
                <w:bCs w:val="0"/>
                <w:color w:val="auto"/>
                <w:u w:val="none"/>
              </w:rPr>
              <w:t>（</w:t>
            </w:r>
            <w:r>
              <w:rPr>
                <w:rFonts w:hint="eastAsia"/>
                <w:b w:val="0"/>
                <w:bCs w:val="0"/>
                <w:color w:val="auto"/>
                <w:u w:val="none"/>
                <w:lang w:val="en-US" w:eastAsia="zh-CN"/>
              </w:rPr>
              <w:t>7</w:t>
            </w:r>
            <w:r>
              <w:rPr>
                <w:b w:val="0"/>
                <w:bCs w:val="0"/>
                <w:color w:val="auto"/>
                <w:u w:val="none"/>
              </w:rPr>
              <w:t>）电气设备的接口应定期清理以防木屑粉尘堆积引起事故；</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b w:val="0"/>
                <w:bCs w:val="0"/>
                <w:color w:val="auto"/>
                <w:u w:val="none"/>
              </w:rPr>
            </w:pPr>
            <w:r>
              <w:rPr>
                <w:b w:val="0"/>
                <w:bCs w:val="0"/>
                <w:color w:val="auto"/>
                <w:u w:val="none"/>
              </w:rPr>
              <w:t>（</w:t>
            </w:r>
            <w:r>
              <w:rPr>
                <w:rFonts w:hint="eastAsia"/>
                <w:b w:val="0"/>
                <w:bCs w:val="0"/>
                <w:color w:val="auto"/>
                <w:u w:val="none"/>
                <w:lang w:val="en-US" w:eastAsia="zh-CN"/>
              </w:rPr>
              <w:t>8</w:t>
            </w:r>
            <w:r>
              <w:rPr>
                <w:b w:val="0"/>
                <w:bCs w:val="0"/>
                <w:color w:val="auto"/>
                <w:u w:val="none"/>
              </w:rPr>
              <w:t>）产生粉尘、毒物危害的生产工艺与设备已采取密闭方式，不能密闭时，应设置局部排风罩；</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b w:val="0"/>
                <w:bCs w:val="0"/>
                <w:color w:val="auto"/>
                <w:u w:val="none"/>
              </w:rPr>
            </w:pPr>
            <w:r>
              <w:rPr>
                <w:b w:val="0"/>
                <w:bCs w:val="0"/>
                <w:color w:val="auto"/>
                <w:u w:val="none"/>
              </w:rPr>
              <w:t>（</w:t>
            </w:r>
            <w:r>
              <w:rPr>
                <w:rFonts w:hint="eastAsia"/>
                <w:b w:val="0"/>
                <w:bCs w:val="0"/>
                <w:color w:val="auto"/>
                <w:u w:val="none"/>
                <w:lang w:val="en-US" w:eastAsia="zh-CN"/>
              </w:rPr>
              <w:t>9</w:t>
            </w:r>
            <w:r>
              <w:rPr>
                <w:b w:val="0"/>
                <w:bCs w:val="0"/>
                <w:color w:val="auto"/>
                <w:u w:val="none"/>
              </w:rPr>
              <w:t>）</w:t>
            </w:r>
            <w:r>
              <w:rPr>
                <w:rFonts w:hint="eastAsia"/>
                <w:b w:val="0"/>
                <w:bCs w:val="0"/>
                <w:color w:val="auto"/>
                <w:u w:val="none"/>
                <w:lang w:val="en-US" w:eastAsia="zh-CN"/>
              </w:rPr>
              <w:t>海绵胶</w:t>
            </w:r>
            <w:r>
              <w:rPr>
                <w:b w:val="0"/>
                <w:bCs w:val="0"/>
                <w:color w:val="auto"/>
                <w:u w:val="none"/>
              </w:rPr>
              <w:t>等应存储在阴凉通风的仓库内，避免受热。物料应按其危险特性进行分类、分区、分库贮存，不应超存、混存、露天堆放；</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eastAsia="宋体"/>
                <w:b w:val="0"/>
                <w:bCs w:val="0"/>
                <w:color w:val="auto"/>
                <w:u w:val="none"/>
                <w:lang w:eastAsia="zh-CN"/>
              </w:rPr>
            </w:pPr>
            <w:r>
              <w:rPr>
                <w:b w:val="0"/>
                <w:bCs w:val="0"/>
                <w:color w:val="auto"/>
                <w:u w:val="none"/>
              </w:rPr>
              <w:t>（1</w:t>
            </w:r>
            <w:r>
              <w:rPr>
                <w:rFonts w:hint="eastAsia"/>
                <w:b w:val="0"/>
                <w:bCs w:val="0"/>
                <w:color w:val="auto"/>
                <w:u w:val="none"/>
                <w:lang w:val="en-US" w:eastAsia="zh-CN"/>
              </w:rPr>
              <w:t>0</w:t>
            </w:r>
            <w:r>
              <w:rPr>
                <w:b w:val="0"/>
                <w:bCs w:val="0"/>
                <w:color w:val="auto"/>
                <w:u w:val="none"/>
              </w:rPr>
              <w:t>）</w:t>
            </w:r>
            <w:r>
              <w:rPr>
                <w:rFonts w:hint="eastAsia"/>
                <w:b w:val="0"/>
                <w:bCs w:val="0"/>
                <w:color w:val="auto"/>
                <w:u w:val="none"/>
                <w:lang w:val="en-US" w:eastAsia="zh-CN"/>
              </w:rPr>
              <w:t>生产</w:t>
            </w:r>
            <w:r>
              <w:rPr>
                <w:b w:val="0"/>
                <w:bCs w:val="0"/>
                <w:color w:val="auto"/>
                <w:u w:val="none"/>
              </w:rPr>
              <w:t>车间应设有两个以上的出入口，且保持畅通，操作工位与出入口安全门的紧急撤离距离一般不超过25m</w:t>
            </w:r>
            <w:r>
              <w:rPr>
                <w:rFonts w:hint="eastAsia"/>
                <w:b w:val="0"/>
                <w:bCs w:val="0"/>
                <w:color w:val="auto"/>
                <w:u w:val="none"/>
                <w:lang w:eastAsia="zh-CN"/>
              </w:rPr>
              <w:t>。</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ascii="Times New Roman" w:hAnsi="Times New Roman" w:cs="Times New Roman"/>
                <w:color w:val="auto"/>
                <w:lang w:eastAsia="zh-CN"/>
              </w:rPr>
            </w:pPr>
            <w:r>
              <w:rPr>
                <w:rFonts w:ascii="Times New Roman" w:hAnsi="Times New Roman" w:cs="Times New Roman"/>
                <w:color w:val="auto"/>
                <w:spacing w:val="-1"/>
                <w:lang w:eastAsia="zh-CN"/>
              </w:rPr>
              <w:t>③废气事故排放风险防范措施</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cs="Times New Roman"/>
                <w:color w:val="auto"/>
                <w:lang w:eastAsia="zh-CN"/>
              </w:rPr>
            </w:pPr>
            <w:r>
              <w:rPr>
                <w:rFonts w:ascii="Times New Roman" w:hAnsi="Times New Roman" w:cs="Times New Roman"/>
                <w:color w:val="auto"/>
                <w:lang w:eastAsia="zh-CN"/>
              </w:rPr>
              <w:t>若项目处理废气的抽风系统、吸附系统发生故障，会造成车间粉</w:t>
            </w:r>
            <w:r>
              <w:rPr>
                <w:rFonts w:ascii="Times New Roman" w:hAnsi="Times New Roman" w:cs="Times New Roman"/>
                <w:color w:val="auto"/>
                <w:spacing w:val="-1"/>
                <w:lang w:eastAsia="zh-CN"/>
              </w:rPr>
              <w:t>尘、有机废气无法及时抽出车间，进而影响车间的操作人员的健康，同时会造成工艺废</w:t>
            </w:r>
            <w:r>
              <w:rPr>
                <w:rFonts w:ascii="Times New Roman" w:hAnsi="Times New Roman" w:cs="Times New Roman"/>
                <w:color w:val="auto"/>
                <w:spacing w:val="-5"/>
                <w:lang w:eastAsia="zh-CN"/>
              </w:rPr>
              <w:t>气直排入环境中，造成大气污染。故建设单位应认真做好设备的保养，定期维护、</w:t>
            </w:r>
            <w:r>
              <w:rPr>
                <w:rFonts w:ascii="Times New Roman" w:hAnsi="Times New Roman" w:cs="Times New Roman"/>
                <w:color w:val="auto"/>
                <w:spacing w:val="-1"/>
                <w:lang w:eastAsia="zh-CN"/>
              </w:rPr>
              <w:t>保修工作，使处理设施达到预期效果。为确保不发生事故性废气排放，建议建设单位采取一定的事故性防范保护措施：</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Times New Roman" w:hAnsi="Times New Roman" w:cs="Times New Roman"/>
                <w:color w:val="auto"/>
                <w:lang w:eastAsia="zh-CN"/>
              </w:rPr>
            </w:pPr>
            <w:r>
              <w:rPr>
                <w:rFonts w:ascii="Times New Roman" w:hAnsi="Times New Roman" w:eastAsia="Times New Roman" w:cs="Times New Roman"/>
                <w:color w:val="auto"/>
                <w:spacing w:val="1"/>
                <w:lang w:eastAsia="zh-CN"/>
              </w:rPr>
              <w:t>A</w:t>
            </w:r>
            <w:r>
              <w:rPr>
                <w:rFonts w:ascii="Times New Roman" w:hAnsi="Times New Roman" w:cs="Times New Roman"/>
                <w:color w:val="auto"/>
                <w:spacing w:val="1"/>
                <w:lang w:eastAsia="zh-CN"/>
              </w:rPr>
              <w:t>、各生产环节严格执行生产管理的有关规定，加强设备的检修及保养，提</w:t>
            </w:r>
            <w:r>
              <w:rPr>
                <w:rFonts w:ascii="Times New Roman" w:hAnsi="Times New Roman" w:cs="Times New Roman"/>
                <w:color w:val="auto"/>
                <w:spacing w:val="-1"/>
                <w:lang w:eastAsia="zh-CN"/>
              </w:rPr>
              <w:t>高管理人员素质，并设置机器事故应急措施及管理制度，确保设备长期处于良好状态，使设备达到预期的处理效果。</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ascii="Times New Roman" w:hAnsi="Times New Roman" w:cs="Times New Roman"/>
                <w:color w:val="auto"/>
                <w:spacing w:val="-1"/>
                <w:lang w:eastAsia="zh-CN"/>
              </w:rPr>
            </w:pPr>
            <w:r>
              <w:rPr>
                <w:rFonts w:ascii="Times New Roman" w:hAnsi="Times New Roman" w:eastAsia="Times New Roman" w:cs="Times New Roman"/>
                <w:color w:val="auto"/>
                <w:spacing w:val="2"/>
                <w:lang w:eastAsia="zh-CN"/>
              </w:rPr>
              <w:t>B</w:t>
            </w:r>
            <w:r>
              <w:rPr>
                <w:rFonts w:ascii="Times New Roman" w:hAnsi="Times New Roman" w:cs="Times New Roman"/>
                <w:color w:val="auto"/>
                <w:spacing w:val="2"/>
                <w:lang w:eastAsia="zh-CN"/>
              </w:rPr>
              <w:t>、现场作业人员定时记录废气处理状况，</w:t>
            </w:r>
            <w:r>
              <w:rPr>
                <w:rFonts w:ascii="Times New Roman" w:hAnsi="Times New Roman" w:cs="Times New Roman"/>
                <w:color w:val="auto"/>
                <w:spacing w:val="1"/>
                <w:lang w:eastAsia="zh-CN"/>
              </w:rPr>
              <w:t>如对废气处理设施中的</w:t>
            </w:r>
            <w:r>
              <w:rPr>
                <w:rFonts w:hint="eastAsia" w:ascii="Times New Roman" w:hAnsi="Times New Roman" w:cs="Times New Roman"/>
                <w:color w:val="auto"/>
                <w:spacing w:val="1"/>
                <w:lang w:val="en-US" w:eastAsia="zh-CN"/>
              </w:rPr>
              <w:t>处理</w:t>
            </w:r>
            <w:r>
              <w:rPr>
                <w:rFonts w:ascii="Times New Roman" w:hAnsi="Times New Roman" w:cs="Times New Roman"/>
                <w:color w:val="auto"/>
                <w:spacing w:val="-1"/>
                <w:lang w:eastAsia="zh-CN"/>
              </w:rPr>
              <w:t>系统、抽风系统等设备进行点检工作，并派专人巡视，遇不良工作状况立即停止车间相关一旦造成事故风险作业，维修正常后再开始作业，杜绝事故性废气直排，并及时呈报单位主管。待检修完毕再通知生产车间相关工序。</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default" w:ascii="Times New Roman" w:hAnsi="Times New Roman" w:eastAsia="Times New Roman" w:cs="Times New Roman"/>
                <w:color w:val="auto"/>
                <w:spacing w:val="2"/>
                <w:lang w:val="en-US" w:eastAsia="zh-CN"/>
              </w:rPr>
            </w:pPr>
            <w:r>
              <w:rPr>
                <w:rFonts w:hint="eastAsia" w:ascii="Times New Roman" w:hAnsi="Times New Roman" w:eastAsia="Times New Roman" w:cs="Times New Roman"/>
                <w:color w:val="auto"/>
                <w:spacing w:val="2"/>
                <w:lang w:val="en-US" w:eastAsia="zh-CN"/>
              </w:rPr>
              <w:t>④废水事故排放风险防范措施</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Times New Roman" w:hAnsi="Times New Roman" w:eastAsia="Times New Roman" w:cs="Times New Roman"/>
                <w:color w:val="auto"/>
                <w:spacing w:val="2"/>
                <w:lang w:eastAsia="zh-CN"/>
              </w:rPr>
            </w:pPr>
            <w:r>
              <w:rPr>
                <w:rFonts w:hint="eastAsia" w:ascii="Times New Roman" w:hAnsi="Times New Roman" w:eastAsia="Times New Roman" w:cs="Times New Roman"/>
                <w:color w:val="auto"/>
                <w:spacing w:val="2"/>
                <w:lang w:eastAsia="zh-CN"/>
              </w:rPr>
              <w:t>生产过程中的原料</w:t>
            </w:r>
            <w:r>
              <w:rPr>
                <w:rFonts w:hint="eastAsia" w:ascii="Times New Roman" w:hAnsi="Times New Roman" w:eastAsia="Times New Roman" w:cs="Times New Roman"/>
                <w:color w:val="auto"/>
                <w:spacing w:val="2"/>
                <w:lang w:val="en-US" w:eastAsia="zh-CN"/>
              </w:rPr>
              <w:t>木材、布匹等属于易燃固体，极易</w:t>
            </w:r>
            <w:r>
              <w:rPr>
                <w:rFonts w:hint="eastAsia" w:ascii="Times New Roman" w:hAnsi="Times New Roman" w:eastAsia="Times New Roman" w:cs="Times New Roman"/>
                <w:color w:val="auto"/>
                <w:spacing w:val="2"/>
                <w:lang w:eastAsia="zh-CN"/>
              </w:rPr>
              <w:t>发生火灾事故。事故情况下，排放污水主要来源于消防水。</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Times New Roman" w:hAnsi="Times New Roman" w:eastAsia="Times New Roman" w:cs="Times New Roman"/>
                <w:color w:val="auto"/>
                <w:spacing w:val="2"/>
                <w:lang w:eastAsia="zh-CN"/>
              </w:rPr>
            </w:pPr>
            <w:r>
              <w:rPr>
                <w:rFonts w:hint="eastAsia" w:ascii="Times New Roman" w:hAnsi="Times New Roman" w:eastAsia="Times New Roman" w:cs="Times New Roman"/>
                <w:color w:val="auto"/>
                <w:spacing w:val="2"/>
                <w:lang w:eastAsia="zh-CN"/>
              </w:rPr>
              <w:t>消防废水主要为消防灭火过程中产生的废水，通过管网输送至清丰中州水务有限公司第二污水处理厂。</w:t>
            </w:r>
          </w:p>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ascii="Times New Roman" w:hAnsi="Times New Roman" w:eastAsia="Times New Roman" w:cs="Times New Roman"/>
                <w:color w:val="auto"/>
                <w:spacing w:val="2"/>
                <w:lang w:eastAsia="zh-CN"/>
              </w:rPr>
            </w:pPr>
            <w:r>
              <w:rPr>
                <w:rFonts w:hint="eastAsia" w:ascii="Times New Roman" w:hAnsi="Times New Roman" w:eastAsia="Times New Roman" w:cs="Times New Roman"/>
                <w:color w:val="auto"/>
                <w:spacing w:val="2"/>
                <w:lang w:eastAsia="zh-CN"/>
              </w:rPr>
              <w:t>采取环境风险防范措施及应急要求后，本建设项目环境风险可防控。</w:t>
            </w:r>
          </w:p>
          <w:p>
            <w:pPr>
              <w:pStyle w:val="33"/>
              <w:keepNext w:val="0"/>
              <w:pageBreakBefore w:val="0"/>
              <w:kinsoku/>
              <w:wordWrap/>
              <w:overflowPunct/>
              <w:topLinePunct w:val="0"/>
              <w:bidi w:val="0"/>
              <w:spacing w:before="57" w:line="219" w:lineRule="auto"/>
              <w:ind w:left="103"/>
              <w:rPr>
                <w:rFonts w:ascii="Times New Roman" w:hAnsi="Times New Roman" w:cs="Times New Roman"/>
                <w:color w:val="auto"/>
                <w:lang w:eastAsia="zh-CN"/>
              </w:rPr>
            </w:pPr>
            <w:r>
              <w:rPr>
                <w:rFonts w:hint="eastAsia" w:ascii="Times New Roman" w:hAnsi="Times New Roman" w:cs="Times New Roman"/>
                <w:b/>
                <w:bCs/>
                <w:color w:val="auto"/>
                <w:spacing w:val="-4"/>
                <w:lang w:val="en-US" w:eastAsia="zh-CN"/>
              </w:rPr>
              <w:t>7、</w:t>
            </w:r>
            <w:r>
              <w:rPr>
                <w:rFonts w:ascii="Times New Roman" w:hAnsi="Times New Roman" w:cs="Times New Roman"/>
                <w:b/>
                <w:bCs/>
                <w:color w:val="auto"/>
                <w:spacing w:val="-4"/>
                <w:lang w:eastAsia="zh-CN"/>
              </w:rPr>
              <w:t>项目环保“三同时”验收及环保投资</w:t>
            </w:r>
          </w:p>
          <w:p>
            <w:pPr>
              <w:pStyle w:val="33"/>
              <w:keepNext w:val="0"/>
              <w:pageBreakBefore w:val="0"/>
              <w:kinsoku/>
              <w:wordWrap/>
              <w:overflowPunct/>
              <w:topLinePunct w:val="0"/>
              <w:bidi w:val="0"/>
              <w:spacing w:before="147" w:line="219" w:lineRule="auto"/>
              <w:ind w:left="586"/>
              <w:rPr>
                <w:rFonts w:ascii="Times New Roman" w:hAnsi="Times New Roman" w:cs="Times New Roman"/>
                <w:color w:val="auto"/>
                <w:lang w:eastAsia="zh-CN"/>
              </w:rPr>
            </w:pPr>
            <w:r>
              <w:rPr>
                <w:rFonts w:ascii="Times New Roman" w:hAnsi="Times New Roman" w:cs="Times New Roman"/>
                <w:color w:val="auto"/>
                <w:spacing w:val="-3"/>
                <w:lang w:eastAsia="zh-CN"/>
              </w:rPr>
              <w:t>项目环保“三同时”验收内容</w:t>
            </w:r>
            <w:r>
              <w:rPr>
                <w:rFonts w:hint="eastAsia" w:ascii="Times New Roman" w:hAnsi="Times New Roman" w:cs="Times New Roman"/>
                <w:color w:val="auto"/>
                <w:spacing w:val="-3"/>
                <w:lang w:eastAsia="zh-CN"/>
              </w:rPr>
              <w:t>见</w:t>
            </w:r>
            <w:r>
              <w:rPr>
                <w:rFonts w:ascii="Times New Roman" w:hAnsi="Times New Roman" w:cs="Times New Roman"/>
                <w:color w:val="auto"/>
                <w:spacing w:val="-3"/>
                <w:lang w:eastAsia="zh-CN"/>
              </w:rPr>
              <w:t>下表。</w:t>
            </w:r>
          </w:p>
          <w:p>
            <w:pPr>
              <w:keepNext w:val="0"/>
              <w:pageBreakBefore w:val="0"/>
              <w:widowControl/>
              <w:kinsoku/>
              <w:wordWrap/>
              <w:overflowPunct/>
              <w:topLinePunct w:val="0"/>
              <w:autoSpaceDE w:val="0"/>
              <w:autoSpaceDN w:val="0"/>
              <w:bidi w:val="0"/>
              <w:adjustRightInd w:val="0"/>
              <w:snapToGrid w:val="0"/>
              <w:spacing w:line="360" w:lineRule="auto"/>
              <w:ind w:firstLine="474" w:firstLineChars="200"/>
              <w:jc w:val="center"/>
              <w:textAlignment w:val="baseline"/>
              <w:rPr>
                <w:rFonts w:hint="eastAsia" w:eastAsia="宋体"/>
                <w:b/>
                <w:bCs/>
                <w:color w:val="auto"/>
                <w:spacing w:val="-1"/>
                <w:u w:val="single"/>
                <w:lang w:eastAsia="zh-CN"/>
              </w:rPr>
            </w:pPr>
            <w:r>
              <w:rPr>
                <w:b/>
                <w:bCs/>
                <w:color w:val="auto"/>
                <w:spacing w:val="-2"/>
                <w:u w:val="single"/>
              </w:rPr>
              <w:t>表</w:t>
            </w:r>
            <w:r>
              <w:rPr>
                <w:rFonts w:eastAsia="Times New Roman"/>
                <w:b/>
                <w:bCs/>
                <w:color w:val="auto"/>
                <w:spacing w:val="-2"/>
                <w:u w:val="single"/>
              </w:rPr>
              <w:t>4-1</w:t>
            </w:r>
            <w:r>
              <w:rPr>
                <w:rFonts w:hint="eastAsia"/>
                <w:b/>
                <w:bCs/>
                <w:color w:val="auto"/>
                <w:spacing w:val="-2"/>
                <w:u w:val="single"/>
                <w:lang w:val="en-US" w:eastAsia="zh-CN"/>
              </w:rPr>
              <w:t>5</w:t>
            </w:r>
            <w:r>
              <w:rPr>
                <w:rFonts w:hint="eastAsia"/>
                <w:b/>
                <w:bCs/>
                <w:color w:val="auto"/>
                <w:spacing w:val="-2"/>
                <w:u w:val="single"/>
              </w:rPr>
              <w:t xml:space="preserve"> </w:t>
            </w:r>
            <w:r>
              <w:rPr>
                <w:rFonts w:hint="eastAsia"/>
                <w:b/>
                <w:bCs/>
                <w:color w:val="auto"/>
                <w:spacing w:val="-2"/>
                <w:u w:val="single"/>
                <w:lang w:val="en-US" w:eastAsia="zh-CN"/>
              </w:rPr>
              <w:t xml:space="preserve"> </w:t>
            </w:r>
            <w:r>
              <w:rPr>
                <w:b/>
                <w:bCs/>
                <w:color w:val="auto"/>
                <w:spacing w:val="-2"/>
                <w:u w:val="single"/>
              </w:rPr>
              <w:t>项目</w:t>
            </w:r>
            <w:r>
              <w:rPr>
                <w:rFonts w:hint="eastAsia"/>
                <w:b/>
                <w:bCs/>
                <w:color w:val="auto"/>
                <w:spacing w:val="-2"/>
                <w:u w:val="single"/>
                <w:lang w:val="en-US" w:eastAsia="zh-CN"/>
              </w:rPr>
              <w:t>环保</w:t>
            </w:r>
            <w:r>
              <w:rPr>
                <w:b/>
                <w:bCs/>
                <w:color w:val="auto"/>
                <w:spacing w:val="-2"/>
                <w:u w:val="single"/>
              </w:rPr>
              <w:t>投资</w:t>
            </w:r>
            <w:r>
              <w:rPr>
                <w:rFonts w:hint="eastAsia"/>
                <w:b/>
                <w:bCs/>
                <w:color w:val="auto"/>
                <w:spacing w:val="-2"/>
                <w:u w:val="single"/>
                <w:lang w:val="en-US" w:eastAsia="zh-CN"/>
              </w:rPr>
              <w:t>一览表</w:t>
            </w:r>
          </w:p>
          <w:tbl>
            <w:tblPr>
              <w:tblStyle w:val="32"/>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8"/>
              <w:gridCol w:w="1792"/>
              <w:gridCol w:w="1659"/>
              <w:gridCol w:w="3616"/>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1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b/>
                      <w:bCs/>
                      <w:sz w:val="21"/>
                      <w:szCs w:val="21"/>
                      <w:u w:val="single"/>
                      <w:lang w:val="en-US" w:eastAsia="zh-CN"/>
                    </w:rPr>
                  </w:pPr>
                  <w:r>
                    <w:rPr>
                      <w:rFonts w:hint="eastAsia"/>
                      <w:b/>
                      <w:bCs/>
                      <w:sz w:val="21"/>
                      <w:szCs w:val="21"/>
                      <w:u w:val="single"/>
                      <w:lang w:val="en-US" w:eastAsia="zh-CN"/>
                    </w:rPr>
                    <w:t>类别</w:t>
                  </w:r>
                </w:p>
              </w:tc>
              <w:tc>
                <w:tcPr>
                  <w:tcW w:w="1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产污环节</w:t>
                  </w:r>
                </w:p>
              </w:tc>
              <w:tc>
                <w:tcPr>
                  <w:tcW w:w="16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污染物</w:t>
                  </w:r>
                </w:p>
              </w:tc>
              <w:tc>
                <w:tcPr>
                  <w:tcW w:w="3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治理措施</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环保投资（万元）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1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b/>
                      <w:bCs/>
                      <w:sz w:val="21"/>
                      <w:szCs w:val="21"/>
                      <w:u w:val="single"/>
                      <w:lang w:val="en-US" w:eastAsia="zh-CN"/>
                    </w:rPr>
                  </w:pPr>
                  <w:r>
                    <w:rPr>
                      <w:rFonts w:hint="eastAsia"/>
                      <w:b/>
                      <w:bCs/>
                      <w:sz w:val="21"/>
                      <w:szCs w:val="21"/>
                      <w:u w:val="single"/>
                      <w:lang w:val="en-US" w:eastAsia="zh-CN"/>
                    </w:rPr>
                    <w:t>废水</w:t>
                  </w:r>
                </w:p>
              </w:tc>
              <w:tc>
                <w:tcPr>
                  <w:tcW w:w="1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生活办公</w:t>
                  </w:r>
                </w:p>
              </w:tc>
              <w:tc>
                <w:tcPr>
                  <w:tcW w:w="16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COD、BOD</w:t>
                  </w:r>
                  <w:r>
                    <w:rPr>
                      <w:rFonts w:hint="default"/>
                      <w:b/>
                      <w:bCs/>
                      <w:sz w:val="21"/>
                      <w:szCs w:val="21"/>
                      <w:u w:val="single"/>
                      <w:vertAlign w:val="subscript"/>
                      <w:lang w:val="en-US" w:eastAsia="zh-CN"/>
                    </w:rPr>
                    <w:t>5</w:t>
                  </w:r>
                  <w:r>
                    <w:rPr>
                      <w:rFonts w:hint="default"/>
                      <w:b/>
                      <w:bCs/>
                      <w:sz w:val="21"/>
                      <w:szCs w:val="21"/>
                      <w:u w:val="single"/>
                    </w:rPr>
                    <w:t>、SS、NH</w:t>
                  </w:r>
                  <w:r>
                    <w:rPr>
                      <w:rFonts w:hint="default"/>
                      <w:b/>
                      <w:bCs/>
                      <w:sz w:val="21"/>
                      <w:szCs w:val="21"/>
                      <w:u w:val="single"/>
                      <w:vertAlign w:val="subscript"/>
                    </w:rPr>
                    <w:t>3</w:t>
                  </w:r>
                  <w:r>
                    <w:rPr>
                      <w:rFonts w:hint="default"/>
                      <w:b/>
                      <w:bCs/>
                      <w:sz w:val="21"/>
                      <w:szCs w:val="21"/>
                      <w:u w:val="single"/>
                    </w:rPr>
                    <w:t>-</w:t>
                  </w:r>
                  <w:r>
                    <w:rPr>
                      <w:rFonts w:hint="default"/>
                      <w:b/>
                      <w:bCs/>
                      <w:sz w:val="21"/>
                      <w:szCs w:val="21"/>
                      <w:u w:val="single"/>
                      <w:lang w:val="en-US" w:eastAsia="zh-CN"/>
                    </w:rPr>
                    <w:t>N</w:t>
                  </w:r>
                  <w:r>
                    <w:rPr>
                      <w:rFonts w:hint="default"/>
                      <w:b/>
                      <w:bCs/>
                      <w:sz w:val="21"/>
                      <w:szCs w:val="21"/>
                      <w:u w:val="single"/>
                    </w:rPr>
                    <w:t>等</w:t>
                  </w:r>
                </w:p>
              </w:tc>
              <w:tc>
                <w:tcPr>
                  <w:tcW w:w="3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eastAsia="zh-CN"/>
                    </w:rPr>
                  </w:pPr>
                  <w:r>
                    <w:rPr>
                      <w:rFonts w:hint="eastAsia" w:ascii="Times New Roman" w:hAnsi="Times New Roman" w:eastAsia="Times New Roman" w:cs="Times New Roman"/>
                      <w:b/>
                      <w:bCs/>
                      <w:color w:val="auto"/>
                      <w:spacing w:val="7"/>
                      <w:sz w:val="21"/>
                      <w:szCs w:val="21"/>
                      <w:u w:val="single"/>
                      <w:lang w:val="en-US" w:eastAsia="zh-CN"/>
                    </w:rPr>
                    <w:t>利用</w:t>
                  </w:r>
                  <w:r>
                    <w:rPr>
                      <w:rFonts w:hint="eastAsia" w:eastAsia="Times New Roman" w:cs="Times New Roman"/>
                      <w:b/>
                      <w:bCs/>
                      <w:color w:val="auto"/>
                      <w:spacing w:val="7"/>
                      <w:sz w:val="21"/>
                      <w:szCs w:val="21"/>
                      <w:u w:val="single"/>
                      <w:lang w:val="en-US" w:eastAsia="zh-CN"/>
                    </w:rPr>
                    <w:t>伯</w:t>
                  </w:r>
                  <w:r>
                    <w:rPr>
                      <w:rFonts w:hint="eastAsia" w:ascii="Times New Roman" w:hAnsi="Times New Roman" w:eastAsia="Times New Roman" w:cs="Times New Roman"/>
                      <w:b/>
                      <w:bCs/>
                      <w:color w:val="auto"/>
                      <w:spacing w:val="7"/>
                      <w:sz w:val="21"/>
                      <w:szCs w:val="21"/>
                      <w:u w:val="single"/>
                      <w:lang w:val="en-US" w:eastAsia="zh-CN"/>
                    </w:rPr>
                    <w:t>特利园区</w:t>
                  </w:r>
                  <w:r>
                    <w:rPr>
                      <w:rFonts w:hint="default" w:ascii="Times New Roman" w:hAnsi="Times New Roman" w:eastAsia="Times New Roman" w:cs="Times New Roman"/>
                      <w:b/>
                      <w:bCs/>
                      <w:color w:val="auto"/>
                      <w:spacing w:val="7"/>
                      <w:sz w:val="21"/>
                      <w:szCs w:val="21"/>
                      <w:u w:val="single"/>
                      <w:lang w:eastAsia="zh-CN"/>
                    </w:rPr>
                    <w:t>化粪池</w:t>
                  </w:r>
                  <w:r>
                    <w:rPr>
                      <w:rFonts w:hint="default" w:ascii="Times New Roman" w:hAnsi="Times New Roman" w:cs="Times New Roman"/>
                      <w:b/>
                      <w:bCs/>
                      <w:color w:val="auto"/>
                      <w:spacing w:val="7"/>
                      <w:sz w:val="21"/>
                      <w:szCs w:val="21"/>
                      <w:u w:val="single"/>
                      <w:lang w:eastAsia="zh-CN"/>
                    </w:rPr>
                    <w:t>，</w:t>
                  </w:r>
                  <w:r>
                    <w:rPr>
                      <w:rFonts w:hint="eastAsia" w:ascii="Times New Roman" w:hAnsi="Times New Roman" w:cs="Times New Roman"/>
                      <w:b/>
                      <w:bCs/>
                      <w:color w:val="auto"/>
                      <w:spacing w:val="7"/>
                      <w:sz w:val="21"/>
                      <w:szCs w:val="21"/>
                      <w:u w:val="single"/>
                      <w:lang w:val="en-US" w:eastAsia="zh-CN"/>
                    </w:rPr>
                    <w:t>经处理后</w:t>
                  </w:r>
                  <w:r>
                    <w:rPr>
                      <w:rFonts w:hint="default" w:ascii="Times New Roman" w:hAnsi="Times New Roman" w:cs="Times New Roman"/>
                      <w:b/>
                      <w:bCs/>
                      <w:color w:val="auto"/>
                      <w:spacing w:val="7"/>
                      <w:sz w:val="21"/>
                      <w:szCs w:val="21"/>
                      <w:u w:val="single"/>
                      <w:lang w:eastAsia="zh-CN"/>
                    </w:rPr>
                    <w:t>排入</w:t>
                  </w:r>
                  <w:r>
                    <w:rPr>
                      <w:rFonts w:hint="default" w:ascii="Times New Roman" w:hAnsi="Times New Roman" w:cs="Times New Roman"/>
                      <w:b/>
                      <w:bCs/>
                      <w:color w:val="auto"/>
                      <w:spacing w:val="24"/>
                      <w:sz w:val="21"/>
                      <w:szCs w:val="21"/>
                      <w:u w:val="single"/>
                      <w:lang w:eastAsia="zh-CN"/>
                    </w:rPr>
                    <w:t>清丰中州水务有限公</w:t>
                  </w:r>
                  <w:r>
                    <w:rPr>
                      <w:rFonts w:hint="default" w:ascii="Times New Roman" w:hAnsi="Times New Roman" w:cs="Times New Roman"/>
                      <w:b/>
                      <w:bCs/>
                      <w:color w:val="auto"/>
                      <w:spacing w:val="25"/>
                      <w:sz w:val="21"/>
                      <w:szCs w:val="21"/>
                      <w:u w:val="single"/>
                      <w:lang w:eastAsia="zh-CN"/>
                    </w:rPr>
                    <w:t>司第二污水处理厂</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b/>
                      <w:bCs/>
                      <w:sz w:val="21"/>
                      <w:szCs w:val="21"/>
                      <w:u w:val="single"/>
                      <w:lang w:eastAsia="zh-CN"/>
                    </w:rPr>
                  </w:pPr>
                  <w:r>
                    <w:rPr>
                      <w:rFonts w:hint="eastAsia"/>
                      <w:b/>
                      <w:bCs/>
                      <w:sz w:val="21"/>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1078"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b/>
                      <w:bCs/>
                      <w:sz w:val="21"/>
                      <w:szCs w:val="21"/>
                      <w:u w:val="single"/>
                      <w:lang w:val="en-US" w:eastAsia="zh-CN"/>
                    </w:rPr>
                  </w:pPr>
                  <w:r>
                    <w:rPr>
                      <w:rFonts w:hint="eastAsia"/>
                      <w:b/>
                      <w:bCs/>
                      <w:sz w:val="21"/>
                      <w:szCs w:val="21"/>
                      <w:u w:val="single"/>
                      <w:lang w:val="en-US" w:eastAsia="zh-CN"/>
                    </w:rPr>
                    <w:t>废气</w:t>
                  </w:r>
                </w:p>
              </w:tc>
              <w:tc>
                <w:tcPr>
                  <w:tcW w:w="1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木加工</w:t>
                  </w:r>
                </w:p>
              </w:tc>
              <w:tc>
                <w:tcPr>
                  <w:tcW w:w="16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粉尘（以颗粒物计）</w:t>
                  </w:r>
                </w:p>
              </w:tc>
              <w:tc>
                <w:tcPr>
                  <w:tcW w:w="3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eastAsia="zh-CN"/>
                    </w:rPr>
                  </w:pPr>
                  <w:r>
                    <w:rPr>
                      <w:rFonts w:hint="default"/>
                      <w:b/>
                      <w:bCs/>
                      <w:sz w:val="21"/>
                      <w:szCs w:val="21"/>
                      <w:u w:val="single"/>
                      <w:lang w:val="en-US" w:eastAsia="zh-CN"/>
                    </w:rPr>
                    <w:t>1</w:t>
                  </w:r>
                  <w:r>
                    <w:rPr>
                      <w:rFonts w:hint="default"/>
                      <w:b/>
                      <w:bCs/>
                      <w:sz w:val="21"/>
                      <w:szCs w:val="21"/>
                      <w:u w:val="single"/>
                      <w:lang w:eastAsia="zh-CN"/>
                    </w:rPr>
                    <w:t>套</w:t>
                  </w:r>
                  <w:r>
                    <w:rPr>
                      <w:rFonts w:hint="default"/>
                      <w:b/>
                      <w:bCs/>
                      <w:sz w:val="21"/>
                      <w:szCs w:val="21"/>
                      <w:u w:val="single"/>
                      <w:lang w:val="en-US" w:eastAsia="zh-CN"/>
                    </w:rPr>
                    <w:t>中央</w:t>
                  </w:r>
                  <w:r>
                    <w:rPr>
                      <w:rFonts w:hint="default"/>
                      <w:b/>
                      <w:bCs/>
                      <w:sz w:val="21"/>
                      <w:szCs w:val="21"/>
                      <w:u w:val="single"/>
                      <w:lang w:eastAsia="zh-CN"/>
                    </w:rPr>
                    <w:t>除尘器+15m排气筒（DA001）</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val="en-US" w:eastAsia="zh-CN"/>
                    </w:rPr>
                  </w:pPr>
                  <w:r>
                    <w:rPr>
                      <w:rFonts w:hint="default"/>
                      <w:b/>
                      <w:bCs/>
                      <w:sz w:val="21"/>
                      <w:szCs w:val="21"/>
                      <w:u w:val="singl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1078"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val="en-US" w:eastAsia="zh-CN"/>
                    </w:rPr>
                  </w:pPr>
                </w:p>
              </w:tc>
              <w:tc>
                <w:tcPr>
                  <w:tcW w:w="1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eastAsia="zh-CN"/>
                    </w:rPr>
                  </w:pPr>
                  <w:r>
                    <w:rPr>
                      <w:rFonts w:hint="default"/>
                      <w:b/>
                      <w:bCs/>
                      <w:sz w:val="21"/>
                      <w:szCs w:val="21"/>
                      <w:u w:val="single"/>
                      <w:lang w:val="en-US" w:eastAsia="zh-CN"/>
                    </w:rPr>
                    <w:t>封边、粘贴、危废间</w:t>
                  </w:r>
                  <w:r>
                    <w:rPr>
                      <w:rFonts w:hint="default"/>
                      <w:b/>
                      <w:bCs/>
                      <w:sz w:val="21"/>
                      <w:szCs w:val="21"/>
                      <w:u w:val="single"/>
                      <w:lang w:eastAsia="zh-CN"/>
                    </w:rPr>
                    <w:t>等有机废气</w:t>
                  </w:r>
                </w:p>
              </w:tc>
              <w:tc>
                <w:tcPr>
                  <w:tcW w:w="16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eastAsia="zh-CN"/>
                    </w:rPr>
                  </w:pPr>
                  <w:r>
                    <w:rPr>
                      <w:rFonts w:hint="default"/>
                      <w:b/>
                      <w:bCs/>
                      <w:sz w:val="21"/>
                      <w:szCs w:val="21"/>
                      <w:u w:val="single"/>
                      <w:lang w:eastAsia="zh-CN"/>
                    </w:rPr>
                    <w:t>非甲烷总烃</w:t>
                  </w:r>
                </w:p>
              </w:tc>
              <w:tc>
                <w:tcPr>
                  <w:tcW w:w="3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eastAsia="zh-CN"/>
                    </w:rPr>
                  </w:pPr>
                  <w:r>
                    <w:rPr>
                      <w:rFonts w:hint="default"/>
                      <w:b/>
                      <w:bCs/>
                      <w:sz w:val="21"/>
                      <w:szCs w:val="21"/>
                      <w:u w:val="single"/>
                      <w:lang w:val="en-US" w:eastAsia="zh-CN"/>
                    </w:rPr>
                    <w:t>1套</w:t>
                  </w:r>
                  <w:r>
                    <w:rPr>
                      <w:rFonts w:hint="eastAsia"/>
                      <w:b/>
                      <w:bCs/>
                      <w:sz w:val="21"/>
                      <w:szCs w:val="21"/>
                      <w:u w:val="single"/>
                      <w:lang w:eastAsia="zh-CN"/>
                    </w:rPr>
                    <w:t>两级活性炭吸附</w:t>
                  </w:r>
                  <w:r>
                    <w:rPr>
                      <w:rFonts w:hint="default"/>
                      <w:b/>
                      <w:bCs/>
                      <w:sz w:val="21"/>
                      <w:szCs w:val="21"/>
                      <w:u w:val="single"/>
                      <w:lang w:eastAsia="zh-CN"/>
                    </w:rPr>
                    <w:t>装置+15m高排气筒（DA00</w:t>
                  </w:r>
                  <w:r>
                    <w:rPr>
                      <w:rFonts w:hint="default"/>
                      <w:b/>
                      <w:bCs/>
                      <w:sz w:val="21"/>
                      <w:szCs w:val="21"/>
                      <w:u w:val="single"/>
                      <w:lang w:val="en-US" w:eastAsia="zh-CN"/>
                    </w:rPr>
                    <w:t>2</w:t>
                  </w:r>
                  <w:r>
                    <w:rPr>
                      <w:rFonts w:hint="default"/>
                      <w:b/>
                      <w:bCs/>
                      <w:sz w:val="21"/>
                      <w:szCs w:val="21"/>
                      <w:u w:val="single"/>
                      <w:lang w:eastAsia="zh-CN"/>
                    </w:rPr>
                    <w:t>）</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eastAsia"/>
                      <w:b/>
                      <w:bCs/>
                      <w:sz w:val="21"/>
                      <w:szCs w:val="21"/>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1078"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b/>
                      <w:bCs/>
                      <w:sz w:val="21"/>
                      <w:szCs w:val="21"/>
                      <w:u w:val="single"/>
                      <w:lang w:val="en-US" w:eastAsia="zh-CN"/>
                    </w:rPr>
                  </w:pPr>
                  <w:r>
                    <w:rPr>
                      <w:rFonts w:hint="eastAsia"/>
                      <w:b/>
                      <w:bCs/>
                      <w:sz w:val="21"/>
                      <w:szCs w:val="21"/>
                      <w:u w:val="single"/>
                      <w:lang w:val="en-US" w:eastAsia="zh-CN"/>
                    </w:rPr>
                    <w:t>固废</w:t>
                  </w:r>
                </w:p>
              </w:tc>
              <w:tc>
                <w:tcPr>
                  <w:tcW w:w="1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生产过程</w:t>
                  </w:r>
                </w:p>
              </w:tc>
              <w:tc>
                <w:tcPr>
                  <w:tcW w:w="16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一般固废</w:t>
                  </w:r>
                </w:p>
              </w:tc>
              <w:tc>
                <w:tcPr>
                  <w:tcW w:w="3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1×</w:t>
                  </w:r>
                  <w:r>
                    <w:rPr>
                      <w:rFonts w:hint="eastAsia"/>
                      <w:b/>
                      <w:bCs/>
                      <w:sz w:val="21"/>
                      <w:szCs w:val="21"/>
                      <w:u w:val="single"/>
                      <w:lang w:val="en-US" w:eastAsia="zh-CN"/>
                    </w:rPr>
                    <w:t>2</w:t>
                  </w:r>
                  <w:r>
                    <w:rPr>
                      <w:rFonts w:hint="default"/>
                      <w:b/>
                      <w:bCs/>
                      <w:sz w:val="21"/>
                      <w:szCs w:val="21"/>
                      <w:u w:val="single"/>
                    </w:rPr>
                    <w:t>0m</w:t>
                  </w:r>
                  <w:r>
                    <w:rPr>
                      <w:rFonts w:hint="eastAsia"/>
                      <w:b/>
                      <w:bCs/>
                      <w:sz w:val="21"/>
                      <w:szCs w:val="21"/>
                      <w:u w:val="single"/>
                      <w:vertAlign w:val="superscript"/>
                      <w:lang w:val="en-US" w:eastAsia="zh-CN"/>
                    </w:rPr>
                    <w:t>2</w:t>
                  </w:r>
                  <w:r>
                    <w:rPr>
                      <w:rFonts w:hint="default"/>
                      <w:b/>
                      <w:bCs/>
                      <w:sz w:val="21"/>
                      <w:szCs w:val="21"/>
                      <w:u w:val="single"/>
                    </w:rPr>
                    <w:t>一般固废间</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21"/>
                      <w:szCs w:val="21"/>
                      <w:u w:val="single"/>
                      <w:lang w:eastAsia="zh-CN"/>
                    </w:rPr>
                  </w:pPr>
                  <w:r>
                    <w:rPr>
                      <w:rFonts w:hint="eastAsia"/>
                      <w:b/>
                      <w:bCs/>
                      <w:sz w:val="21"/>
                      <w:szCs w:val="21"/>
                      <w:u w:val="singl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1078"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p>
              </w:tc>
              <w:tc>
                <w:tcPr>
                  <w:tcW w:w="1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生产过程</w:t>
                  </w:r>
                </w:p>
              </w:tc>
              <w:tc>
                <w:tcPr>
                  <w:tcW w:w="16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危险废物</w:t>
                  </w:r>
                </w:p>
              </w:tc>
              <w:tc>
                <w:tcPr>
                  <w:tcW w:w="3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1×</w:t>
                  </w:r>
                  <w:r>
                    <w:rPr>
                      <w:rFonts w:hint="eastAsia"/>
                      <w:b/>
                      <w:bCs/>
                      <w:sz w:val="21"/>
                      <w:szCs w:val="21"/>
                      <w:u w:val="single"/>
                      <w:lang w:val="en-US" w:eastAsia="zh-CN"/>
                    </w:rPr>
                    <w:t>2</w:t>
                  </w:r>
                  <w:r>
                    <w:rPr>
                      <w:rFonts w:hint="default"/>
                      <w:b/>
                      <w:bCs/>
                      <w:sz w:val="21"/>
                      <w:szCs w:val="21"/>
                      <w:u w:val="single"/>
                    </w:rPr>
                    <w:t>0m</w:t>
                  </w:r>
                  <w:r>
                    <w:rPr>
                      <w:rFonts w:hint="eastAsia"/>
                      <w:b/>
                      <w:bCs/>
                      <w:sz w:val="21"/>
                      <w:szCs w:val="21"/>
                      <w:u w:val="single"/>
                      <w:vertAlign w:val="superscript"/>
                      <w:lang w:val="en-US" w:eastAsia="zh-CN"/>
                    </w:rPr>
                    <w:t>2</w:t>
                  </w:r>
                  <w:r>
                    <w:rPr>
                      <w:rFonts w:hint="default"/>
                      <w:b/>
                      <w:bCs/>
                      <w:sz w:val="21"/>
                      <w:szCs w:val="21"/>
                      <w:u w:val="single"/>
                    </w:rPr>
                    <w:t>危废间</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21"/>
                      <w:szCs w:val="21"/>
                      <w:u w:val="single"/>
                      <w:lang w:eastAsia="zh-CN"/>
                    </w:rPr>
                  </w:pPr>
                  <w:r>
                    <w:rPr>
                      <w:rFonts w:hint="eastAsia"/>
                      <w:b/>
                      <w:bCs/>
                      <w:sz w:val="21"/>
                      <w:szCs w:val="21"/>
                      <w:u w:val="singl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1078"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p>
              </w:tc>
              <w:tc>
                <w:tcPr>
                  <w:tcW w:w="1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办公</w:t>
                  </w:r>
                </w:p>
              </w:tc>
              <w:tc>
                <w:tcPr>
                  <w:tcW w:w="16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生活垃圾</w:t>
                  </w:r>
                </w:p>
              </w:tc>
              <w:tc>
                <w:tcPr>
                  <w:tcW w:w="3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垃圾集中收集桶</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1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b/>
                      <w:bCs/>
                      <w:sz w:val="21"/>
                      <w:szCs w:val="21"/>
                      <w:u w:val="single"/>
                      <w:lang w:val="en-US" w:eastAsia="zh-CN"/>
                    </w:rPr>
                  </w:pPr>
                  <w:r>
                    <w:rPr>
                      <w:rFonts w:hint="eastAsia"/>
                      <w:b/>
                      <w:bCs/>
                      <w:sz w:val="21"/>
                      <w:szCs w:val="21"/>
                      <w:u w:val="single"/>
                      <w:lang w:val="en-US" w:eastAsia="zh-CN"/>
                    </w:rPr>
                    <w:t>噪声</w:t>
                  </w:r>
                </w:p>
              </w:tc>
              <w:tc>
                <w:tcPr>
                  <w:tcW w:w="1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生产过程</w:t>
                  </w:r>
                </w:p>
              </w:tc>
              <w:tc>
                <w:tcPr>
                  <w:tcW w:w="16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设备噪声</w:t>
                  </w:r>
                </w:p>
              </w:tc>
              <w:tc>
                <w:tcPr>
                  <w:tcW w:w="3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eastAsia="zh-CN"/>
                    </w:rPr>
                  </w:pPr>
                  <w:r>
                    <w:rPr>
                      <w:rFonts w:hint="default"/>
                      <w:b/>
                      <w:bCs/>
                      <w:sz w:val="21"/>
                      <w:szCs w:val="21"/>
                      <w:u w:val="single"/>
                      <w:lang w:eastAsia="zh-CN"/>
                    </w:rPr>
                    <w:t>设备安装减振垫、厂房隔声</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10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b/>
                      <w:bCs/>
                      <w:sz w:val="21"/>
                      <w:szCs w:val="21"/>
                      <w:u w:val="single"/>
                      <w:lang w:val="en-US" w:eastAsia="zh-CN"/>
                    </w:rPr>
                  </w:pPr>
                  <w:r>
                    <w:rPr>
                      <w:rFonts w:hint="eastAsia"/>
                      <w:b/>
                      <w:bCs/>
                      <w:sz w:val="21"/>
                      <w:szCs w:val="21"/>
                      <w:u w:val="single"/>
                      <w:lang w:val="en-US" w:eastAsia="zh-CN"/>
                    </w:rPr>
                    <w:t>环境风险</w:t>
                  </w:r>
                </w:p>
              </w:tc>
              <w:tc>
                <w:tcPr>
                  <w:tcW w:w="1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生产过程</w:t>
                  </w:r>
                </w:p>
              </w:tc>
              <w:tc>
                <w:tcPr>
                  <w:tcW w:w="16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环境风险</w:t>
                  </w:r>
                </w:p>
              </w:tc>
              <w:tc>
                <w:tcPr>
                  <w:tcW w:w="36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eastAsia="zh-CN"/>
                    </w:rPr>
                  </w:pPr>
                  <w:r>
                    <w:rPr>
                      <w:rFonts w:hint="default"/>
                      <w:b/>
                      <w:bCs/>
                      <w:sz w:val="21"/>
                      <w:szCs w:val="21"/>
                      <w:u w:val="single"/>
                      <w:lang w:eastAsia="zh-CN"/>
                    </w:rPr>
                    <w:t>火灾自动报警装置、灭火器等消防器材、消防物品、防护用具等</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rPr>
                  </w:pPr>
                  <w:r>
                    <w:rPr>
                      <w:rFonts w:hint="default"/>
                      <w:b/>
                      <w:bCs/>
                      <w:sz w:val="21"/>
                      <w:szCs w:val="21"/>
                      <w:u w:val="singl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8145"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1"/>
                      <w:szCs w:val="21"/>
                      <w:u w:val="single"/>
                      <w:lang w:val="en-US" w:eastAsia="zh-CN"/>
                    </w:rPr>
                  </w:pPr>
                  <w:r>
                    <w:rPr>
                      <w:rFonts w:hint="eastAsia"/>
                      <w:b/>
                      <w:bCs/>
                      <w:sz w:val="21"/>
                      <w:szCs w:val="21"/>
                      <w:u w:val="single"/>
                      <w:lang w:val="en-US" w:eastAsia="zh-CN"/>
                    </w:rPr>
                    <w:t>合计</w:t>
                  </w:r>
                </w:p>
              </w:tc>
              <w:tc>
                <w:tcPr>
                  <w:tcW w:w="11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b/>
                      <w:bCs/>
                      <w:sz w:val="21"/>
                      <w:szCs w:val="21"/>
                      <w:u w:val="single"/>
                      <w:lang w:val="en-US" w:eastAsia="zh-CN"/>
                    </w:rPr>
                  </w:pPr>
                  <w:r>
                    <w:rPr>
                      <w:rFonts w:hint="eastAsia"/>
                      <w:b/>
                      <w:bCs/>
                      <w:sz w:val="21"/>
                      <w:szCs w:val="21"/>
                      <w:u w:val="single"/>
                      <w:lang w:val="en-US" w:eastAsia="zh-CN"/>
                    </w:rPr>
                    <w:t>45</w:t>
                  </w:r>
                </w:p>
              </w:tc>
            </w:tr>
          </w:tbl>
          <w:p>
            <w:pPr>
              <w:pStyle w:val="33"/>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Times New Roman" w:hAnsi="Times New Roman" w:eastAsia="Times New Roman" w:cs="Times New Roman"/>
                <w:b/>
                <w:bCs/>
                <w:color w:val="auto"/>
                <w:spacing w:val="2"/>
                <w:u w:val="single"/>
                <w:lang w:eastAsia="zh-CN"/>
              </w:rPr>
            </w:pPr>
            <w:r>
              <w:rPr>
                <w:rFonts w:hint="default" w:ascii="Times New Roman" w:hAnsi="Times New Roman" w:eastAsia="Times New Roman" w:cs="Times New Roman"/>
                <w:b/>
                <w:bCs/>
                <w:color w:val="auto"/>
                <w:spacing w:val="2"/>
                <w:u w:val="single"/>
                <w:lang w:val="en-US" w:eastAsia="zh-CN"/>
              </w:rPr>
              <w:t>项目总投资</w:t>
            </w:r>
            <w:r>
              <w:rPr>
                <w:rFonts w:hint="eastAsia" w:ascii="Times New Roman" w:hAnsi="Times New Roman" w:eastAsia="Times New Roman" w:cs="Times New Roman"/>
                <w:b/>
                <w:bCs/>
                <w:color w:val="auto"/>
                <w:spacing w:val="2"/>
                <w:u w:val="single"/>
                <w:lang w:val="en-US" w:eastAsia="zh-CN"/>
              </w:rPr>
              <w:t>1000</w:t>
            </w:r>
            <w:r>
              <w:rPr>
                <w:rFonts w:hint="default" w:ascii="Times New Roman" w:hAnsi="Times New Roman" w:eastAsia="Times New Roman" w:cs="Times New Roman"/>
                <w:b/>
                <w:bCs/>
                <w:color w:val="auto"/>
                <w:spacing w:val="2"/>
                <w:u w:val="single"/>
                <w:lang w:val="en-US" w:eastAsia="zh-CN"/>
              </w:rPr>
              <w:t>万元，其中环保投资</w:t>
            </w:r>
            <w:r>
              <w:rPr>
                <w:rFonts w:hint="eastAsia" w:ascii="Times New Roman" w:hAnsi="Times New Roman" w:eastAsia="Times New Roman" w:cs="Times New Roman"/>
                <w:b/>
                <w:bCs/>
                <w:color w:val="auto"/>
                <w:spacing w:val="2"/>
                <w:u w:val="single"/>
                <w:lang w:val="en-US" w:eastAsia="zh-CN"/>
              </w:rPr>
              <w:t>45</w:t>
            </w:r>
            <w:r>
              <w:rPr>
                <w:rFonts w:hint="default" w:ascii="Times New Roman" w:hAnsi="Times New Roman" w:eastAsia="Times New Roman" w:cs="Times New Roman"/>
                <w:b/>
                <w:bCs/>
                <w:color w:val="auto"/>
                <w:spacing w:val="2"/>
                <w:u w:val="single"/>
                <w:lang w:val="en-US" w:eastAsia="zh-CN"/>
              </w:rPr>
              <w:t>万元，占总投资的</w:t>
            </w:r>
            <w:r>
              <w:rPr>
                <w:rFonts w:hint="eastAsia" w:ascii="Times New Roman" w:hAnsi="Times New Roman" w:eastAsia="Times New Roman" w:cs="Times New Roman"/>
                <w:b/>
                <w:bCs/>
                <w:color w:val="auto"/>
                <w:spacing w:val="2"/>
                <w:u w:val="single"/>
                <w:lang w:val="en-US" w:eastAsia="zh-CN"/>
              </w:rPr>
              <w:t>4.5</w:t>
            </w:r>
            <w:r>
              <w:rPr>
                <w:rFonts w:hint="default" w:ascii="Times New Roman" w:hAnsi="Times New Roman" w:eastAsia="Times New Roman" w:cs="Times New Roman"/>
                <w:b/>
                <w:bCs/>
                <w:color w:val="auto"/>
                <w:spacing w:val="2"/>
                <w:u w:val="single"/>
                <w:lang w:val="en-US" w:eastAsia="zh-CN"/>
              </w:rPr>
              <w:t>%。</w:t>
            </w:r>
          </w:p>
          <w:p>
            <w:pPr>
              <w:keepNext w:val="0"/>
              <w:pageBreakBefore w:val="0"/>
              <w:widowControl/>
              <w:kinsoku/>
              <w:wordWrap/>
              <w:overflowPunct/>
              <w:topLinePunct w:val="0"/>
              <w:autoSpaceDE w:val="0"/>
              <w:autoSpaceDN w:val="0"/>
              <w:bidi w:val="0"/>
              <w:adjustRightInd w:val="0"/>
              <w:snapToGrid w:val="0"/>
              <w:spacing w:line="360" w:lineRule="auto"/>
              <w:ind w:firstLine="474" w:firstLineChars="200"/>
              <w:jc w:val="center"/>
              <w:textAlignment w:val="baseline"/>
              <w:rPr>
                <w:rFonts w:hint="eastAsia" w:eastAsia="宋体"/>
                <w:b/>
                <w:bCs/>
                <w:color w:val="auto"/>
                <w:spacing w:val="-1"/>
                <w:u w:val="single"/>
                <w:lang w:val="en-US" w:eastAsia="zh-CN"/>
              </w:rPr>
            </w:pPr>
            <w:r>
              <w:rPr>
                <w:b/>
                <w:bCs/>
                <w:color w:val="auto"/>
                <w:spacing w:val="-2"/>
                <w:u w:val="single"/>
              </w:rPr>
              <w:t>表</w:t>
            </w:r>
            <w:r>
              <w:rPr>
                <w:rFonts w:eastAsia="Times New Roman"/>
                <w:b/>
                <w:bCs/>
                <w:color w:val="auto"/>
                <w:spacing w:val="-2"/>
                <w:u w:val="single"/>
              </w:rPr>
              <w:t>4-1</w:t>
            </w:r>
            <w:r>
              <w:rPr>
                <w:rFonts w:hint="eastAsia"/>
                <w:b/>
                <w:bCs/>
                <w:color w:val="auto"/>
                <w:spacing w:val="-2"/>
                <w:u w:val="single"/>
                <w:lang w:val="en-US" w:eastAsia="zh-CN"/>
              </w:rPr>
              <w:t>6</w:t>
            </w:r>
            <w:r>
              <w:rPr>
                <w:rFonts w:hint="eastAsia"/>
                <w:b/>
                <w:bCs/>
                <w:color w:val="auto"/>
                <w:spacing w:val="-2"/>
                <w:u w:val="single"/>
              </w:rPr>
              <w:t xml:space="preserve"> </w:t>
            </w:r>
            <w:r>
              <w:rPr>
                <w:rFonts w:hint="eastAsia"/>
                <w:b/>
                <w:bCs/>
                <w:color w:val="auto"/>
                <w:spacing w:val="-2"/>
                <w:u w:val="single"/>
                <w:lang w:val="en-US" w:eastAsia="zh-CN"/>
              </w:rPr>
              <w:t xml:space="preserve"> </w:t>
            </w:r>
            <w:r>
              <w:rPr>
                <w:b/>
                <w:bCs/>
                <w:color w:val="auto"/>
                <w:spacing w:val="-2"/>
                <w:u w:val="single"/>
              </w:rPr>
              <w:t>项目</w:t>
            </w:r>
            <w:r>
              <w:rPr>
                <w:rFonts w:eastAsia="Times New Roman"/>
                <w:b/>
                <w:bCs/>
                <w:color w:val="auto"/>
                <w:spacing w:val="-2"/>
                <w:u w:val="single"/>
              </w:rPr>
              <w:t>“</w:t>
            </w:r>
            <w:r>
              <w:rPr>
                <w:b/>
                <w:bCs/>
                <w:color w:val="auto"/>
                <w:spacing w:val="-2"/>
                <w:u w:val="single"/>
              </w:rPr>
              <w:t>三同时</w:t>
            </w:r>
            <w:r>
              <w:rPr>
                <w:rFonts w:eastAsia="Times New Roman"/>
                <w:b/>
                <w:bCs/>
                <w:color w:val="auto"/>
                <w:spacing w:val="-2"/>
                <w:u w:val="single"/>
              </w:rPr>
              <w:t>”</w:t>
            </w:r>
            <w:r>
              <w:rPr>
                <w:b/>
                <w:bCs/>
                <w:color w:val="auto"/>
                <w:spacing w:val="-2"/>
                <w:u w:val="single"/>
              </w:rPr>
              <w:t>验收内容</w:t>
            </w:r>
            <w:r>
              <w:rPr>
                <w:rFonts w:hint="eastAsia"/>
                <w:b/>
                <w:bCs/>
                <w:color w:val="auto"/>
                <w:spacing w:val="-2"/>
                <w:u w:val="single"/>
                <w:lang w:val="en-US" w:eastAsia="zh-CN"/>
              </w:rPr>
              <w:t>一览表</w:t>
            </w:r>
          </w:p>
          <w:tbl>
            <w:tblPr>
              <w:tblStyle w:val="32"/>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784"/>
              <w:gridCol w:w="1008"/>
              <w:gridCol w:w="1410"/>
              <w:gridCol w:w="4091"/>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4" w:hRule="atLeast"/>
              </w:trPr>
              <w:tc>
                <w:tcPr>
                  <w:tcW w:w="7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pacing w:val="4"/>
                      <w:sz w:val="21"/>
                      <w:szCs w:val="21"/>
                      <w:u w:val="single"/>
                    </w:rPr>
                  </w:pPr>
                  <w:r>
                    <w:rPr>
                      <w:rFonts w:hint="eastAsia"/>
                      <w:b/>
                      <w:bCs/>
                      <w:sz w:val="21"/>
                      <w:szCs w:val="21"/>
                      <w:u w:val="single"/>
                      <w:lang w:val="en-US" w:eastAsia="zh-CN"/>
                    </w:rPr>
                    <w:t>类别</w:t>
                  </w:r>
                </w:p>
              </w:tc>
              <w:tc>
                <w:tcPr>
                  <w:tcW w:w="784"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4"/>
                      <w:sz w:val="21"/>
                      <w:szCs w:val="21"/>
                      <w:u w:val="single"/>
                    </w:rPr>
                    <w:t>产污环节</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6"/>
                      <w:sz w:val="21"/>
                      <w:szCs w:val="21"/>
                      <w:u w:val="single"/>
                    </w:rPr>
                    <w:t>污染物</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6"/>
                      <w:sz w:val="21"/>
                      <w:szCs w:val="21"/>
                      <w:u w:val="single"/>
                    </w:rPr>
                    <w:t>治理措施</w:t>
                  </w:r>
                </w:p>
              </w:tc>
              <w:tc>
                <w:tcPr>
                  <w:tcW w:w="4091"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7"/>
                      <w:sz w:val="21"/>
                      <w:szCs w:val="21"/>
                      <w:u w:val="single"/>
                    </w:rPr>
                    <w:t>验收标准</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7"/>
                      <w:sz w:val="21"/>
                      <w:szCs w:val="21"/>
                      <w:u w:val="single"/>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3" w:hRule="atLeast"/>
              </w:trPr>
              <w:tc>
                <w:tcPr>
                  <w:tcW w:w="7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pacing w:val="3"/>
                      <w:sz w:val="21"/>
                      <w:szCs w:val="21"/>
                      <w:u w:val="single"/>
                    </w:rPr>
                  </w:pPr>
                  <w:r>
                    <w:rPr>
                      <w:rFonts w:hint="eastAsia"/>
                      <w:b/>
                      <w:bCs/>
                      <w:sz w:val="21"/>
                      <w:szCs w:val="21"/>
                      <w:u w:val="single"/>
                      <w:lang w:val="en-US" w:eastAsia="zh-CN"/>
                    </w:rPr>
                    <w:t>废水</w:t>
                  </w:r>
                </w:p>
              </w:tc>
              <w:tc>
                <w:tcPr>
                  <w:tcW w:w="784"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4"/>
                      <w:sz w:val="21"/>
                      <w:szCs w:val="21"/>
                      <w:u w:val="single"/>
                    </w:rPr>
                  </w:pPr>
                  <w:r>
                    <w:rPr>
                      <w:rFonts w:hint="default" w:ascii="Times New Roman" w:hAnsi="Times New Roman" w:cs="Times New Roman"/>
                      <w:b/>
                      <w:bCs/>
                      <w:color w:val="auto"/>
                      <w:spacing w:val="3"/>
                      <w:sz w:val="21"/>
                      <w:szCs w:val="21"/>
                      <w:u w:val="single"/>
                    </w:rPr>
                    <w:t>生活</w:t>
                  </w:r>
                  <w:r>
                    <w:rPr>
                      <w:rFonts w:hint="default" w:ascii="Times New Roman" w:hAnsi="Times New Roman" w:cs="Times New Roman"/>
                      <w:b/>
                      <w:bCs/>
                      <w:color w:val="auto"/>
                      <w:spacing w:val="2"/>
                      <w:sz w:val="21"/>
                      <w:szCs w:val="21"/>
                      <w:u w:val="single"/>
                    </w:rPr>
                    <w:t>办公</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17"/>
                      <w:sz w:val="21"/>
                      <w:szCs w:val="21"/>
                      <w:u w:val="single"/>
                    </w:rPr>
                  </w:pPr>
                  <w:r>
                    <w:rPr>
                      <w:rFonts w:hint="default" w:ascii="Times New Roman" w:hAnsi="Times New Roman" w:eastAsia="Times New Roman" w:cs="Times New Roman"/>
                      <w:b/>
                      <w:bCs/>
                      <w:color w:val="auto"/>
                      <w:sz w:val="21"/>
                      <w:szCs w:val="21"/>
                      <w:u w:val="single"/>
                    </w:rPr>
                    <w:t>COD</w:t>
                  </w:r>
                  <w:r>
                    <w:rPr>
                      <w:rFonts w:hint="default" w:ascii="Times New Roman" w:hAnsi="Times New Roman" w:cs="Times New Roman"/>
                      <w:b/>
                      <w:bCs/>
                      <w:color w:val="auto"/>
                      <w:spacing w:val="11"/>
                      <w:sz w:val="21"/>
                      <w:szCs w:val="21"/>
                      <w:u w:val="single"/>
                    </w:rPr>
                    <w:t>、</w:t>
                  </w:r>
                  <w:r>
                    <w:rPr>
                      <w:rFonts w:hint="default" w:ascii="Times New Roman" w:hAnsi="Times New Roman" w:eastAsia="Times New Roman" w:cs="Times New Roman"/>
                      <w:b/>
                      <w:bCs/>
                      <w:color w:val="auto"/>
                      <w:sz w:val="21"/>
                      <w:szCs w:val="21"/>
                      <w:u w:val="single"/>
                    </w:rPr>
                    <w:t>BOD</w:t>
                  </w:r>
                  <w:r>
                    <w:rPr>
                      <w:rFonts w:hint="default" w:ascii="Times New Roman" w:hAnsi="Times New Roman" w:eastAsia="宋体" w:cs="Times New Roman"/>
                      <w:b/>
                      <w:bCs/>
                      <w:color w:val="auto"/>
                      <w:sz w:val="21"/>
                      <w:szCs w:val="21"/>
                      <w:u w:val="single"/>
                      <w:vertAlign w:val="subscript"/>
                      <w:lang w:val="en-US" w:eastAsia="zh-CN"/>
                    </w:rPr>
                    <w:t>5</w:t>
                  </w:r>
                  <w:r>
                    <w:rPr>
                      <w:rFonts w:hint="default" w:ascii="Times New Roman" w:hAnsi="Times New Roman" w:cs="Times New Roman"/>
                      <w:b/>
                      <w:bCs/>
                      <w:color w:val="auto"/>
                      <w:spacing w:val="15"/>
                      <w:sz w:val="21"/>
                      <w:szCs w:val="21"/>
                      <w:u w:val="single"/>
                    </w:rPr>
                    <w:t>、</w:t>
                  </w:r>
                  <w:r>
                    <w:rPr>
                      <w:rFonts w:hint="default" w:ascii="Times New Roman" w:hAnsi="Times New Roman" w:eastAsia="Times New Roman" w:cs="Times New Roman"/>
                      <w:b/>
                      <w:bCs/>
                      <w:color w:val="auto"/>
                      <w:spacing w:val="-2"/>
                      <w:sz w:val="21"/>
                      <w:szCs w:val="21"/>
                      <w:u w:val="single"/>
                    </w:rPr>
                    <w:t>SS</w:t>
                  </w:r>
                  <w:r>
                    <w:rPr>
                      <w:rFonts w:hint="default" w:ascii="Times New Roman" w:hAnsi="Times New Roman" w:cs="Times New Roman"/>
                      <w:b/>
                      <w:bCs/>
                      <w:color w:val="auto"/>
                      <w:spacing w:val="-2"/>
                      <w:sz w:val="21"/>
                      <w:szCs w:val="21"/>
                      <w:u w:val="single"/>
                    </w:rPr>
                    <w:t>、</w:t>
                  </w:r>
                  <w:r>
                    <w:rPr>
                      <w:rFonts w:hint="default" w:ascii="Times New Roman" w:hAnsi="Times New Roman" w:eastAsia="Times New Roman" w:cs="Times New Roman"/>
                      <w:b/>
                      <w:bCs/>
                      <w:color w:val="auto"/>
                      <w:sz w:val="21"/>
                      <w:szCs w:val="21"/>
                      <w:u w:val="single"/>
                    </w:rPr>
                    <w:t>NH</w:t>
                  </w:r>
                  <w:r>
                    <w:rPr>
                      <w:rFonts w:hint="default" w:ascii="Times New Roman" w:hAnsi="Times New Roman" w:eastAsia="Times New Roman" w:cs="Times New Roman"/>
                      <w:b/>
                      <w:bCs/>
                      <w:color w:val="auto"/>
                      <w:spacing w:val="10"/>
                      <w:sz w:val="21"/>
                      <w:szCs w:val="21"/>
                      <w:u w:val="single"/>
                      <w:vertAlign w:val="subscript"/>
                    </w:rPr>
                    <w:t>3</w:t>
                  </w:r>
                  <w:r>
                    <w:rPr>
                      <w:rFonts w:hint="default" w:ascii="Times New Roman" w:hAnsi="Times New Roman" w:eastAsia="Times New Roman" w:cs="Times New Roman"/>
                      <w:b/>
                      <w:bCs/>
                      <w:color w:val="auto"/>
                      <w:spacing w:val="10"/>
                      <w:sz w:val="21"/>
                      <w:szCs w:val="21"/>
                      <w:u w:val="single"/>
                    </w:rPr>
                    <w:t>-</w:t>
                  </w:r>
                  <w:r>
                    <w:rPr>
                      <w:rFonts w:hint="default" w:ascii="Times New Roman" w:hAnsi="Times New Roman" w:eastAsia="宋体" w:cs="Times New Roman"/>
                      <w:b/>
                      <w:bCs/>
                      <w:color w:val="auto"/>
                      <w:spacing w:val="10"/>
                      <w:sz w:val="21"/>
                      <w:szCs w:val="21"/>
                      <w:u w:val="single"/>
                      <w:lang w:val="en-US" w:eastAsia="zh-CN"/>
                    </w:rPr>
                    <w:t>N</w:t>
                  </w:r>
                  <w:r>
                    <w:rPr>
                      <w:rFonts w:hint="default" w:ascii="Times New Roman" w:hAnsi="Times New Roman" w:cs="Times New Roman"/>
                      <w:b/>
                      <w:bCs/>
                      <w:color w:val="auto"/>
                      <w:sz w:val="21"/>
                      <w:szCs w:val="21"/>
                      <w:u w:val="single"/>
                    </w:rPr>
                    <w:t>等</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7"/>
                      <w:sz w:val="21"/>
                      <w:szCs w:val="21"/>
                      <w:u w:val="single"/>
                      <w:lang w:eastAsia="zh-CN"/>
                    </w:rPr>
                  </w:pPr>
                  <w:r>
                    <w:rPr>
                      <w:rFonts w:hint="eastAsia" w:ascii="Times New Roman" w:hAnsi="Times New Roman" w:eastAsia="Times New Roman" w:cs="Times New Roman"/>
                      <w:b/>
                      <w:bCs/>
                      <w:color w:val="auto"/>
                      <w:spacing w:val="7"/>
                      <w:sz w:val="21"/>
                      <w:szCs w:val="21"/>
                      <w:u w:val="single"/>
                      <w:lang w:val="en-US" w:eastAsia="zh-CN"/>
                    </w:rPr>
                    <w:t>利用伯特利园区</w:t>
                  </w:r>
                  <w:r>
                    <w:rPr>
                      <w:rFonts w:hint="default" w:ascii="Times New Roman" w:hAnsi="Times New Roman" w:eastAsia="Times New Roman" w:cs="Times New Roman"/>
                      <w:b/>
                      <w:bCs/>
                      <w:color w:val="auto"/>
                      <w:spacing w:val="7"/>
                      <w:sz w:val="21"/>
                      <w:szCs w:val="21"/>
                      <w:u w:val="single"/>
                      <w:lang w:eastAsia="zh-CN"/>
                    </w:rPr>
                    <w:t>化粪池</w:t>
                  </w:r>
                  <w:r>
                    <w:rPr>
                      <w:rFonts w:hint="default" w:ascii="Times New Roman" w:hAnsi="Times New Roman" w:cs="Times New Roman"/>
                      <w:b/>
                      <w:bCs/>
                      <w:color w:val="auto"/>
                      <w:spacing w:val="7"/>
                      <w:sz w:val="21"/>
                      <w:szCs w:val="21"/>
                      <w:u w:val="single"/>
                      <w:lang w:eastAsia="zh-CN"/>
                    </w:rPr>
                    <w:t>，</w:t>
                  </w:r>
                  <w:r>
                    <w:rPr>
                      <w:rFonts w:hint="eastAsia" w:ascii="Times New Roman" w:hAnsi="Times New Roman" w:cs="Times New Roman"/>
                      <w:b/>
                      <w:bCs/>
                      <w:color w:val="auto"/>
                      <w:spacing w:val="7"/>
                      <w:sz w:val="21"/>
                      <w:szCs w:val="21"/>
                      <w:u w:val="single"/>
                      <w:lang w:val="en-US" w:eastAsia="zh-CN"/>
                    </w:rPr>
                    <w:t>经处理后</w:t>
                  </w:r>
                  <w:r>
                    <w:rPr>
                      <w:rFonts w:hint="default" w:ascii="Times New Roman" w:hAnsi="Times New Roman" w:cs="Times New Roman"/>
                      <w:b/>
                      <w:bCs/>
                      <w:color w:val="auto"/>
                      <w:spacing w:val="7"/>
                      <w:sz w:val="21"/>
                      <w:szCs w:val="21"/>
                      <w:u w:val="single"/>
                      <w:lang w:eastAsia="zh-CN"/>
                    </w:rPr>
                    <w:t>排入</w:t>
                  </w:r>
                  <w:r>
                    <w:rPr>
                      <w:rFonts w:hint="default" w:ascii="Times New Roman" w:hAnsi="Times New Roman" w:cs="Times New Roman"/>
                      <w:b/>
                      <w:bCs/>
                      <w:color w:val="auto"/>
                      <w:spacing w:val="24"/>
                      <w:sz w:val="21"/>
                      <w:szCs w:val="21"/>
                      <w:u w:val="single"/>
                      <w:lang w:eastAsia="zh-CN"/>
                    </w:rPr>
                    <w:t>清丰中州水务有限公</w:t>
                  </w:r>
                  <w:r>
                    <w:rPr>
                      <w:rFonts w:hint="default" w:ascii="Times New Roman" w:hAnsi="Times New Roman" w:cs="Times New Roman"/>
                      <w:b/>
                      <w:bCs/>
                      <w:color w:val="auto"/>
                      <w:spacing w:val="25"/>
                      <w:sz w:val="21"/>
                      <w:szCs w:val="21"/>
                      <w:u w:val="single"/>
                      <w:lang w:eastAsia="zh-CN"/>
                    </w:rPr>
                    <w:t>司第二污水处理厂</w:t>
                  </w:r>
                </w:p>
              </w:tc>
              <w:tc>
                <w:tcPr>
                  <w:tcW w:w="4091"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24"/>
                      <w:sz w:val="21"/>
                      <w:szCs w:val="21"/>
                      <w:u w:val="single"/>
                    </w:rPr>
                  </w:pPr>
                  <w:r>
                    <w:rPr>
                      <w:rFonts w:hint="default" w:ascii="Times New Roman" w:hAnsi="Times New Roman" w:cs="Times New Roman"/>
                      <w:b/>
                      <w:bCs/>
                      <w:color w:val="auto"/>
                      <w:spacing w:val="24"/>
                      <w:sz w:val="21"/>
                      <w:szCs w:val="21"/>
                      <w:u w:val="single"/>
                    </w:rPr>
                    <w:t>清丰中州水务有限公</w:t>
                  </w:r>
                  <w:r>
                    <w:rPr>
                      <w:rFonts w:hint="default" w:ascii="Times New Roman" w:hAnsi="Times New Roman" w:cs="Times New Roman"/>
                      <w:b/>
                      <w:bCs/>
                      <w:color w:val="auto"/>
                      <w:spacing w:val="25"/>
                      <w:sz w:val="21"/>
                      <w:szCs w:val="21"/>
                      <w:u w:val="single"/>
                    </w:rPr>
                    <w:t>司第二污水处理厂受</w:t>
                  </w:r>
                  <w:r>
                    <w:rPr>
                      <w:rFonts w:hint="default" w:ascii="Times New Roman" w:hAnsi="Times New Roman" w:cs="Times New Roman"/>
                      <w:b/>
                      <w:bCs/>
                      <w:color w:val="auto"/>
                      <w:spacing w:val="2"/>
                      <w:sz w:val="21"/>
                      <w:szCs w:val="21"/>
                      <w:u w:val="single"/>
                    </w:rPr>
                    <w:t>纳水质标准以及《污水</w:t>
                  </w:r>
                  <w:r>
                    <w:rPr>
                      <w:rFonts w:hint="default" w:ascii="Times New Roman" w:hAnsi="Times New Roman" w:cs="Times New Roman"/>
                      <w:b/>
                      <w:bCs/>
                      <w:color w:val="auto"/>
                      <w:spacing w:val="1"/>
                      <w:sz w:val="21"/>
                      <w:szCs w:val="21"/>
                      <w:u w:val="single"/>
                    </w:rPr>
                    <w:t>综合排放标准》</w:t>
                  </w:r>
                  <w:r>
                    <w:rPr>
                      <w:rFonts w:hint="default" w:ascii="Times New Roman" w:hAnsi="Times New Roman" w:cs="Times New Roman"/>
                      <w:b/>
                      <w:bCs/>
                      <w:color w:val="auto"/>
                      <w:spacing w:val="6"/>
                      <w:sz w:val="21"/>
                      <w:szCs w:val="21"/>
                      <w:u w:val="single"/>
                    </w:rPr>
                    <w:t>（</w:t>
                  </w:r>
                  <w:r>
                    <w:rPr>
                      <w:rFonts w:hint="default" w:ascii="Times New Roman" w:hAnsi="Times New Roman" w:eastAsia="Times New Roman" w:cs="Times New Roman"/>
                      <w:b/>
                      <w:bCs/>
                      <w:color w:val="auto"/>
                      <w:sz w:val="21"/>
                      <w:szCs w:val="21"/>
                      <w:u w:val="single"/>
                    </w:rPr>
                    <w:t>GB</w:t>
                  </w:r>
                  <w:r>
                    <w:rPr>
                      <w:rFonts w:hint="default" w:ascii="Times New Roman" w:hAnsi="Times New Roman" w:eastAsia="Times New Roman" w:cs="Times New Roman"/>
                      <w:b/>
                      <w:bCs/>
                      <w:color w:val="auto"/>
                      <w:spacing w:val="6"/>
                      <w:sz w:val="21"/>
                      <w:szCs w:val="21"/>
                      <w:u w:val="single"/>
                    </w:rPr>
                    <w:t>8978-1996</w:t>
                  </w:r>
                  <w:r>
                    <w:rPr>
                      <w:rFonts w:hint="default" w:ascii="Times New Roman" w:hAnsi="Times New Roman" w:cs="Times New Roman"/>
                      <w:b/>
                      <w:bCs/>
                      <w:color w:val="auto"/>
                      <w:spacing w:val="6"/>
                      <w:sz w:val="21"/>
                      <w:szCs w:val="21"/>
                      <w:u w:val="single"/>
                    </w:rPr>
                    <w:t>）表</w:t>
                  </w:r>
                  <w:r>
                    <w:rPr>
                      <w:rFonts w:hint="default" w:ascii="Times New Roman" w:hAnsi="Times New Roman" w:eastAsia="Times New Roman" w:cs="Times New Roman"/>
                      <w:b/>
                      <w:bCs/>
                      <w:color w:val="auto"/>
                      <w:spacing w:val="6"/>
                      <w:sz w:val="21"/>
                      <w:szCs w:val="21"/>
                      <w:u w:val="single"/>
                    </w:rPr>
                    <w:t>4</w:t>
                  </w:r>
                  <w:r>
                    <w:rPr>
                      <w:rFonts w:hint="default" w:ascii="Times New Roman" w:hAnsi="Times New Roman" w:cs="Times New Roman"/>
                      <w:b/>
                      <w:bCs/>
                      <w:color w:val="auto"/>
                      <w:spacing w:val="-3"/>
                      <w:sz w:val="21"/>
                      <w:szCs w:val="21"/>
                      <w:u w:val="single"/>
                    </w:rPr>
                    <w:t>三级标准（</w:t>
                  </w:r>
                  <w:r>
                    <w:rPr>
                      <w:rFonts w:hint="default" w:ascii="Times New Roman" w:hAnsi="Times New Roman" w:eastAsia="Times New Roman" w:cs="Times New Roman"/>
                      <w:b/>
                      <w:bCs/>
                      <w:color w:val="auto"/>
                      <w:spacing w:val="-3"/>
                      <w:sz w:val="21"/>
                      <w:szCs w:val="21"/>
                      <w:u w:val="single"/>
                    </w:rPr>
                    <w:t>COD</w:t>
                  </w:r>
                  <w:r>
                    <w:rPr>
                      <w:rFonts w:hint="default" w:ascii="Times New Roman" w:hAnsi="Times New Roman" w:cs="Times New Roman"/>
                      <w:b/>
                      <w:bCs/>
                      <w:color w:val="auto"/>
                      <w:spacing w:val="-3"/>
                      <w:sz w:val="21"/>
                      <w:szCs w:val="21"/>
                      <w:u w:val="single"/>
                    </w:rPr>
                    <w:t>：</w:t>
                  </w:r>
                  <w:r>
                    <w:rPr>
                      <w:rFonts w:hint="default" w:ascii="Times New Roman" w:hAnsi="Times New Roman" w:eastAsia="Times New Roman" w:cs="Times New Roman"/>
                      <w:b/>
                      <w:bCs/>
                      <w:color w:val="auto"/>
                      <w:spacing w:val="2"/>
                      <w:sz w:val="21"/>
                      <w:szCs w:val="21"/>
                      <w:u w:val="single"/>
                    </w:rPr>
                    <w:t>350</w:t>
                  </w:r>
                  <w:r>
                    <w:rPr>
                      <w:rFonts w:hint="default" w:ascii="Times New Roman" w:hAnsi="Times New Roman" w:eastAsia="Times New Roman" w:cs="Times New Roman"/>
                      <w:b/>
                      <w:bCs/>
                      <w:color w:val="auto"/>
                      <w:sz w:val="21"/>
                      <w:szCs w:val="21"/>
                      <w:u w:val="single"/>
                    </w:rPr>
                    <w:t>mg</w:t>
                  </w:r>
                  <w:r>
                    <w:rPr>
                      <w:rFonts w:hint="default" w:ascii="Times New Roman" w:hAnsi="Times New Roman" w:eastAsia="Times New Roman" w:cs="Times New Roman"/>
                      <w:b/>
                      <w:bCs/>
                      <w:color w:val="auto"/>
                      <w:spacing w:val="2"/>
                      <w:sz w:val="21"/>
                      <w:szCs w:val="21"/>
                      <w:u w:val="single"/>
                    </w:rPr>
                    <w:t>/L</w:t>
                  </w:r>
                  <w:r>
                    <w:rPr>
                      <w:rFonts w:hint="default" w:ascii="Times New Roman" w:hAnsi="Times New Roman" w:cs="Times New Roman"/>
                      <w:b/>
                      <w:bCs/>
                      <w:color w:val="auto"/>
                      <w:spacing w:val="2"/>
                      <w:sz w:val="21"/>
                      <w:szCs w:val="21"/>
                      <w:u w:val="single"/>
                    </w:rPr>
                    <w:t>，</w:t>
                  </w:r>
                  <w:r>
                    <w:rPr>
                      <w:rFonts w:hint="default" w:ascii="Times New Roman" w:hAnsi="Times New Roman" w:eastAsia="Times New Roman" w:cs="Times New Roman"/>
                      <w:b/>
                      <w:bCs/>
                      <w:color w:val="auto"/>
                      <w:sz w:val="21"/>
                      <w:szCs w:val="21"/>
                      <w:u w:val="single"/>
                    </w:rPr>
                    <w:t>BOD</w:t>
                  </w:r>
                  <w:r>
                    <w:rPr>
                      <w:rFonts w:hint="default" w:ascii="Times New Roman" w:hAnsi="Times New Roman" w:eastAsia="Times New Roman" w:cs="Times New Roman"/>
                      <w:b/>
                      <w:bCs/>
                      <w:color w:val="auto"/>
                      <w:spacing w:val="2"/>
                      <w:position w:val="-1"/>
                      <w:sz w:val="21"/>
                      <w:szCs w:val="21"/>
                      <w:u w:val="single"/>
                      <w:vertAlign w:val="subscript"/>
                    </w:rPr>
                    <w:t>5</w:t>
                  </w:r>
                  <w:r>
                    <w:rPr>
                      <w:rFonts w:hint="default" w:ascii="Times New Roman" w:hAnsi="Times New Roman" w:cs="Times New Roman"/>
                      <w:b/>
                      <w:bCs/>
                      <w:color w:val="auto"/>
                      <w:spacing w:val="2"/>
                      <w:sz w:val="21"/>
                      <w:szCs w:val="21"/>
                      <w:u w:val="single"/>
                    </w:rPr>
                    <w:t>：</w:t>
                  </w:r>
                  <w:r>
                    <w:rPr>
                      <w:rFonts w:hint="default" w:ascii="Times New Roman" w:hAnsi="Times New Roman" w:eastAsia="Times New Roman" w:cs="Times New Roman"/>
                      <w:b/>
                      <w:bCs/>
                      <w:color w:val="auto"/>
                      <w:sz w:val="21"/>
                      <w:szCs w:val="21"/>
                      <w:u w:val="single"/>
                    </w:rPr>
                    <w:t>170mg/L</w:t>
                  </w:r>
                  <w:r>
                    <w:rPr>
                      <w:rFonts w:hint="default" w:ascii="Times New Roman" w:hAnsi="Times New Roman" w:cs="Times New Roman"/>
                      <w:b/>
                      <w:bCs/>
                      <w:color w:val="auto"/>
                      <w:sz w:val="21"/>
                      <w:szCs w:val="21"/>
                      <w:u w:val="single"/>
                    </w:rPr>
                    <w:t>，</w:t>
                  </w:r>
                  <w:r>
                    <w:rPr>
                      <w:rFonts w:hint="default" w:ascii="Times New Roman" w:hAnsi="Times New Roman" w:eastAsia="Times New Roman" w:cs="Times New Roman"/>
                      <w:b/>
                      <w:bCs/>
                      <w:color w:val="auto"/>
                      <w:sz w:val="21"/>
                      <w:szCs w:val="21"/>
                      <w:u w:val="single"/>
                    </w:rPr>
                    <w:t>SS</w:t>
                  </w:r>
                  <w:r>
                    <w:rPr>
                      <w:rFonts w:hint="default" w:ascii="Times New Roman" w:hAnsi="Times New Roman" w:cs="Times New Roman"/>
                      <w:b/>
                      <w:bCs/>
                      <w:color w:val="auto"/>
                      <w:sz w:val="21"/>
                      <w:szCs w:val="21"/>
                      <w:u w:val="single"/>
                    </w:rPr>
                    <w:t>：</w:t>
                  </w:r>
                  <w:r>
                    <w:rPr>
                      <w:rFonts w:hint="default" w:ascii="Times New Roman" w:hAnsi="Times New Roman" w:eastAsia="Times New Roman" w:cs="Times New Roman"/>
                      <w:b/>
                      <w:bCs/>
                      <w:color w:val="auto"/>
                      <w:spacing w:val="2"/>
                      <w:sz w:val="21"/>
                      <w:szCs w:val="21"/>
                      <w:u w:val="single"/>
                    </w:rPr>
                    <w:t>210</w:t>
                  </w:r>
                  <w:r>
                    <w:rPr>
                      <w:rFonts w:hint="default" w:ascii="Times New Roman" w:hAnsi="Times New Roman" w:eastAsia="Times New Roman" w:cs="Times New Roman"/>
                      <w:b/>
                      <w:bCs/>
                      <w:color w:val="auto"/>
                      <w:sz w:val="21"/>
                      <w:szCs w:val="21"/>
                      <w:u w:val="single"/>
                    </w:rPr>
                    <w:t>mg</w:t>
                  </w:r>
                  <w:r>
                    <w:rPr>
                      <w:rFonts w:hint="default" w:ascii="Times New Roman" w:hAnsi="Times New Roman" w:eastAsia="Times New Roman" w:cs="Times New Roman"/>
                      <w:b/>
                      <w:bCs/>
                      <w:color w:val="auto"/>
                      <w:spacing w:val="2"/>
                      <w:sz w:val="21"/>
                      <w:szCs w:val="21"/>
                      <w:u w:val="single"/>
                    </w:rPr>
                    <w:t>/L</w:t>
                  </w:r>
                  <w:r>
                    <w:rPr>
                      <w:rFonts w:hint="default" w:ascii="Times New Roman" w:hAnsi="Times New Roman" w:cs="Times New Roman"/>
                      <w:b/>
                      <w:bCs/>
                      <w:color w:val="auto"/>
                      <w:spacing w:val="2"/>
                      <w:sz w:val="21"/>
                      <w:szCs w:val="21"/>
                      <w:u w:val="single"/>
                    </w:rPr>
                    <w:t>，</w:t>
                  </w:r>
                  <w:r>
                    <w:rPr>
                      <w:rFonts w:hint="default" w:ascii="Times New Roman" w:hAnsi="Times New Roman" w:eastAsia="Times New Roman" w:cs="Times New Roman"/>
                      <w:b/>
                      <w:bCs/>
                      <w:color w:val="auto"/>
                      <w:sz w:val="21"/>
                      <w:szCs w:val="21"/>
                      <w:u w:val="single"/>
                    </w:rPr>
                    <w:t>NH</w:t>
                  </w:r>
                  <w:r>
                    <w:rPr>
                      <w:rFonts w:hint="default" w:ascii="Times New Roman" w:hAnsi="Times New Roman" w:eastAsia="Times New Roman" w:cs="Times New Roman"/>
                      <w:b/>
                      <w:bCs/>
                      <w:color w:val="auto"/>
                      <w:spacing w:val="2"/>
                      <w:position w:val="-1"/>
                      <w:sz w:val="21"/>
                      <w:szCs w:val="21"/>
                      <w:u w:val="single"/>
                      <w:vertAlign w:val="subscript"/>
                    </w:rPr>
                    <w:t>3</w:t>
                  </w:r>
                  <w:r>
                    <w:rPr>
                      <w:rFonts w:hint="default" w:ascii="Times New Roman" w:hAnsi="Times New Roman" w:eastAsia="Times New Roman" w:cs="Times New Roman"/>
                      <w:b/>
                      <w:bCs/>
                      <w:color w:val="auto"/>
                      <w:spacing w:val="2"/>
                      <w:sz w:val="21"/>
                      <w:szCs w:val="21"/>
                      <w:u w:val="single"/>
                    </w:rPr>
                    <w:t>-N</w:t>
                  </w:r>
                  <w:r>
                    <w:rPr>
                      <w:rFonts w:hint="default" w:ascii="Times New Roman" w:hAnsi="Times New Roman" w:cs="Times New Roman"/>
                      <w:b/>
                      <w:bCs/>
                      <w:color w:val="auto"/>
                      <w:spacing w:val="2"/>
                      <w:sz w:val="21"/>
                      <w:szCs w:val="21"/>
                      <w:u w:val="single"/>
                    </w:rPr>
                    <w:t>：</w:t>
                  </w:r>
                  <w:r>
                    <w:rPr>
                      <w:rFonts w:hint="default" w:ascii="Times New Roman" w:hAnsi="Times New Roman" w:eastAsia="Times New Roman" w:cs="Times New Roman"/>
                      <w:b/>
                      <w:bCs/>
                      <w:color w:val="auto"/>
                      <w:spacing w:val="1"/>
                      <w:sz w:val="21"/>
                      <w:szCs w:val="21"/>
                      <w:u w:val="single"/>
                    </w:rPr>
                    <w:t>30</w:t>
                  </w:r>
                  <w:r>
                    <w:rPr>
                      <w:rFonts w:hint="default" w:ascii="Times New Roman" w:hAnsi="Times New Roman" w:eastAsia="Times New Roman" w:cs="Times New Roman"/>
                      <w:b/>
                      <w:bCs/>
                      <w:color w:val="auto"/>
                      <w:sz w:val="21"/>
                      <w:szCs w:val="21"/>
                      <w:u w:val="single"/>
                    </w:rPr>
                    <w:t>mg</w:t>
                  </w:r>
                  <w:r>
                    <w:rPr>
                      <w:rFonts w:hint="default" w:ascii="Times New Roman" w:hAnsi="Times New Roman" w:eastAsia="Times New Roman" w:cs="Times New Roman"/>
                      <w:b/>
                      <w:bCs/>
                      <w:color w:val="auto"/>
                      <w:spacing w:val="1"/>
                      <w:sz w:val="21"/>
                      <w:szCs w:val="21"/>
                      <w:u w:val="single"/>
                    </w:rPr>
                    <w:t>/L</w:t>
                  </w:r>
                  <w:r>
                    <w:rPr>
                      <w:rFonts w:hint="default" w:ascii="Times New Roman" w:hAnsi="Times New Roman" w:cs="Times New Roman"/>
                      <w:b/>
                      <w:bCs/>
                      <w:color w:val="auto"/>
                      <w:spacing w:val="1"/>
                      <w:sz w:val="21"/>
                      <w:szCs w:val="21"/>
                      <w:u w:val="single"/>
                    </w:rPr>
                    <w:t>，</w:t>
                  </w:r>
                  <w:r>
                    <w:rPr>
                      <w:rFonts w:hint="default" w:ascii="Times New Roman" w:hAnsi="Times New Roman" w:eastAsia="Times New Roman" w:cs="Times New Roman"/>
                      <w:b/>
                      <w:bCs/>
                      <w:color w:val="auto"/>
                      <w:sz w:val="21"/>
                      <w:szCs w:val="21"/>
                      <w:u w:val="single"/>
                    </w:rPr>
                    <w:t>TP</w:t>
                  </w:r>
                  <w:r>
                    <w:rPr>
                      <w:rFonts w:hint="default" w:ascii="Times New Roman" w:hAnsi="Times New Roman" w:cs="Times New Roman"/>
                      <w:b/>
                      <w:bCs/>
                      <w:color w:val="auto"/>
                      <w:spacing w:val="1"/>
                      <w:sz w:val="21"/>
                      <w:szCs w:val="21"/>
                      <w:u w:val="single"/>
                    </w:rPr>
                    <w:t>：</w:t>
                  </w:r>
                  <w:r>
                    <w:rPr>
                      <w:rFonts w:hint="default" w:ascii="Times New Roman" w:hAnsi="Times New Roman" w:eastAsia="Times New Roman" w:cs="Times New Roman"/>
                      <w:b/>
                      <w:bCs/>
                      <w:color w:val="auto"/>
                      <w:spacing w:val="1"/>
                      <w:sz w:val="21"/>
                      <w:szCs w:val="21"/>
                      <w:u w:val="single"/>
                    </w:rPr>
                    <w:t>4</w:t>
                  </w:r>
                  <w:r>
                    <w:rPr>
                      <w:rFonts w:hint="default" w:ascii="Times New Roman" w:hAnsi="Times New Roman" w:eastAsia="Times New Roman" w:cs="Times New Roman"/>
                      <w:b/>
                      <w:bCs/>
                      <w:color w:val="auto"/>
                      <w:sz w:val="21"/>
                      <w:szCs w:val="21"/>
                      <w:u w:val="single"/>
                    </w:rPr>
                    <w:t>mg</w:t>
                  </w:r>
                  <w:r>
                    <w:rPr>
                      <w:rFonts w:hint="default" w:ascii="Times New Roman" w:hAnsi="Times New Roman" w:eastAsia="Times New Roman" w:cs="Times New Roman"/>
                      <w:b/>
                      <w:bCs/>
                      <w:color w:val="auto"/>
                      <w:spacing w:val="1"/>
                      <w:sz w:val="21"/>
                      <w:szCs w:val="21"/>
                      <w:u w:val="single"/>
                    </w:rPr>
                    <w:t>/L</w:t>
                  </w:r>
                  <w:r>
                    <w:rPr>
                      <w:rFonts w:hint="default" w:ascii="Times New Roman" w:hAnsi="Times New Roman" w:cs="Times New Roman"/>
                      <w:b/>
                      <w:bCs/>
                      <w:color w:val="auto"/>
                      <w:spacing w:val="1"/>
                      <w:sz w:val="21"/>
                      <w:szCs w:val="21"/>
                      <w:u w:val="single"/>
                    </w:rPr>
                    <w:t>，</w:t>
                  </w:r>
                  <w:r>
                    <w:rPr>
                      <w:rFonts w:hint="default" w:ascii="Times New Roman" w:hAnsi="Times New Roman" w:eastAsia="Times New Roman" w:cs="Times New Roman"/>
                      <w:b/>
                      <w:bCs/>
                      <w:color w:val="auto"/>
                      <w:sz w:val="21"/>
                      <w:szCs w:val="21"/>
                      <w:u w:val="single"/>
                    </w:rPr>
                    <w:t>TN</w:t>
                  </w:r>
                  <w:r>
                    <w:rPr>
                      <w:rFonts w:hint="default" w:ascii="Times New Roman" w:hAnsi="Times New Roman" w:cs="Times New Roman"/>
                      <w:b/>
                      <w:bCs/>
                      <w:color w:val="auto"/>
                      <w:spacing w:val="8"/>
                      <w:sz w:val="21"/>
                      <w:szCs w:val="21"/>
                      <w:u w:val="single"/>
                    </w:rPr>
                    <w:t>：</w:t>
                  </w:r>
                  <w:r>
                    <w:rPr>
                      <w:rFonts w:hint="default" w:ascii="Times New Roman" w:hAnsi="Times New Roman" w:eastAsia="Times New Roman" w:cs="Times New Roman"/>
                      <w:b/>
                      <w:bCs/>
                      <w:color w:val="auto"/>
                      <w:spacing w:val="8"/>
                      <w:sz w:val="21"/>
                      <w:szCs w:val="21"/>
                      <w:u w:val="single"/>
                    </w:rPr>
                    <w:t>40</w:t>
                  </w:r>
                  <w:r>
                    <w:rPr>
                      <w:rFonts w:hint="default" w:ascii="Times New Roman" w:hAnsi="Times New Roman" w:eastAsia="Times New Roman" w:cs="Times New Roman"/>
                      <w:b/>
                      <w:bCs/>
                      <w:color w:val="auto"/>
                      <w:sz w:val="21"/>
                      <w:szCs w:val="21"/>
                      <w:u w:val="single"/>
                    </w:rPr>
                    <w:t>mg</w:t>
                  </w:r>
                  <w:r>
                    <w:rPr>
                      <w:rFonts w:hint="default" w:ascii="Times New Roman" w:hAnsi="Times New Roman" w:eastAsia="Times New Roman" w:cs="Times New Roman"/>
                      <w:b/>
                      <w:bCs/>
                      <w:color w:val="auto"/>
                      <w:spacing w:val="8"/>
                      <w:sz w:val="21"/>
                      <w:szCs w:val="21"/>
                      <w:u w:val="single"/>
                    </w:rPr>
                    <w:t>/L</w:t>
                  </w:r>
                  <w:r>
                    <w:rPr>
                      <w:rFonts w:hint="default" w:ascii="Times New Roman" w:hAnsi="Times New Roman" w:cs="Times New Roman"/>
                      <w:b/>
                      <w:bCs/>
                      <w:color w:val="auto"/>
                      <w:spacing w:val="4"/>
                      <w:sz w:val="21"/>
                      <w:szCs w:val="21"/>
                      <w:u w:val="single"/>
                    </w:rPr>
                    <w:t>）</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8"/>
                      <w:sz w:val="21"/>
                      <w:szCs w:val="21"/>
                      <w:u w:val="single"/>
                    </w:rPr>
                  </w:pPr>
                  <w:r>
                    <w:rPr>
                      <w:rFonts w:hint="default" w:ascii="Times New Roman" w:hAnsi="Times New Roman" w:cs="Times New Roman"/>
                      <w:b/>
                      <w:bCs/>
                      <w:color w:val="auto"/>
                      <w:spacing w:val="-5"/>
                      <w:sz w:val="21"/>
                      <w:szCs w:val="21"/>
                      <w:u w:val="single"/>
                    </w:rPr>
                    <w:t>水量、</w:t>
                  </w:r>
                  <w:r>
                    <w:rPr>
                      <w:rFonts w:hint="default" w:ascii="Times New Roman" w:hAnsi="Times New Roman" w:eastAsia="Times New Roman" w:cs="Times New Roman"/>
                      <w:b/>
                      <w:bCs/>
                      <w:color w:val="auto"/>
                      <w:spacing w:val="-5"/>
                      <w:sz w:val="21"/>
                      <w:szCs w:val="21"/>
                      <w:u w:val="single"/>
                    </w:rPr>
                    <w:t>COD</w:t>
                  </w:r>
                  <w:r>
                    <w:rPr>
                      <w:rFonts w:hint="default" w:ascii="Times New Roman" w:hAnsi="Times New Roman" w:cs="Times New Roman"/>
                      <w:b/>
                      <w:bCs/>
                      <w:color w:val="auto"/>
                      <w:spacing w:val="-5"/>
                      <w:sz w:val="21"/>
                      <w:szCs w:val="21"/>
                      <w:u w:val="single"/>
                    </w:rPr>
                    <w:t>、</w:t>
                  </w:r>
                  <w:r>
                    <w:rPr>
                      <w:rFonts w:hint="default" w:ascii="Times New Roman" w:hAnsi="Times New Roman" w:eastAsia="Times New Roman" w:cs="Times New Roman"/>
                      <w:b/>
                      <w:bCs/>
                      <w:color w:val="auto"/>
                      <w:sz w:val="21"/>
                      <w:szCs w:val="21"/>
                      <w:u w:val="single"/>
                    </w:rPr>
                    <w:t>BOD</w:t>
                  </w:r>
                  <w:r>
                    <w:rPr>
                      <w:rFonts w:hint="default" w:ascii="Times New Roman" w:hAnsi="Times New Roman" w:eastAsia="Times New Roman" w:cs="Times New Roman"/>
                      <w:b/>
                      <w:bCs/>
                      <w:color w:val="auto"/>
                      <w:spacing w:val="2"/>
                      <w:position w:val="-1"/>
                      <w:sz w:val="21"/>
                      <w:szCs w:val="21"/>
                      <w:u w:val="single"/>
                      <w:vertAlign w:val="subscript"/>
                    </w:rPr>
                    <w:t>5</w:t>
                  </w:r>
                  <w:r>
                    <w:rPr>
                      <w:rFonts w:hint="default" w:ascii="Times New Roman" w:hAnsi="Times New Roman" w:cs="Times New Roman"/>
                      <w:b/>
                      <w:bCs/>
                      <w:color w:val="auto"/>
                      <w:spacing w:val="2"/>
                      <w:sz w:val="21"/>
                      <w:szCs w:val="21"/>
                      <w:u w:val="single"/>
                    </w:rPr>
                    <w:t>、</w:t>
                  </w:r>
                  <w:r>
                    <w:rPr>
                      <w:rFonts w:hint="default" w:ascii="Times New Roman" w:hAnsi="Times New Roman" w:eastAsia="Times New Roman" w:cs="Times New Roman"/>
                      <w:b/>
                      <w:bCs/>
                      <w:color w:val="auto"/>
                      <w:sz w:val="21"/>
                      <w:szCs w:val="21"/>
                      <w:u w:val="single"/>
                    </w:rPr>
                    <w:t>SS</w:t>
                  </w:r>
                  <w:r>
                    <w:rPr>
                      <w:rFonts w:hint="default" w:ascii="Times New Roman" w:hAnsi="Times New Roman" w:cs="Times New Roman"/>
                      <w:b/>
                      <w:bCs/>
                      <w:color w:val="auto"/>
                      <w:spacing w:val="2"/>
                      <w:sz w:val="21"/>
                      <w:szCs w:val="21"/>
                      <w:u w:val="single"/>
                    </w:rPr>
                    <w:t>、</w:t>
                  </w:r>
                  <w:r>
                    <w:rPr>
                      <w:rFonts w:hint="default" w:ascii="Times New Roman" w:hAnsi="Times New Roman" w:eastAsia="Times New Roman" w:cs="Times New Roman"/>
                      <w:b/>
                      <w:bCs/>
                      <w:color w:val="auto"/>
                      <w:spacing w:val="-4"/>
                      <w:sz w:val="21"/>
                      <w:szCs w:val="21"/>
                      <w:u w:val="single"/>
                    </w:rPr>
                    <w:t>NH</w:t>
                  </w:r>
                  <w:r>
                    <w:rPr>
                      <w:rFonts w:hint="default" w:ascii="Times New Roman" w:hAnsi="Times New Roman" w:eastAsia="Times New Roman" w:cs="Times New Roman"/>
                      <w:b/>
                      <w:bCs/>
                      <w:color w:val="auto"/>
                      <w:spacing w:val="-4"/>
                      <w:sz w:val="21"/>
                      <w:szCs w:val="21"/>
                      <w:u w:val="single"/>
                      <w:vertAlign w:val="subscript"/>
                    </w:rPr>
                    <w:t>3</w:t>
                  </w:r>
                  <w:r>
                    <w:rPr>
                      <w:rFonts w:hint="default" w:ascii="Times New Roman" w:hAnsi="Times New Roman" w:eastAsia="Times New Roman" w:cs="Times New Roman"/>
                      <w:b/>
                      <w:bCs/>
                      <w:color w:val="auto"/>
                      <w:spacing w:val="-4"/>
                      <w:sz w:val="21"/>
                      <w:szCs w:val="21"/>
                      <w:u w:val="single"/>
                    </w:rPr>
                    <w:t>-N</w:t>
                  </w:r>
                  <w:r>
                    <w:rPr>
                      <w:rFonts w:hint="default" w:ascii="Times New Roman" w:hAnsi="Times New Roman" w:cs="Times New Roman"/>
                      <w:b/>
                      <w:bCs/>
                      <w:color w:val="auto"/>
                      <w:spacing w:val="-4"/>
                      <w:sz w:val="21"/>
                      <w:szCs w:val="21"/>
                      <w:u w:val="single"/>
                      <w:lang w:eastAsia="zh-CN"/>
                    </w:rPr>
                    <w:t>等</w:t>
                  </w:r>
                  <w:r>
                    <w:rPr>
                      <w:rFonts w:hint="default" w:ascii="Times New Roman" w:hAnsi="Times New Roman" w:cs="Times New Roman"/>
                      <w:b/>
                      <w:bCs/>
                      <w:color w:val="auto"/>
                      <w:spacing w:val="7"/>
                      <w:sz w:val="21"/>
                      <w:szCs w:val="21"/>
                      <w:u w:val="single"/>
                    </w:rPr>
                    <w:t>，</w:t>
                  </w:r>
                  <w:r>
                    <w:rPr>
                      <w:rFonts w:hint="default" w:ascii="Times New Roman" w:hAnsi="Times New Roman" w:cs="Times New Roman"/>
                      <w:b/>
                      <w:bCs/>
                      <w:color w:val="auto"/>
                      <w:sz w:val="21"/>
                      <w:szCs w:val="21"/>
                      <w:u w:val="single"/>
                    </w:rPr>
                    <w:t>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7" w:hRule="atLeast"/>
              </w:trPr>
              <w:tc>
                <w:tcPr>
                  <w:tcW w:w="784"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pacing w:val="4"/>
                      <w:sz w:val="21"/>
                      <w:szCs w:val="21"/>
                      <w:u w:val="single"/>
                    </w:rPr>
                  </w:pPr>
                  <w:r>
                    <w:rPr>
                      <w:rFonts w:hint="eastAsia"/>
                      <w:b/>
                      <w:bCs/>
                      <w:sz w:val="21"/>
                      <w:szCs w:val="21"/>
                      <w:u w:val="single"/>
                      <w:lang w:val="en-US" w:eastAsia="zh-CN"/>
                    </w:rPr>
                    <w:t>废气</w:t>
                  </w:r>
                </w:p>
              </w:tc>
              <w:tc>
                <w:tcPr>
                  <w:tcW w:w="784"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4"/>
                      <w:sz w:val="21"/>
                      <w:szCs w:val="21"/>
                      <w:u w:val="single"/>
                    </w:rPr>
                    <w:t>木加</w:t>
                  </w:r>
                  <w:r>
                    <w:rPr>
                      <w:rFonts w:hint="default" w:ascii="Times New Roman" w:hAnsi="Times New Roman" w:cs="Times New Roman"/>
                      <w:b/>
                      <w:bCs/>
                      <w:color w:val="auto"/>
                      <w:sz w:val="21"/>
                      <w:szCs w:val="21"/>
                      <w:u w:val="single"/>
                    </w:rPr>
                    <w:t>工</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17"/>
                      <w:sz w:val="21"/>
                      <w:szCs w:val="21"/>
                      <w:u w:val="single"/>
                    </w:rPr>
                    <w:t>粉尘（以</w:t>
                  </w:r>
                  <w:r>
                    <w:rPr>
                      <w:rFonts w:hint="default" w:ascii="Times New Roman" w:hAnsi="Times New Roman" w:cs="Times New Roman"/>
                      <w:b/>
                      <w:bCs/>
                      <w:color w:val="auto"/>
                      <w:spacing w:val="7"/>
                      <w:sz w:val="21"/>
                      <w:szCs w:val="21"/>
                      <w:u w:val="single"/>
                    </w:rPr>
                    <w:t>颗粒物</w:t>
                  </w:r>
                  <w:r>
                    <w:rPr>
                      <w:rFonts w:hint="default" w:ascii="Times New Roman" w:hAnsi="Times New Roman" w:cs="Times New Roman"/>
                      <w:b/>
                      <w:bCs/>
                      <w:color w:val="auto"/>
                      <w:sz w:val="21"/>
                      <w:szCs w:val="21"/>
                      <w:u w:val="single"/>
                    </w:rPr>
                    <w:t>计）</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eastAsia="Times New Roman" w:cs="Times New Roman"/>
                      <w:b/>
                      <w:bCs/>
                      <w:color w:val="auto"/>
                      <w:spacing w:val="7"/>
                      <w:sz w:val="21"/>
                      <w:szCs w:val="21"/>
                      <w:u w:val="single"/>
                      <w:lang w:val="en-US" w:eastAsia="zh-CN"/>
                    </w:rPr>
                    <w:t>1</w:t>
                  </w:r>
                  <w:r>
                    <w:rPr>
                      <w:rFonts w:hint="default" w:ascii="Times New Roman" w:hAnsi="Times New Roman" w:cs="Times New Roman"/>
                      <w:b/>
                      <w:bCs/>
                      <w:color w:val="auto"/>
                      <w:spacing w:val="7"/>
                      <w:sz w:val="21"/>
                      <w:szCs w:val="21"/>
                      <w:u w:val="single"/>
                      <w:lang w:eastAsia="zh-CN"/>
                    </w:rPr>
                    <w:t>套</w:t>
                  </w:r>
                  <w:r>
                    <w:rPr>
                      <w:rFonts w:hint="default" w:ascii="Times New Roman" w:hAnsi="Times New Roman" w:cs="Times New Roman"/>
                      <w:b/>
                      <w:bCs/>
                      <w:color w:val="auto"/>
                      <w:spacing w:val="15"/>
                      <w:sz w:val="21"/>
                      <w:szCs w:val="21"/>
                      <w:u w:val="single"/>
                      <w:lang w:val="en-US" w:eastAsia="zh-CN"/>
                    </w:rPr>
                    <w:t>中央</w:t>
                  </w:r>
                  <w:r>
                    <w:rPr>
                      <w:rFonts w:hint="default" w:ascii="Times New Roman" w:hAnsi="Times New Roman" w:cs="Times New Roman"/>
                      <w:b/>
                      <w:bCs/>
                      <w:color w:val="auto"/>
                      <w:spacing w:val="15"/>
                      <w:sz w:val="21"/>
                      <w:szCs w:val="21"/>
                      <w:u w:val="single"/>
                      <w:lang w:eastAsia="zh-CN"/>
                    </w:rPr>
                    <w:t>除尘器</w:t>
                  </w:r>
                  <w:r>
                    <w:rPr>
                      <w:rFonts w:hint="default" w:ascii="Times New Roman" w:hAnsi="Times New Roman" w:eastAsia="Times New Roman" w:cs="Times New Roman"/>
                      <w:b/>
                      <w:bCs/>
                      <w:color w:val="auto"/>
                      <w:spacing w:val="2"/>
                      <w:sz w:val="21"/>
                      <w:szCs w:val="21"/>
                      <w:u w:val="single"/>
                      <w:lang w:eastAsia="zh-CN"/>
                    </w:rPr>
                    <w:t>+15m</w:t>
                  </w:r>
                  <w:r>
                    <w:rPr>
                      <w:rFonts w:hint="default" w:ascii="Times New Roman" w:hAnsi="Times New Roman" w:cs="Times New Roman"/>
                      <w:b/>
                      <w:bCs/>
                      <w:color w:val="auto"/>
                      <w:spacing w:val="2"/>
                      <w:sz w:val="21"/>
                      <w:szCs w:val="21"/>
                      <w:u w:val="single"/>
                      <w:lang w:eastAsia="zh-CN"/>
                    </w:rPr>
                    <w:t>排气筒</w:t>
                  </w:r>
                  <w:r>
                    <w:rPr>
                      <w:rFonts w:hint="default" w:ascii="Times New Roman" w:hAnsi="Times New Roman" w:cs="Times New Roman"/>
                      <w:b/>
                      <w:bCs/>
                      <w:color w:val="auto"/>
                      <w:spacing w:val="7"/>
                      <w:sz w:val="21"/>
                      <w:szCs w:val="21"/>
                      <w:u w:val="single"/>
                      <w:lang w:eastAsia="zh-CN"/>
                    </w:rPr>
                    <w:t>（</w:t>
                  </w:r>
                  <w:r>
                    <w:rPr>
                      <w:rFonts w:hint="default" w:ascii="Times New Roman" w:hAnsi="Times New Roman" w:eastAsia="Times New Roman" w:cs="Times New Roman"/>
                      <w:b/>
                      <w:bCs/>
                      <w:color w:val="auto"/>
                      <w:sz w:val="21"/>
                      <w:szCs w:val="21"/>
                      <w:u w:val="single"/>
                      <w:lang w:eastAsia="zh-CN"/>
                    </w:rPr>
                    <w:t>DA</w:t>
                  </w:r>
                  <w:r>
                    <w:rPr>
                      <w:rFonts w:hint="default" w:ascii="Times New Roman" w:hAnsi="Times New Roman" w:eastAsia="Times New Roman" w:cs="Times New Roman"/>
                      <w:b/>
                      <w:bCs/>
                      <w:color w:val="auto"/>
                      <w:spacing w:val="7"/>
                      <w:sz w:val="21"/>
                      <w:szCs w:val="21"/>
                      <w:u w:val="single"/>
                      <w:lang w:eastAsia="zh-CN"/>
                    </w:rPr>
                    <w:t>001</w:t>
                  </w:r>
                  <w:r>
                    <w:rPr>
                      <w:rFonts w:hint="default" w:ascii="Times New Roman" w:hAnsi="Times New Roman" w:cs="Times New Roman"/>
                      <w:b/>
                      <w:bCs/>
                      <w:color w:val="auto"/>
                      <w:spacing w:val="7"/>
                      <w:sz w:val="21"/>
                      <w:szCs w:val="21"/>
                      <w:u w:val="single"/>
                      <w:lang w:eastAsia="zh-CN"/>
                    </w:rPr>
                    <w:t>）</w:t>
                  </w:r>
                </w:p>
              </w:tc>
              <w:tc>
                <w:tcPr>
                  <w:tcW w:w="4091"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24"/>
                      <w:sz w:val="21"/>
                      <w:szCs w:val="21"/>
                      <w:u w:val="single"/>
                      <w:lang w:eastAsia="zh-CN"/>
                    </w:rPr>
                    <w:t>《大气污染物综合排</w:t>
                  </w:r>
                  <w:r>
                    <w:rPr>
                      <w:rFonts w:hint="default" w:ascii="Times New Roman" w:hAnsi="Times New Roman" w:cs="Times New Roman"/>
                      <w:b/>
                      <w:bCs/>
                      <w:color w:val="auto"/>
                      <w:sz w:val="21"/>
                      <w:szCs w:val="21"/>
                      <w:u w:val="single"/>
                      <w:lang w:eastAsia="zh-CN"/>
                    </w:rPr>
                    <w:t>放标准》</w:t>
                  </w:r>
                  <w:r>
                    <w:rPr>
                      <w:rFonts w:hint="default" w:ascii="Times New Roman" w:hAnsi="Times New Roman" w:cs="Times New Roman"/>
                      <w:b/>
                      <w:bCs/>
                      <w:color w:val="auto"/>
                      <w:spacing w:val="1"/>
                      <w:sz w:val="21"/>
                      <w:szCs w:val="21"/>
                      <w:u w:val="single"/>
                      <w:lang w:eastAsia="zh-CN"/>
                    </w:rPr>
                    <w:t>（</w:t>
                  </w:r>
                  <w:r>
                    <w:rPr>
                      <w:rFonts w:hint="default" w:ascii="Times New Roman" w:hAnsi="Times New Roman" w:eastAsia="Times New Roman" w:cs="Times New Roman"/>
                      <w:b/>
                      <w:bCs/>
                      <w:color w:val="auto"/>
                      <w:sz w:val="21"/>
                      <w:szCs w:val="21"/>
                      <w:u w:val="single"/>
                      <w:lang w:eastAsia="zh-CN"/>
                    </w:rPr>
                    <w:t>GB</w:t>
                  </w:r>
                  <w:r>
                    <w:rPr>
                      <w:rFonts w:hint="default" w:ascii="Times New Roman" w:hAnsi="Times New Roman" w:eastAsia="Times New Roman" w:cs="Times New Roman"/>
                      <w:b/>
                      <w:bCs/>
                      <w:color w:val="auto"/>
                      <w:spacing w:val="1"/>
                      <w:sz w:val="21"/>
                      <w:szCs w:val="21"/>
                      <w:u w:val="single"/>
                      <w:lang w:eastAsia="zh-CN"/>
                    </w:rPr>
                    <w:t>16297-1996</w:t>
                  </w:r>
                  <w:r>
                    <w:rPr>
                      <w:rFonts w:hint="default" w:ascii="Times New Roman" w:hAnsi="Times New Roman" w:cs="Times New Roman"/>
                      <w:b/>
                      <w:bCs/>
                      <w:color w:val="auto"/>
                      <w:spacing w:val="1"/>
                      <w:sz w:val="21"/>
                      <w:szCs w:val="21"/>
                      <w:u w:val="single"/>
                      <w:lang w:eastAsia="zh-CN"/>
                    </w:rPr>
                    <w:t>）表</w:t>
                  </w:r>
                  <w:r>
                    <w:rPr>
                      <w:rFonts w:hint="default" w:ascii="Times New Roman" w:hAnsi="Times New Roman" w:eastAsia="Times New Roman" w:cs="Times New Roman"/>
                      <w:b/>
                      <w:bCs/>
                      <w:color w:val="auto"/>
                      <w:spacing w:val="1"/>
                      <w:sz w:val="21"/>
                      <w:szCs w:val="21"/>
                      <w:u w:val="single"/>
                      <w:lang w:eastAsia="zh-CN"/>
                    </w:rPr>
                    <w:t>2</w:t>
                  </w:r>
                  <w:r>
                    <w:rPr>
                      <w:rFonts w:hint="default" w:ascii="Times New Roman" w:hAnsi="Times New Roman" w:cs="Times New Roman"/>
                      <w:b/>
                      <w:bCs/>
                      <w:color w:val="auto"/>
                      <w:spacing w:val="2"/>
                      <w:sz w:val="21"/>
                      <w:szCs w:val="21"/>
                      <w:u w:val="single"/>
                      <w:lang w:eastAsia="zh-CN"/>
                    </w:rPr>
                    <w:t>二级标准及《重污染天气重点行业应急减排措施制定技术指南（2020年修订版）》中家具制造行业</w:t>
                  </w:r>
                  <w:r>
                    <w:rPr>
                      <w:rFonts w:hint="default" w:ascii="Times New Roman" w:hAnsi="Times New Roman" w:eastAsia="Times New Roman" w:cs="Times New Roman"/>
                      <w:b/>
                      <w:bCs/>
                      <w:color w:val="auto"/>
                      <w:spacing w:val="22"/>
                      <w:sz w:val="21"/>
                      <w:szCs w:val="21"/>
                      <w:u w:val="single"/>
                      <w:lang w:eastAsia="zh-CN"/>
                    </w:rPr>
                    <w:t>A</w:t>
                  </w:r>
                  <w:r>
                    <w:rPr>
                      <w:rFonts w:hint="default" w:ascii="Times New Roman" w:hAnsi="Times New Roman" w:cs="Times New Roman"/>
                      <w:b/>
                      <w:bCs/>
                      <w:color w:val="auto"/>
                      <w:spacing w:val="22"/>
                      <w:sz w:val="21"/>
                      <w:szCs w:val="21"/>
                      <w:u w:val="single"/>
                      <w:lang w:eastAsia="zh-CN"/>
                    </w:rPr>
                    <w:t>级企业要求</w:t>
                  </w:r>
                  <w:r>
                    <w:rPr>
                      <w:rFonts w:hint="default" w:ascii="Times New Roman" w:hAnsi="Times New Roman" w:cs="Times New Roman"/>
                      <w:b/>
                      <w:bCs/>
                      <w:color w:val="auto"/>
                      <w:spacing w:val="-3"/>
                      <w:sz w:val="21"/>
                      <w:szCs w:val="21"/>
                      <w:u w:val="single"/>
                      <w:lang w:eastAsia="zh-CN"/>
                    </w:rPr>
                    <w:t>（有组织</w:t>
                  </w:r>
                  <w:r>
                    <w:rPr>
                      <w:rFonts w:hint="default" w:ascii="Times New Roman" w:hAnsi="Times New Roman" w:eastAsia="Arial" w:cs="Times New Roman"/>
                      <w:b/>
                      <w:bCs/>
                      <w:color w:val="auto"/>
                      <w:spacing w:val="3"/>
                      <w:sz w:val="21"/>
                      <w:szCs w:val="21"/>
                      <w:u w:val="single"/>
                      <w:lang w:eastAsia="zh-CN"/>
                    </w:rPr>
                    <w:t>≤</w:t>
                  </w:r>
                  <w:r>
                    <w:rPr>
                      <w:rFonts w:hint="default" w:ascii="Times New Roman" w:hAnsi="Times New Roman" w:eastAsia="Times New Roman" w:cs="Times New Roman"/>
                      <w:b/>
                      <w:bCs/>
                      <w:color w:val="auto"/>
                      <w:spacing w:val="3"/>
                      <w:sz w:val="21"/>
                      <w:szCs w:val="21"/>
                      <w:u w:val="single"/>
                      <w:lang w:eastAsia="zh-CN"/>
                    </w:rPr>
                    <w:t>10</w:t>
                  </w:r>
                  <w:r>
                    <w:rPr>
                      <w:rFonts w:hint="default" w:ascii="Times New Roman" w:hAnsi="Times New Roman" w:eastAsia="Times New Roman" w:cs="Times New Roman"/>
                      <w:b/>
                      <w:bCs/>
                      <w:color w:val="auto"/>
                      <w:sz w:val="21"/>
                      <w:szCs w:val="21"/>
                      <w:u w:val="single"/>
                      <w:lang w:eastAsia="zh-CN"/>
                    </w:rPr>
                    <w:t>mg</w:t>
                  </w:r>
                  <w:r>
                    <w:rPr>
                      <w:rFonts w:hint="default" w:ascii="Times New Roman" w:hAnsi="Times New Roman" w:eastAsia="Times New Roman" w:cs="Times New Roman"/>
                      <w:b/>
                      <w:bCs/>
                      <w:color w:val="auto"/>
                      <w:spacing w:val="3"/>
                      <w:sz w:val="21"/>
                      <w:szCs w:val="21"/>
                      <w:u w:val="single"/>
                      <w:lang w:eastAsia="zh-CN"/>
                    </w:rPr>
                    <w:t>/m</w:t>
                  </w:r>
                  <w:r>
                    <w:rPr>
                      <w:rFonts w:hint="default" w:ascii="Times New Roman" w:hAnsi="Times New Roman" w:eastAsia="Times New Roman" w:cs="Times New Roman"/>
                      <w:b/>
                      <w:bCs/>
                      <w:color w:val="auto"/>
                      <w:spacing w:val="3"/>
                      <w:sz w:val="21"/>
                      <w:szCs w:val="21"/>
                      <w:u w:val="single"/>
                      <w:vertAlign w:val="superscript"/>
                      <w:lang w:val="en-US" w:eastAsia="zh-CN"/>
                    </w:rPr>
                    <w:t>3</w:t>
                  </w:r>
                  <w:r>
                    <w:rPr>
                      <w:rFonts w:hint="default" w:ascii="Times New Roman" w:hAnsi="Times New Roman" w:cs="Times New Roman"/>
                      <w:b/>
                      <w:bCs/>
                      <w:color w:val="auto"/>
                      <w:spacing w:val="6"/>
                      <w:sz w:val="21"/>
                      <w:szCs w:val="21"/>
                      <w:u w:val="single"/>
                      <w:lang w:eastAsia="zh-CN"/>
                    </w:rPr>
                    <w:t>）</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8"/>
                      <w:sz w:val="21"/>
                      <w:szCs w:val="21"/>
                      <w:u w:val="single"/>
                      <w:lang w:eastAsia="zh-CN"/>
                    </w:rPr>
                    <w:t>排气筒出口颗粒物排放浓度、排放</w:t>
                  </w:r>
                  <w:r>
                    <w:rPr>
                      <w:rFonts w:hint="default" w:ascii="Times New Roman" w:hAnsi="Times New Roman" w:cs="Times New Roman"/>
                      <w:b/>
                      <w:bCs/>
                      <w:color w:val="auto"/>
                      <w:spacing w:val="5"/>
                      <w:sz w:val="21"/>
                      <w:szCs w:val="21"/>
                      <w:u w:val="single"/>
                      <w:lang w:eastAsia="zh-CN"/>
                    </w:rPr>
                    <w:t>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5" w:hRule="atLeast"/>
              </w:trPr>
              <w:tc>
                <w:tcPr>
                  <w:tcW w:w="784" w:type="dxa"/>
                  <w:vMerge w:val="continue"/>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val="en-US" w:eastAsia="zh-CN"/>
                    </w:rPr>
                  </w:pPr>
                </w:p>
              </w:tc>
              <w:tc>
                <w:tcPr>
                  <w:tcW w:w="784"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3"/>
                      <w:sz w:val="21"/>
                      <w:szCs w:val="21"/>
                      <w:u w:val="single"/>
                      <w:lang w:eastAsia="zh-CN"/>
                    </w:rPr>
                  </w:pPr>
                  <w:r>
                    <w:rPr>
                      <w:rFonts w:hint="default" w:ascii="Times New Roman" w:hAnsi="Times New Roman" w:cs="Times New Roman"/>
                      <w:b/>
                      <w:bCs/>
                      <w:color w:val="auto"/>
                      <w:sz w:val="21"/>
                      <w:szCs w:val="21"/>
                      <w:u w:val="single"/>
                      <w:lang w:val="en-US" w:eastAsia="zh-CN"/>
                    </w:rPr>
                    <w:t>封边、粘贴、危废间</w:t>
                  </w:r>
                  <w:r>
                    <w:rPr>
                      <w:rFonts w:hint="default" w:ascii="Times New Roman" w:hAnsi="Times New Roman" w:cs="Times New Roman"/>
                      <w:b/>
                      <w:bCs/>
                      <w:color w:val="auto"/>
                      <w:sz w:val="21"/>
                      <w:szCs w:val="21"/>
                      <w:u w:val="single"/>
                      <w:lang w:eastAsia="zh-CN"/>
                    </w:rPr>
                    <w:t>等有机废气</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17"/>
                      <w:sz w:val="21"/>
                      <w:szCs w:val="21"/>
                      <w:u w:val="single"/>
                      <w:lang w:eastAsia="zh-CN"/>
                    </w:rPr>
                  </w:pPr>
                  <w:r>
                    <w:rPr>
                      <w:rFonts w:hint="default" w:ascii="Times New Roman" w:hAnsi="Times New Roman" w:cs="Times New Roman"/>
                      <w:b/>
                      <w:bCs/>
                      <w:color w:val="auto"/>
                      <w:spacing w:val="-23"/>
                      <w:sz w:val="21"/>
                      <w:szCs w:val="21"/>
                      <w:u w:val="single"/>
                      <w:lang w:eastAsia="zh-CN"/>
                    </w:rPr>
                    <w:t>非</w:t>
                  </w:r>
                  <w:r>
                    <w:rPr>
                      <w:rFonts w:hint="default" w:ascii="Times New Roman" w:hAnsi="Times New Roman" w:cs="Times New Roman"/>
                      <w:b/>
                      <w:bCs/>
                      <w:color w:val="auto"/>
                      <w:spacing w:val="-3"/>
                      <w:sz w:val="21"/>
                      <w:szCs w:val="21"/>
                      <w:u w:val="single"/>
                      <w:lang w:eastAsia="zh-CN"/>
                    </w:rPr>
                    <w:t>甲烷总</w:t>
                  </w:r>
                  <w:r>
                    <w:rPr>
                      <w:rFonts w:hint="default" w:ascii="Times New Roman" w:hAnsi="Times New Roman" w:cs="Times New Roman"/>
                      <w:b/>
                      <w:bCs/>
                      <w:color w:val="auto"/>
                      <w:sz w:val="21"/>
                      <w:szCs w:val="21"/>
                      <w:u w:val="single"/>
                      <w:lang w:eastAsia="zh-CN"/>
                    </w:rPr>
                    <w:t>烃</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38"/>
                      <w:sz w:val="21"/>
                      <w:szCs w:val="21"/>
                      <w:u w:val="single"/>
                      <w:lang w:eastAsia="zh-CN"/>
                    </w:rPr>
                  </w:pPr>
                  <w:r>
                    <w:rPr>
                      <w:rFonts w:hint="default" w:ascii="Times New Roman" w:hAnsi="Times New Roman" w:cs="Times New Roman"/>
                      <w:b/>
                      <w:bCs/>
                      <w:color w:val="auto"/>
                      <w:spacing w:val="14"/>
                      <w:sz w:val="21"/>
                      <w:szCs w:val="21"/>
                      <w:u w:val="single"/>
                      <w:lang w:val="en-US" w:eastAsia="zh-CN"/>
                    </w:rPr>
                    <w:t>1套</w:t>
                  </w:r>
                  <w:r>
                    <w:rPr>
                      <w:rFonts w:hint="eastAsia" w:ascii="Times New Roman" w:hAnsi="Times New Roman" w:cs="Times New Roman"/>
                      <w:b/>
                      <w:bCs/>
                      <w:color w:val="auto"/>
                      <w:spacing w:val="14"/>
                      <w:sz w:val="21"/>
                      <w:szCs w:val="21"/>
                      <w:u w:val="single"/>
                      <w:lang w:eastAsia="zh-CN"/>
                    </w:rPr>
                    <w:t>两级活性炭吸附</w:t>
                  </w:r>
                  <w:r>
                    <w:rPr>
                      <w:rFonts w:hint="default" w:ascii="Times New Roman" w:hAnsi="Times New Roman" w:cs="Times New Roman"/>
                      <w:b/>
                      <w:bCs/>
                      <w:color w:val="auto"/>
                      <w:spacing w:val="10"/>
                      <w:sz w:val="21"/>
                      <w:szCs w:val="21"/>
                      <w:u w:val="single"/>
                      <w:lang w:eastAsia="zh-CN"/>
                    </w:rPr>
                    <w:t>装置</w:t>
                  </w:r>
                  <w:r>
                    <w:rPr>
                      <w:rFonts w:hint="default" w:ascii="Times New Roman" w:hAnsi="Times New Roman" w:eastAsia="Times New Roman" w:cs="Times New Roman"/>
                      <w:b/>
                      <w:bCs/>
                      <w:color w:val="auto"/>
                      <w:spacing w:val="10"/>
                      <w:sz w:val="21"/>
                      <w:szCs w:val="21"/>
                      <w:u w:val="single"/>
                      <w:lang w:eastAsia="zh-CN"/>
                    </w:rPr>
                    <w:t>+15m</w:t>
                  </w:r>
                  <w:r>
                    <w:rPr>
                      <w:rFonts w:hint="default" w:ascii="Times New Roman" w:hAnsi="Times New Roman" w:cs="Times New Roman"/>
                      <w:b/>
                      <w:bCs/>
                      <w:color w:val="auto"/>
                      <w:spacing w:val="10"/>
                      <w:sz w:val="21"/>
                      <w:szCs w:val="21"/>
                      <w:u w:val="single"/>
                      <w:lang w:eastAsia="zh-CN"/>
                    </w:rPr>
                    <w:t>高排</w:t>
                  </w:r>
                  <w:r>
                    <w:rPr>
                      <w:rFonts w:hint="default" w:ascii="Times New Roman" w:hAnsi="Times New Roman" w:cs="Times New Roman"/>
                      <w:b/>
                      <w:bCs/>
                      <w:color w:val="auto"/>
                      <w:spacing w:val="5"/>
                      <w:sz w:val="21"/>
                      <w:szCs w:val="21"/>
                      <w:u w:val="single"/>
                      <w:lang w:eastAsia="zh-CN"/>
                    </w:rPr>
                    <w:t>气筒（</w:t>
                  </w:r>
                  <w:r>
                    <w:rPr>
                      <w:rFonts w:hint="default" w:ascii="Times New Roman" w:hAnsi="Times New Roman" w:eastAsia="Times New Roman" w:cs="Times New Roman"/>
                      <w:b/>
                      <w:bCs/>
                      <w:color w:val="auto"/>
                      <w:sz w:val="21"/>
                      <w:szCs w:val="21"/>
                      <w:u w:val="single"/>
                      <w:lang w:eastAsia="zh-CN"/>
                    </w:rPr>
                    <w:t>DA</w:t>
                  </w:r>
                  <w:r>
                    <w:rPr>
                      <w:rFonts w:hint="default" w:ascii="Times New Roman" w:hAnsi="Times New Roman" w:eastAsia="Times New Roman" w:cs="Times New Roman"/>
                      <w:b/>
                      <w:bCs/>
                      <w:color w:val="auto"/>
                      <w:spacing w:val="5"/>
                      <w:sz w:val="21"/>
                      <w:szCs w:val="21"/>
                      <w:u w:val="single"/>
                      <w:lang w:eastAsia="zh-CN"/>
                    </w:rPr>
                    <w:t>00</w:t>
                  </w:r>
                  <w:r>
                    <w:rPr>
                      <w:rFonts w:hint="default" w:ascii="Times New Roman" w:hAnsi="Times New Roman" w:cs="Times New Roman"/>
                      <w:b/>
                      <w:bCs/>
                      <w:color w:val="auto"/>
                      <w:spacing w:val="5"/>
                      <w:sz w:val="21"/>
                      <w:szCs w:val="21"/>
                      <w:u w:val="single"/>
                      <w:lang w:val="en-US" w:eastAsia="zh-CN"/>
                    </w:rPr>
                    <w:t>2</w:t>
                  </w:r>
                  <w:r>
                    <w:rPr>
                      <w:rFonts w:hint="default" w:ascii="Times New Roman" w:hAnsi="Times New Roman" w:cs="Times New Roman"/>
                      <w:b/>
                      <w:bCs/>
                      <w:color w:val="auto"/>
                      <w:spacing w:val="5"/>
                      <w:sz w:val="21"/>
                      <w:szCs w:val="21"/>
                      <w:u w:val="single"/>
                      <w:lang w:eastAsia="zh-CN"/>
                    </w:rPr>
                    <w:t>）</w:t>
                  </w:r>
                </w:p>
              </w:tc>
              <w:tc>
                <w:tcPr>
                  <w:tcW w:w="4091"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2"/>
                      <w:sz w:val="21"/>
                      <w:szCs w:val="21"/>
                      <w:u w:val="single"/>
                      <w:lang w:eastAsia="zh-CN"/>
                    </w:rPr>
                    <w:t>《工业涂装工序挥发性有机物排放标准》（DB41/1951—2020）家具制造业排放限值（非甲烷总烃排放浓度50mg/m</w:t>
                  </w:r>
                  <w:r>
                    <w:rPr>
                      <w:rFonts w:hint="default" w:ascii="Times New Roman" w:hAnsi="Times New Roman" w:cs="Times New Roman"/>
                      <w:b/>
                      <w:bCs/>
                      <w:color w:val="auto"/>
                      <w:spacing w:val="2"/>
                      <w:sz w:val="21"/>
                      <w:szCs w:val="21"/>
                      <w:u w:val="single"/>
                      <w:vertAlign w:val="superscript"/>
                      <w:lang w:eastAsia="zh-CN"/>
                    </w:rPr>
                    <w:t>3</w:t>
                  </w:r>
                  <w:r>
                    <w:rPr>
                      <w:rFonts w:hint="default" w:ascii="Times New Roman" w:hAnsi="Times New Roman" w:cs="Times New Roman"/>
                      <w:b/>
                      <w:bCs/>
                      <w:color w:val="auto"/>
                      <w:spacing w:val="2"/>
                      <w:sz w:val="21"/>
                      <w:szCs w:val="21"/>
                      <w:u w:val="single"/>
                      <w:lang w:eastAsia="zh-CN"/>
                    </w:rPr>
                    <w:t>）</w:t>
                  </w:r>
                  <w:r>
                    <w:rPr>
                      <w:rFonts w:hint="default" w:ascii="Times New Roman" w:hAnsi="Times New Roman" w:cs="Times New Roman"/>
                      <w:b/>
                      <w:bCs/>
                      <w:color w:val="auto"/>
                      <w:spacing w:val="9"/>
                      <w:sz w:val="21"/>
                      <w:szCs w:val="21"/>
                      <w:u w:val="single"/>
                      <w:lang w:eastAsia="zh-CN"/>
                    </w:rPr>
                    <w:t>及《重污染天气重点行业应急减排措施制定技术指南（2020年修订版）》</w:t>
                  </w:r>
                  <w:r>
                    <w:rPr>
                      <w:rFonts w:hint="default" w:ascii="Times New Roman" w:hAnsi="Times New Roman" w:cs="Times New Roman"/>
                      <w:b/>
                      <w:bCs/>
                      <w:color w:val="auto"/>
                      <w:spacing w:val="2"/>
                      <w:sz w:val="21"/>
                      <w:szCs w:val="21"/>
                      <w:u w:val="single"/>
                      <w:lang w:eastAsia="zh-CN"/>
                    </w:rPr>
                    <w:t>中家具制造</w:t>
                  </w:r>
                  <w:r>
                    <w:rPr>
                      <w:rFonts w:hint="default" w:ascii="Times New Roman" w:hAnsi="Times New Roman" w:cs="Times New Roman"/>
                      <w:b/>
                      <w:bCs/>
                      <w:color w:val="auto"/>
                      <w:spacing w:val="-2"/>
                      <w:sz w:val="21"/>
                      <w:szCs w:val="21"/>
                      <w:u w:val="single"/>
                      <w:lang w:eastAsia="zh-CN"/>
                    </w:rPr>
                    <w:t>行业</w:t>
                  </w:r>
                  <w:r>
                    <w:rPr>
                      <w:rFonts w:hint="default" w:ascii="Times New Roman" w:hAnsi="Times New Roman" w:eastAsia="Times New Roman" w:cs="Times New Roman"/>
                      <w:b/>
                      <w:bCs/>
                      <w:color w:val="auto"/>
                      <w:spacing w:val="-2"/>
                      <w:sz w:val="21"/>
                      <w:szCs w:val="21"/>
                      <w:u w:val="single"/>
                      <w:lang w:eastAsia="zh-CN"/>
                    </w:rPr>
                    <w:t>A</w:t>
                  </w:r>
                  <w:r>
                    <w:rPr>
                      <w:rFonts w:hint="default" w:ascii="Times New Roman" w:hAnsi="Times New Roman" w:cs="Times New Roman"/>
                      <w:b/>
                      <w:bCs/>
                      <w:color w:val="auto"/>
                      <w:spacing w:val="-2"/>
                      <w:sz w:val="21"/>
                      <w:szCs w:val="21"/>
                      <w:u w:val="single"/>
                      <w:lang w:eastAsia="zh-CN"/>
                    </w:rPr>
                    <w:t>级企业要求（</w:t>
                  </w:r>
                  <w:r>
                    <w:rPr>
                      <w:rFonts w:hint="default" w:ascii="Times New Roman" w:hAnsi="Times New Roman" w:cs="Times New Roman"/>
                      <w:b/>
                      <w:bCs/>
                      <w:color w:val="auto"/>
                      <w:spacing w:val="12"/>
                      <w:sz w:val="21"/>
                      <w:szCs w:val="21"/>
                      <w:u w:val="single"/>
                      <w:lang w:eastAsia="zh-CN"/>
                    </w:rPr>
                    <w:t>非甲烷总</w:t>
                  </w:r>
                  <w:r>
                    <w:rPr>
                      <w:rFonts w:hint="default" w:ascii="Times New Roman" w:hAnsi="Times New Roman" w:cs="Times New Roman"/>
                      <w:b/>
                      <w:bCs/>
                      <w:color w:val="auto"/>
                      <w:spacing w:val="5"/>
                      <w:sz w:val="21"/>
                      <w:szCs w:val="21"/>
                      <w:u w:val="single"/>
                      <w:lang w:eastAsia="zh-CN"/>
                    </w:rPr>
                    <w:t>烃</w:t>
                  </w:r>
                  <w:r>
                    <w:rPr>
                      <w:rFonts w:hint="default" w:ascii="Times New Roman" w:hAnsi="Times New Roman" w:eastAsia="Arial" w:cs="Times New Roman"/>
                      <w:b/>
                      <w:bCs/>
                      <w:color w:val="auto"/>
                      <w:spacing w:val="5"/>
                      <w:sz w:val="21"/>
                      <w:szCs w:val="21"/>
                      <w:u w:val="single"/>
                      <w:lang w:eastAsia="zh-CN"/>
                    </w:rPr>
                    <w:t>≤20</w:t>
                  </w:r>
                  <w:r>
                    <w:rPr>
                      <w:rFonts w:hint="default" w:ascii="Times New Roman" w:hAnsi="Times New Roman" w:eastAsia="Times New Roman" w:cs="Times New Roman"/>
                      <w:b/>
                      <w:bCs/>
                      <w:color w:val="auto"/>
                      <w:sz w:val="21"/>
                      <w:szCs w:val="21"/>
                      <w:u w:val="single"/>
                      <w:lang w:eastAsia="zh-CN"/>
                    </w:rPr>
                    <w:t>mg</w:t>
                  </w:r>
                  <w:r>
                    <w:rPr>
                      <w:rFonts w:hint="default" w:ascii="Times New Roman" w:hAnsi="Times New Roman" w:eastAsia="Times New Roman" w:cs="Times New Roman"/>
                      <w:b/>
                      <w:bCs/>
                      <w:color w:val="auto"/>
                      <w:spacing w:val="5"/>
                      <w:sz w:val="21"/>
                      <w:szCs w:val="21"/>
                      <w:u w:val="single"/>
                      <w:lang w:eastAsia="zh-CN"/>
                    </w:rPr>
                    <w:t>/m</w:t>
                  </w:r>
                  <w:r>
                    <w:rPr>
                      <w:rFonts w:hint="eastAsia" w:ascii="Times New Roman" w:hAnsi="Times New Roman" w:eastAsia="Times New Roman" w:cs="Times New Roman"/>
                      <w:b/>
                      <w:bCs/>
                      <w:color w:val="auto"/>
                      <w:spacing w:val="5"/>
                      <w:sz w:val="21"/>
                      <w:szCs w:val="21"/>
                      <w:u w:val="single"/>
                      <w:vertAlign w:val="superscript"/>
                      <w:lang w:val="en-US" w:eastAsia="zh-CN"/>
                    </w:rPr>
                    <w:t>3</w:t>
                  </w:r>
                  <w:r>
                    <w:rPr>
                      <w:rFonts w:hint="default" w:ascii="Times New Roman" w:hAnsi="Times New Roman" w:cs="Times New Roman"/>
                      <w:b/>
                      <w:bCs/>
                      <w:color w:val="auto"/>
                      <w:spacing w:val="5"/>
                      <w:sz w:val="21"/>
                      <w:szCs w:val="21"/>
                      <w:u w:val="single"/>
                      <w:lang w:eastAsia="zh-CN"/>
                    </w:rPr>
                    <w:t>）</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7"/>
                      <w:sz w:val="21"/>
                      <w:szCs w:val="21"/>
                      <w:u w:val="single"/>
                      <w:lang w:eastAsia="zh-CN"/>
                    </w:rPr>
                  </w:pPr>
                  <w:r>
                    <w:rPr>
                      <w:rFonts w:hint="default" w:ascii="Times New Roman" w:hAnsi="Times New Roman" w:cs="Times New Roman"/>
                      <w:b/>
                      <w:bCs/>
                      <w:color w:val="auto"/>
                      <w:spacing w:val="7"/>
                      <w:sz w:val="21"/>
                      <w:szCs w:val="21"/>
                      <w:u w:val="single"/>
                      <w:lang w:eastAsia="zh-CN"/>
                    </w:rPr>
                    <w:t>非</w:t>
                  </w:r>
                  <w:r>
                    <w:rPr>
                      <w:rFonts w:hint="default" w:ascii="Times New Roman" w:hAnsi="Times New Roman" w:cs="Times New Roman"/>
                      <w:b/>
                      <w:bCs/>
                      <w:color w:val="auto"/>
                      <w:spacing w:val="2"/>
                      <w:sz w:val="21"/>
                      <w:szCs w:val="21"/>
                      <w:u w:val="single"/>
                      <w:lang w:eastAsia="zh-CN"/>
                    </w:rPr>
                    <w:t>甲烷总烃排放速率、排</w:t>
                  </w:r>
                  <w:r>
                    <w:rPr>
                      <w:rFonts w:hint="default" w:ascii="Times New Roman" w:hAnsi="Times New Roman" w:cs="Times New Roman"/>
                      <w:b/>
                      <w:bCs/>
                      <w:color w:val="auto"/>
                      <w:spacing w:val="6"/>
                      <w:sz w:val="21"/>
                      <w:szCs w:val="21"/>
                      <w:u w:val="single"/>
                      <w:lang w:eastAsia="zh-CN"/>
                    </w:rPr>
                    <w:t>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2" w:hRule="atLeast"/>
              </w:trPr>
              <w:tc>
                <w:tcPr>
                  <w:tcW w:w="784" w:type="dxa"/>
                  <w:vMerge w:val="continue"/>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val="en-US" w:eastAsia="zh-CN"/>
                    </w:rPr>
                  </w:pPr>
                </w:p>
              </w:tc>
              <w:tc>
                <w:tcPr>
                  <w:tcW w:w="784" w:type="dxa"/>
                  <w:vMerge w:val="restart"/>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无组织废气</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pacing w:val="-23"/>
                      <w:sz w:val="21"/>
                      <w:szCs w:val="21"/>
                      <w:u w:val="single"/>
                      <w:lang w:val="en-US" w:eastAsia="zh-CN"/>
                    </w:rPr>
                  </w:pPr>
                  <w:r>
                    <w:rPr>
                      <w:rFonts w:hint="eastAsia" w:ascii="Times New Roman" w:hAnsi="Times New Roman" w:cs="Times New Roman"/>
                      <w:b/>
                      <w:bCs/>
                      <w:color w:val="auto"/>
                      <w:spacing w:val="-23"/>
                      <w:sz w:val="21"/>
                      <w:szCs w:val="21"/>
                      <w:u w:val="single"/>
                      <w:lang w:val="en-US" w:eastAsia="zh-CN"/>
                    </w:rPr>
                    <w:t>颗粒物</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pacing w:val="14"/>
                      <w:sz w:val="21"/>
                      <w:szCs w:val="21"/>
                      <w:u w:val="single"/>
                      <w:lang w:val="en-US" w:eastAsia="zh-CN"/>
                    </w:rPr>
                  </w:pPr>
                  <w:r>
                    <w:rPr>
                      <w:rFonts w:hint="eastAsia" w:ascii="Times New Roman" w:hAnsi="Times New Roman" w:cs="Times New Roman"/>
                      <w:b/>
                      <w:bCs/>
                      <w:color w:val="auto"/>
                      <w:spacing w:val="14"/>
                      <w:sz w:val="21"/>
                      <w:szCs w:val="21"/>
                      <w:u w:val="single"/>
                      <w:lang w:val="en-US" w:eastAsia="zh-CN"/>
                    </w:rPr>
                    <w:t>车间密闭</w:t>
                  </w:r>
                </w:p>
              </w:tc>
              <w:tc>
                <w:tcPr>
                  <w:tcW w:w="4091" w:type="dxa"/>
                  <w:vAlign w:val="center"/>
                </w:tcPr>
                <w:p>
                  <w:pPr>
                    <w:pStyle w:val="33"/>
                    <w:keepNext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cs="Times New Roman"/>
                      <w:b/>
                      <w:bCs/>
                      <w:color w:val="auto"/>
                      <w:spacing w:val="2"/>
                      <w:sz w:val="21"/>
                      <w:szCs w:val="21"/>
                      <w:u w:val="single"/>
                      <w:lang w:eastAsia="zh-CN"/>
                    </w:rPr>
                  </w:pPr>
                  <w:r>
                    <w:rPr>
                      <w:rFonts w:hint="default" w:ascii="Times New Roman" w:hAnsi="Times New Roman" w:cs="Times New Roman"/>
                      <w:b/>
                      <w:bCs/>
                      <w:color w:val="auto"/>
                      <w:spacing w:val="24"/>
                      <w:sz w:val="21"/>
                      <w:szCs w:val="21"/>
                      <w:u w:val="single"/>
                      <w:lang w:eastAsia="zh-CN"/>
                    </w:rPr>
                    <w:t>《大气污染物综合排</w:t>
                  </w:r>
                  <w:r>
                    <w:rPr>
                      <w:rFonts w:hint="default" w:ascii="Times New Roman" w:hAnsi="Times New Roman" w:cs="Times New Roman"/>
                      <w:b/>
                      <w:bCs/>
                      <w:color w:val="auto"/>
                      <w:sz w:val="21"/>
                      <w:szCs w:val="21"/>
                      <w:u w:val="single"/>
                      <w:lang w:eastAsia="zh-CN"/>
                    </w:rPr>
                    <w:t>放标准》</w:t>
                  </w:r>
                  <w:r>
                    <w:rPr>
                      <w:rFonts w:hint="default" w:ascii="Times New Roman" w:hAnsi="Times New Roman" w:cs="Times New Roman"/>
                      <w:b/>
                      <w:bCs/>
                      <w:color w:val="auto"/>
                      <w:spacing w:val="1"/>
                      <w:sz w:val="21"/>
                      <w:szCs w:val="21"/>
                      <w:u w:val="single"/>
                      <w:lang w:eastAsia="zh-CN"/>
                    </w:rPr>
                    <w:t>（</w:t>
                  </w:r>
                  <w:r>
                    <w:rPr>
                      <w:rFonts w:hint="default" w:ascii="Times New Roman" w:hAnsi="Times New Roman" w:eastAsia="Times New Roman" w:cs="Times New Roman"/>
                      <w:b/>
                      <w:bCs/>
                      <w:color w:val="auto"/>
                      <w:sz w:val="21"/>
                      <w:szCs w:val="21"/>
                      <w:u w:val="single"/>
                      <w:lang w:eastAsia="zh-CN"/>
                    </w:rPr>
                    <w:t>GB</w:t>
                  </w:r>
                  <w:r>
                    <w:rPr>
                      <w:rFonts w:hint="default" w:ascii="Times New Roman" w:hAnsi="Times New Roman" w:eastAsia="Times New Roman" w:cs="Times New Roman"/>
                      <w:b/>
                      <w:bCs/>
                      <w:color w:val="auto"/>
                      <w:spacing w:val="1"/>
                      <w:sz w:val="21"/>
                      <w:szCs w:val="21"/>
                      <w:u w:val="single"/>
                      <w:lang w:eastAsia="zh-CN"/>
                    </w:rPr>
                    <w:t>16297-1996</w:t>
                  </w:r>
                  <w:r>
                    <w:rPr>
                      <w:rFonts w:hint="default" w:ascii="Times New Roman" w:hAnsi="Times New Roman" w:cs="Times New Roman"/>
                      <w:b/>
                      <w:bCs/>
                      <w:color w:val="auto"/>
                      <w:spacing w:val="1"/>
                      <w:sz w:val="21"/>
                      <w:szCs w:val="21"/>
                      <w:u w:val="single"/>
                      <w:lang w:eastAsia="zh-CN"/>
                    </w:rPr>
                    <w:t>）表</w:t>
                  </w:r>
                  <w:r>
                    <w:rPr>
                      <w:rFonts w:hint="default" w:ascii="Times New Roman" w:hAnsi="Times New Roman" w:eastAsia="Times New Roman" w:cs="Times New Roman"/>
                      <w:b/>
                      <w:bCs/>
                      <w:color w:val="auto"/>
                      <w:spacing w:val="1"/>
                      <w:sz w:val="21"/>
                      <w:szCs w:val="21"/>
                      <w:u w:val="single"/>
                      <w:lang w:eastAsia="zh-CN"/>
                    </w:rPr>
                    <w:t>2</w:t>
                  </w:r>
                  <w:r>
                    <w:rPr>
                      <w:rFonts w:hint="default" w:ascii="Times New Roman" w:hAnsi="Times New Roman" w:cs="Times New Roman"/>
                      <w:b/>
                      <w:bCs/>
                      <w:color w:val="auto"/>
                      <w:spacing w:val="2"/>
                      <w:sz w:val="21"/>
                      <w:szCs w:val="21"/>
                      <w:u w:val="single"/>
                      <w:lang w:eastAsia="zh-CN"/>
                    </w:rPr>
                    <w:t>二级标准</w:t>
                  </w:r>
                  <w:r>
                    <w:rPr>
                      <w:rFonts w:hint="default" w:ascii="Times New Roman" w:hAnsi="Times New Roman" w:cs="Times New Roman"/>
                      <w:b/>
                      <w:bCs/>
                      <w:color w:val="auto"/>
                      <w:spacing w:val="-3"/>
                      <w:sz w:val="21"/>
                      <w:szCs w:val="21"/>
                      <w:u w:val="single"/>
                      <w:lang w:eastAsia="zh-CN"/>
                    </w:rPr>
                    <w:t>（</w:t>
                  </w:r>
                  <w:r>
                    <w:rPr>
                      <w:rFonts w:hint="default" w:ascii="Times New Roman" w:hAnsi="Times New Roman" w:cs="Times New Roman"/>
                      <w:b/>
                      <w:bCs/>
                      <w:color w:val="auto"/>
                      <w:spacing w:val="3"/>
                      <w:sz w:val="21"/>
                      <w:szCs w:val="21"/>
                      <w:u w:val="single"/>
                      <w:lang w:eastAsia="zh-CN"/>
                    </w:rPr>
                    <w:t>无组织</w:t>
                  </w:r>
                  <w:r>
                    <w:rPr>
                      <w:rFonts w:hint="default" w:ascii="Times New Roman" w:hAnsi="Times New Roman" w:eastAsia="Arial" w:cs="Times New Roman"/>
                      <w:b/>
                      <w:bCs/>
                      <w:color w:val="auto"/>
                      <w:spacing w:val="6"/>
                      <w:sz w:val="21"/>
                      <w:szCs w:val="21"/>
                      <w:u w:val="single"/>
                      <w:lang w:eastAsia="zh-CN"/>
                    </w:rPr>
                    <w:t>≤</w:t>
                  </w:r>
                  <w:r>
                    <w:rPr>
                      <w:rFonts w:hint="default" w:ascii="Times New Roman" w:hAnsi="Times New Roman" w:eastAsia="Arial" w:cs="Times New Roman"/>
                      <w:b/>
                      <w:bCs/>
                      <w:color w:val="auto"/>
                      <w:spacing w:val="6"/>
                      <w:sz w:val="21"/>
                      <w:szCs w:val="21"/>
                      <w:u w:val="single"/>
                      <w:lang w:val="en-US" w:eastAsia="zh-CN"/>
                    </w:rPr>
                    <w:t>1</w:t>
                  </w:r>
                  <w:r>
                    <w:rPr>
                      <w:rFonts w:hint="default" w:ascii="Times New Roman" w:hAnsi="Times New Roman" w:eastAsia="Times New Roman" w:cs="Times New Roman"/>
                      <w:b/>
                      <w:bCs/>
                      <w:color w:val="auto"/>
                      <w:sz w:val="21"/>
                      <w:szCs w:val="21"/>
                      <w:u w:val="single"/>
                      <w:lang w:eastAsia="zh-CN"/>
                    </w:rPr>
                    <w:t>mg</w:t>
                  </w:r>
                  <w:r>
                    <w:rPr>
                      <w:rFonts w:hint="default" w:ascii="Times New Roman" w:hAnsi="Times New Roman" w:eastAsia="Times New Roman" w:cs="Times New Roman"/>
                      <w:b/>
                      <w:bCs/>
                      <w:color w:val="auto"/>
                      <w:spacing w:val="6"/>
                      <w:sz w:val="21"/>
                      <w:szCs w:val="21"/>
                      <w:u w:val="single"/>
                      <w:lang w:eastAsia="zh-CN"/>
                    </w:rPr>
                    <w:t>/m</w:t>
                  </w:r>
                  <w:r>
                    <w:rPr>
                      <w:rFonts w:hint="default" w:ascii="Times New Roman" w:hAnsi="Times New Roman" w:eastAsia="Times New Roman" w:cs="Times New Roman"/>
                      <w:b/>
                      <w:bCs/>
                      <w:color w:val="auto"/>
                      <w:spacing w:val="6"/>
                      <w:sz w:val="21"/>
                      <w:szCs w:val="21"/>
                      <w:u w:val="single"/>
                      <w:vertAlign w:val="superscript"/>
                      <w:lang w:val="en-US" w:eastAsia="zh-CN"/>
                    </w:rPr>
                    <w:t>3</w:t>
                  </w:r>
                  <w:r>
                    <w:rPr>
                      <w:rFonts w:hint="default" w:ascii="Times New Roman" w:hAnsi="Times New Roman" w:cs="Times New Roman"/>
                      <w:b/>
                      <w:bCs/>
                      <w:color w:val="auto"/>
                      <w:spacing w:val="6"/>
                      <w:sz w:val="21"/>
                      <w:szCs w:val="21"/>
                      <w:u w:val="single"/>
                      <w:lang w:eastAsia="zh-CN"/>
                    </w:rPr>
                    <w:t>）</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7"/>
                      <w:sz w:val="21"/>
                      <w:szCs w:val="21"/>
                      <w:u w:val="single"/>
                      <w:lang w:eastAsia="zh-CN"/>
                    </w:rPr>
                  </w:pPr>
                  <w:r>
                    <w:rPr>
                      <w:rFonts w:hint="default" w:ascii="Times New Roman" w:hAnsi="Times New Roman" w:cs="Times New Roman"/>
                      <w:b/>
                      <w:bCs/>
                      <w:color w:val="auto"/>
                      <w:spacing w:val="7"/>
                      <w:sz w:val="21"/>
                      <w:szCs w:val="21"/>
                      <w:u w:val="single"/>
                      <w:lang w:eastAsia="zh-CN"/>
                    </w:rPr>
                    <w:t>上下风向颗粒物无组织排放浓度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2" w:hRule="atLeast"/>
              </w:trPr>
              <w:tc>
                <w:tcPr>
                  <w:tcW w:w="784" w:type="dxa"/>
                  <w:vMerge w:val="continue"/>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pPr>
                </w:p>
              </w:tc>
              <w:tc>
                <w:tcPr>
                  <w:tcW w:w="784" w:type="dxa"/>
                  <w:vMerge w:val="continue"/>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pP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pacing w:val="-23"/>
                      <w:sz w:val="21"/>
                      <w:szCs w:val="21"/>
                      <w:u w:val="single"/>
                      <w:lang w:val="en-US" w:eastAsia="zh-CN"/>
                    </w:rPr>
                  </w:pPr>
                  <w:r>
                    <w:rPr>
                      <w:rFonts w:hint="eastAsia" w:ascii="Times New Roman" w:hAnsi="Times New Roman" w:cs="Times New Roman"/>
                      <w:b/>
                      <w:bCs/>
                      <w:color w:val="auto"/>
                      <w:spacing w:val="-23"/>
                      <w:sz w:val="21"/>
                      <w:szCs w:val="21"/>
                      <w:u w:val="single"/>
                      <w:lang w:val="en-US" w:eastAsia="zh-CN"/>
                    </w:rPr>
                    <w:t>非甲烷总烃</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pacing w:val="-23"/>
                      <w:sz w:val="21"/>
                      <w:szCs w:val="21"/>
                      <w:u w:val="single"/>
                      <w:lang w:eastAsia="zh-CN"/>
                    </w:rPr>
                  </w:pPr>
                  <w:r>
                    <w:rPr>
                      <w:rFonts w:hint="eastAsia" w:ascii="Times New Roman" w:hAnsi="Times New Roman" w:cs="Times New Roman"/>
                      <w:b/>
                      <w:bCs/>
                      <w:color w:val="auto"/>
                      <w:spacing w:val="14"/>
                      <w:sz w:val="21"/>
                      <w:szCs w:val="21"/>
                      <w:u w:val="single"/>
                      <w:lang w:val="en-US" w:eastAsia="zh-CN"/>
                    </w:rPr>
                    <w:t>车间密闭</w:t>
                  </w:r>
                </w:p>
              </w:tc>
              <w:tc>
                <w:tcPr>
                  <w:tcW w:w="4091" w:type="dxa"/>
                  <w:vAlign w:val="center"/>
                </w:tcPr>
                <w:p>
                  <w:pPr>
                    <w:pStyle w:val="33"/>
                    <w:keepNext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cs="Times New Roman"/>
                      <w:b/>
                      <w:bCs/>
                      <w:color w:val="auto"/>
                      <w:spacing w:val="-23"/>
                      <w:sz w:val="21"/>
                      <w:szCs w:val="21"/>
                      <w:u w:val="single"/>
                      <w:lang w:val="en-US" w:eastAsia="zh-CN"/>
                    </w:rPr>
                  </w:pPr>
                  <w:r>
                    <w:rPr>
                      <w:rFonts w:hint="eastAsia" w:ascii="Times New Roman" w:hAnsi="Times New Roman" w:cs="Times New Roman"/>
                      <w:b/>
                      <w:bCs/>
                      <w:color w:val="auto"/>
                      <w:spacing w:val="2"/>
                      <w:sz w:val="21"/>
                      <w:szCs w:val="21"/>
                      <w:u w:val="single"/>
                      <w:lang w:eastAsia="zh-CN"/>
                    </w:rPr>
                    <w:t>《工业涂装工序挥发性有机物排放标准》（DB41/1951—2020）（非甲烷总烃1h平均浓度限值6mg/m</w:t>
                  </w:r>
                  <w:r>
                    <w:rPr>
                      <w:rFonts w:hint="eastAsia" w:ascii="Times New Roman" w:hAnsi="Times New Roman" w:cs="Times New Roman"/>
                      <w:b/>
                      <w:bCs/>
                      <w:color w:val="auto"/>
                      <w:spacing w:val="2"/>
                      <w:sz w:val="21"/>
                      <w:szCs w:val="21"/>
                      <w:u w:val="single"/>
                      <w:vertAlign w:val="superscript"/>
                      <w:lang w:eastAsia="zh-CN"/>
                    </w:rPr>
                    <w:t>3</w:t>
                  </w:r>
                  <w:r>
                    <w:rPr>
                      <w:rFonts w:hint="eastAsia" w:ascii="Times New Roman" w:hAnsi="Times New Roman" w:cs="Times New Roman"/>
                      <w:b/>
                      <w:bCs/>
                      <w:color w:val="auto"/>
                      <w:spacing w:val="2"/>
                      <w:sz w:val="21"/>
                      <w:szCs w:val="21"/>
                      <w:u w:val="single"/>
                      <w:lang w:eastAsia="zh-CN"/>
                    </w:rPr>
                    <w:t>，一次浓度限值20mg/m</w:t>
                  </w:r>
                  <w:r>
                    <w:rPr>
                      <w:rFonts w:hint="eastAsia" w:ascii="Times New Roman" w:hAnsi="Times New Roman" w:cs="Times New Roman"/>
                      <w:b/>
                      <w:bCs/>
                      <w:color w:val="auto"/>
                      <w:spacing w:val="2"/>
                      <w:sz w:val="21"/>
                      <w:szCs w:val="21"/>
                      <w:u w:val="single"/>
                      <w:vertAlign w:val="superscript"/>
                      <w:lang w:eastAsia="zh-CN"/>
                    </w:rPr>
                    <w:t>3</w:t>
                  </w:r>
                  <w:r>
                    <w:rPr>
                      <w:rFonts w:hint="eastAsia" w:ascii="Times New Roman" w:hAnsi="Times New Roman" w:cs="Times New Roman"/>
                      <w:b/>
                      <w:bCs/>
                      <w:color w:val="auto"/>
                      <w:spacing w:val="2"/>
                      <w:sz w:val="21"/>
                      <w:szCs w:val="21"/>
                      <w:u w:val="single"/>
                      <w:lang w:eastAsia="zh-CN"/>
                    </w:rPr>
                    <w:t>）</w:t>
                  </w:r>
                  <w:r>
                    <w:rPr>
                      <w:rFonts w:hint="eastAsia" w:ascii="Times New Roman" w:hAnsi="Times New Roman" w:cs="Times New Roman"/>
                      <w:b/>
                      <w:bCs/>
                      <w:color w:val="auto"/>
                      <w:spacing w:val="2"/>
                      <w:sz w:val="21"/>
                      <w:szCs w:val="21"/>
                      <w:u w:val="single"/>
                      <w:lang w:val="en-US" w:eastAsia="zh-CN"/>
                    </w:rPr>
                    <w:t>及</w:t>
                  </w:r>
                  <w:r>
                    <w:rPr>
                      <w:rFonts w:hint="eastAsia" w:ascii="Times New Roman" w:hAnsi="Times New Roman" w:cs="Times New Roman"/>
                      <w:b/>
                      <w:bCs/>
                      <w:color w:val="auto"/>
                      <w:spacing w:val="2"/>
                      <w:sz w:val="21"/>
                      <w:szCs w:val="21"/>
                      <w:u w:val="single"/>
                      <w:lang w:eastAsia="zh-CN"/>
                    </w:rPr>
                    <w:t>《河南省环境污染防治攻坚战领导小组办公室文件》（豫环攻坚办[2017]162号）（企业边界挥发性有机物排放建议值2mg/m</w:t>
                  </w:r>
                  <w:r>
                    <w:rPr>
                      <w:rFonts w:hint="eastAsia" w:ascii="Times New Roman" w:hAnsi="Times New Roman" w:cs="Times New Roman"/>
                      <w:b/>
                      <w:bCs/>
                      <w:color w:val="auto"/>
                      <w:spacing w:val="2"/>
                      <w:sz w:val="21"/>
                      <w:szCs w:val="21"/>
                      <w:u w:val="single"/>
                      <w:vertAlign w:val="superscript"/>
                      <w:lang w:eastAsia="zh-CN"/>
                    </w:rPr>
                    <w:t>3</w:t>
                  </w:r>
                  <w:r>
                    <w:rPr>
                      <w:rFonts w:hint="eastAsia" w:ascii="Times New Roman" w:hAnsi="Times New Roman" w:cs="Times New Roman"/>
                      <w:b/>
                      <w:bCs/>
                      <w:color w:val="auto"/>
                      <w:spacing w:val="2"/>
                      <w:sz w:val="21"/>
                      <w:szCs w:val="21"/>
                      <w:u w:val="single"/>
                      <w:lang w:eastAsia="zh-CN"/>
                    </w:rPr>
                    <w:t>）</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23"/>
                      <w:sz w:val="21"/>
                      <w:szCs w:val="21"/>
                      <w:u w:val="single"/>
                      <w:lang w:eastAsia="zh-CN"/>
                    </w:rPr>
                  </w:pPr>
                  <w:r>
                    <w:rPr>
                      <w:rFonts w:hint="default" w:ascii="Times New Roman" w:hAnsi="Times New Roman" w:cs="Times New Roman"/>
                      <w:b/>
                      <w:bCs/>
                      <w:color w:val="auto"/>
                      <w:spacing w:val="7"/>
                      <w:sz w:val="21"/>
                      <w:szCs w:val="21"/>
                      <w:u w:val="single"/>
                      <w:lang w:eastAsia="zh-CN"/>
                    </w:rPr>
                    <w:t>上下风向</w:t>
                  </w:r>
                  <w:r>
                    <w:rPr>
                      <w:rFonts w:hint="eastAsia" w:ascii="Times New Roman" w:hAnsi="Times New Roman" w:cs="Times New Roman"/>
                      <w:b/>
                      <w:bCs/>
                      <w:color w:val="auto"/>
                      <w:spacing w:val="7"/>
                      <w:sz w:val="21"/>
                      <w:szCs w:val="21"/>
                      <w:u w:val="single"/>
                      <w:lang w:val="en-US" w:eastAsia="zh-CN"/>
                    </w:rPr>
                    <w:t>非甲烷总烃</w:t>
                  </w:r>
                  <w:r>
                    <w:rPr>
                      <w:rFonts w:hint="default" w:ascii="Times New Roman" w:hAnsi="Times New Roman" w:cs="Times New Roman"/>
                      <w:b/>
                      <w:bCs/>
                      <w:color w:val="auto"/>
                      <w:spacing w:val="7"/>
                      <w:sz w:val="21"/>
                      <w:szCs w:val="21"/>
                      <w:u w:val="single"/>
                      <w:lang w:eastAsia="zh-CN"/>
                    </w:rPr>
                    <w:t>无组织排放浓度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4" w:hRule="atLeast"/>
              </w:trPr>
              <w:tc>
                <w:tcPr>
                  <w:tcW w:w="784"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pacing w:val="3"/>
                      <w:sz w:val="21"/>
                      <w:szCs w:val="21"/>
                      <w:u w:val="single"/>
                    </w:rPr>
                  </w:pPr>
                  <w:r>
                    <w:rPr>
                      <w:rFonts w:hint="eastAsia"/>
                      <w:b/>
                      <w:bCs/>
                      <w:sz w:val="21"/>
                      <w:szCs w:val="21"/>
                      <w:u w:val="single"/>
                      <w:lang w:val="en-US" w:eastAsia="zh-CN"/>
                    </w:rPr>
                    <w:t>固废</w:t>
                  </w:r>
                </w:p>
              </w:tc>
              <w:tc>
                <w:tcPr>
                  <w:tcW w:w="784"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3"/>
                      <w:sz w:val="21"/>
                      <w:szCs w:val="21"/>
                      <w:u w:val="single"/>
                    </w:rPr>
                    <w:t>生产</w:t>
                  </w:r>
                  <w:r>
                    <w:rPr>
                      <w:rFonts w:hint="default" w:ascii="Times New Roman" w:hAnsi="Times New Roman" w:cs="Times New Roman"/>
                      <w:b/>
                      <w:bCs/>
                      <w:color w:val="auto"/>
                      <w:spacing w:val="4"/>
                      <w:sz w:val="21"/>
                      <w:szCs w:val="21"/>
                      <w:u w:val="single"/>
                    </w:rPr>
                    <w:t>过程</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1"/>
                      <w:sz w:val="21"/>
                      <w:szCs w:val="21"/>
                      <w:u w:val="single"/>
                    </w:rPr>
                    <w:t>一般固</w:t>
                  </w:r>
                  <w:r>
                    <w:rPr>
                      <w:rFonts w:hint="default" w:ascii="Times New Roman" w:hAnsi="Times New Roman" w:cs="Times New Roman"/>
                      <w:b/>
                      <w:bCs/>
                      <w:color w:val="auto"/>
                      <w:spacing w:val="1"/>
                      <w:sz w:val="21"/>
                      <w:szCs w:val="21"/>
                      <w:u w:val="single"/>
                    </w:rPr>
                    <w:t>废</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eastAsia="Times New Roman" w:cs="Times New Roman"/>
                      <w:b/>
                      <w:bCs/>
                      <w:color w:val="auto"/>
                      <w:spacing w:val="-2"/>
                      <w:sz w:val="21"/>
                      <w:szCs w:val="21"/>
                      <w:u w:val="single"/>
                    </w:rPr>
                    <w:t>1×</w:t>
                  </w:r>
                  <w:r>
                    <w:rPr>
                      <w:rFonts w:hint="eastAsia" w:ascii="Times New Roman" w:hAnsi="Times New Roman" w:eastAsia="宋体" w:cs="Times New Roman"/>
                      <w:b/>
                      <w:bCs/>
                      <w:color w:val="auto"/>
                      <w:spacing w:val="-2"/>
                      <w:sz w:val="21"/>
                      <w:szCs w:val="21"/>
                      <w:u w:val="single"/>
                      <w:lang w:val="en-US" w:eastAsia="zh-CN"/>
                    </w:rPr>
                    <w:t>2</w:t>
                  </w:r>
                  <w:r>
                    <w:rPr>
                      <w:rFonts w:hint="default" w:ascii="Times New Roman" w:hAnsi="Times New Roman" w:eastAsia="Times New Roman" w:cs="Times New Roman"/>
                      <w:b/>
                      <w:bCs/>
                      <w:color w:val="auto"/>
                      <w:spacing w:val="-2"/>
                      <w:sz w:val="21"/>
                      <w:szCs w:val="21"/>
                      <w:u w:val="single"/>
                    </w:rPr>
                    <w:t>0</w:t>
                  </w:r>
                  <w:r>
                    <w:rPr>
                      <w:rFonts w:hint="default" w:ascii="Times New Roman" w:hAnsi="Times New Roman" w:eastAsia="Times New Roman" w:cs="Times New Roman"/>
                      <w:b/>
                      <w:bCs/>
                      <w:color w:val="auto"/>
                      <w:spacing w:val="1"/>
                      <w:sz w:val="21"/>
                      <w:szCs w:val="21"/>
                      <w:u w:val="single"/>
                    </w:rPr>
                    <w:t>m</w:t>
                  </w:r>
                  <w:r>
                    <w:rPr>
                      <w:rFonts w:hint="eastAsia" w:ascii="Times New Roman" w:hAnsi="Times New Roman" w:eastAsia="宋体" w:cs="Times New Roman"/>
                      <w:b/>
                      <w:bCs/>
                      <w:color w:val="auto"/>
                      <w:spacing w:val="1"/>
                      <w:sz w:val="21"/>
                      <w:szCs w:val="21"/>
                      <w:u w:val="single"/>
                      <w:vertAlign w:val="superscript"/>
                      <w:lang w:val="en-US" w:eastAsia="zh-CN"/>
                    </w:rPr>
                    <w:t>2</w:t>
                  </w:r>
                  <w:r>
                    <w:rPr>
                      <w:rFonts w:hint="default" w:ascii="Times New Roman" w:hAnsi="Times New Roman" w:cs="Times New Roman"/>
                      <w:b/>
                      <w:bCs/>
                      <w:color w:val="auto"/>
                      <w:spacing w:val="-2"/>
                      <w:sz w:val="21"/>
                      <w:szCs w:val="21"/>
                      <w:u w:val="single"/>
                    </w:rPr>
                    <w:t>一般固</w:t>
                  </w:r>
                  <w:r>
                    <w:rPr>
                      <w:rFonts w:hint="default" w:ascii="Times New Roman" w:hAnsi="Times New Roman" w:cs="Times New Roman"/>
                      <w:b/>
                      <w:bCs/>
                      <w:color w:val="auto"/>
                      <w:spacing w:val="6"/>
                      <w:sz w:val="21"/>
                      <w:szCs w:val="21"/>
                      <w:u w:val="single"/>
                    </w:rPr>
                    <w:t>废间</w:t>
                  </w:r>
                </w:p>
              </w:tc>
              <w:tc>
                <w:tcPr>
                  <w:tcW w:w="4091"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1"/>
                      <w:sz w:val="21"/>
                      <w:szCs w:val="21"/>
                      <w:u w:val="single"/>
                      <w:lang w:eastAsia="zh-CN"/>
                    </w:rPr>
                    <w:t>一般固废执行《一般工</w:t>
                  </w:r>
                  <w:r>
                    <w:rPr>
                      <w:rFonts w:hint="default" w:ascii="Times New Roman" w:hAnsi="Times New Roman" w:cs="Times New Roman"/>
                      <w:b/>
                      <w:bCs/>
                      <w:color w:val="auto"/>
                      <w:spacing w:val="24"/>
                      <w:sz w:val="21"/>
                      <w:szCs w:val="21"/>
                      <w:u w:val="single"/>
                      <w:lang w:eastAsia="zh-CN"/>
                    </w:rPr>
                    <w:t>业固体废物贮存和填</w:t>
                  </w:r>
                  <w:r>
                    <w:rPr>
                      <w:rFonts w:hint="default" w:ascii="Times New Roman" w:hAnsi="Times New Roman" w:cs="Times New Roman"/>
                      <w:b/>
                      <w:bCs/>
                      <w:color w:val="auto"/>
                      <w:spacing w:val="5"/>
                      <w:sz w:val="21"/>
                      <w:szCs w:val="21"/>
                      <w:u w:val="single"/>
                      <w:lang w:eastAsia="zh-CN"/>
                    </w:rPr>
                    <w:t>埋污染控制标准》（</w:t>
                  </w:r>
                  <w:r>
                    <w:rPr>
                      <w:rFonts w:hint="default" w:ascii="Times New Roman" w:hAnsi="Times New Roman" w:eastAsia="Times New Roman" w:cs="Times New Roman"/>
                      <w:b/>
                      <w:bCs/>
                      <w:color w:val="auto"/>
                      <w:sz w:val="21"/>
                      <w:szCs w:val="21"/>
                      <w:u w:val="single"/>
                      <w:lang w:eastAsia="zh-CN"/>
                    </w:rPr>
                    <w:t>GB</w:t>
                  </w:r>
                  <w:r>
                    <w:rPr>
                      <w:rFonts w:hint="default" w:ascii="Times New Roman" w:hAnsi="Times New Roman" w:eastAsia="Times New Roman" w:cs="Times New Roman"/>
                      <w:b/>
                      <w:bCs/>
                      <w:color w:val="auto"/>
                      <w:spacing w:val="5"/>
                      <w:sz w:val="21"/>
                      <w:szCs w:val="21"/>
                      <w:u w:val="single"/>
                      <w:lang w:eastAsia="zh-CN"/>
                    </w:rPr>
                    <w:t>18599-2020</w:t>
                  </w:r>
                  <w:r>
                    <w:rPr>
                      <w:rFonts w:hint="default" w:ascii="Times New Roman" w:hAnsi="Times New Roman" w:cs="Times New Roman"/>
                      <w:b/>
                      <w:bCs/>
                      <w:color w:val="auto"/>
                      <w:spacing w:val="5"/>
                      <w:sz w:val="21"/>
                      <w:szCs w:val="21"/>
                      <w:u w:val="single"/>
                      <w:lang w:eastAsia="zh-CN"/>
                    </w:rPr>
                    <w:t>）</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eastAsia="Times New Roman" w:cs="Times New Roman"/>
                      <w:b/>
                      <w:bCs/>
                      <w:color w:val="auto"/>
                      <w:spacing w:val="1"/>
                      <w:sz w:val="21"/>
                      <w:szCs w:val="21"/>
                      <w:u w:val="single"/>
                    </w:rPr>
                    <w:t>1×</w:t>
                  </w:r>
                  <w:r>
                    <w:rPr>
                      <w:rFonts w:hint="eastAsia" w:ascii="Times New Roman" w:hAnsi="Times New Roman" w:eastAsia="宋体" w:cs="Times New Roman"/>
                      <w:b/>
                      <w:bCs/>
                      <w:color w:val="auto"/>
                      <w:spacing w:val="1"/>
                      <w:sz w:val="21"/>
                      <w:szCs w:val="21"/>
                      <w:u w:val="single"/>
                      <w:lang w:val="en-US" w:eastAsia="zh-CN"/>
                    </w:rPr>
                    <w:t>2</w:t>
                  </w:r>
                  <w:r>
                    <w:rPr>
                      <w:rFonts w:hint="default" w:ascii="Times New Roman" w:hAnsi="Times New Roman" w:eastAsia="Times New Roman" w:cs="Times New Roman"/>
                      <w:b/>
                      <w:bCs/>
                      <w:color w:val="auto"/>
                      <w:spacing w:val="1"/>
                      <w:sz w:val="21"/>
                      <w:szCs w:val="21"/>
                      <w:u w:val="single"/>
                    </w:rPr>
                    <w:t>0m</w:t>
                  </w:r>
                  <w:r>
                    <w:rPr>
                      <w:rFonts w:hint="eastAsia" w:ascii="Times New Roman" w:hAnsi="Times New Roman" w:eastAsia="宋体" w:cs="Times New Roman"/>
                      <w:b/>
                      <w:bCs/>
                      <w:color w:val="auto"/>
                      <w:spacing w:val="1"/>
                      <w:sz w:val="21"/>
                      <w:szCs w:val="21"/>
                      <w:u w:val="single"/>
                      <w:vertAlign w:val="superscript"/>
                      <w:lang w:val="en-US" w:eastAsia="zh-CN"/>
                    </w:rPr>
                    <w:t>2</w:t>
                  </w:r>
                  <w:r>
                    <w:rPr>
                      <w:rFonts w:hint="default" w:ascii="Times New Roman" w:hAnsi="Times New Roman" w:cs="Times New Roman"/>
                      <w:b/>
                      <w:bCs/>
                      <w:color w:val="auto"/>
                      <w:spacing w:val="1"/>
                      <w:sz w:val="21"/>
                      <w:szCs w:val="21"/>
                      <w:u w:val="single"/>
                    </w:rPr>
                    <w:t>一般</w:t>
                  </w:r>
                  <w:r>
                    <w:rPr>
                      <w:rFonts w:hint="default" w:ascii="Times New Roman" w:hAnsi="Times New Roman" w:cs="Times New Roman"/>
                      <w:b/>
                      <w:bCs/>
                      <w:color w:val="auto"/>
                      <w:sz w:val="21"/>
                      <w:szCs w:val="21"/>
                      <w:u w:val="single"/>
                    </w:rPr>
                    <w:t>固废间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2" w:hRule="atLeast"/>
              </w:trPr>
              <w:tc>
                <w:tcPr>
                  <w:tcW w:w="784" w:type="dxa"/>
                  <w:vMerge w:val="continue"/>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pacing w:val="3"/>
                      <w:sz w:val="21"/>
                      <w:szCs w:val="21"/>
                      <w:u w:val="single"/>
                    </w:rPr>
                  </w:pPr>
                </w:p>
              </w:tc>
              <w:tc>
                <w:tcPr>
                  <w:tcW w:w="784"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3"/>
                      <w:sz w:val="21"/>
                      <w:szCs w:val="21"/>
                      <w:u w:val="single"/>
                    </w:rPr>
                    <w:t>生产</w:t>
                  </w:r>
                  <w:r>
                    <w:rPr>
                      <w:rFonts w:hint="default" w:ascii="Times New Roman" w:hAnsi="Times New Roman" w:cs="Times New Roman"/>
                      <w:b/>
                      <w:bCs/>
                      <w:color w:val="auto"/>
                      <w:spacing w:val="4"/>
                      <w:sz w:val="21"/>
                      <w:szCs w:val="21"/>
                      <w:u w:val="single"/>
                    </w:rPr>
                    <w:t>过程</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6"/>
                      <w:sz w:val="21"/>
                      <w:szCs w:val="21"/>
                      <w:u w:val="single"/>
                    </w:rPr>
                    <w:t>危险废</w:t>
                  </w:r>
                  <w:r>
                    <w:rPr>
                      <w:rFonts w:hint="default" w:ascii="Times New Roman" w:hAnsi="Times New Roman" w:cs="Times New Roman"/>
                      <w:b/>
                      <w:bCs/>
                      <w:color w:val="auto"/>
                      <w:sz w:val="21"/>
                      <w:szCs w:val="21"/>
                      <w:u w:val="single"/>
                    </w:rPr>
                    <w:t>物</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eastAsia="Times New Roman" w:cs="Times New Roman"/>
                      <w:b/>
                      <w:bCs/>
                      <w:color w:val="auto"/>
                      <w:spacing w:val="2"/>
                      <w:sz w:val="21"/>
                      <w:szCs w:val="21"/>
                      <w:u w:val="single"/>
                    </w:rPr>
                    <w:t>1×</w:t>
                  </w:r>
                  <w:r>
                    <w:rPr>
                      <w:rFonts w:hint="eastAsia" w:ascii="Times New Roman" w:hAnsi="Times New Roman" w:eastAsia="宋体" w:cs="Times New Roman"/>
                      <w:b/>
                      <w:bCs/>
                      <w:color w:val="auto"/>
                      <w:spacing w:val="2"/>
                      <w:sz w:val="21"/>
                      <w:szCs w:val="21"/>
                      <w:u w:val="single"/>
                      <w:lang w:val="en-US" w:eastAsia="zh-CN"/>
                    </w:rPr>
                    <w:t>2</w:t>
                  </w:r>
                  <w:r>
                    <w:rPr>
                      <w:rFonts w:hint="default" w:ascii="Times New Roman" w:hAnsi="Times New Roman" w:eastAsia="Times New Roman" w:cs="Times New Roman"/>
                      <w:b/>
                      <w:bCs/>
                      <w:color w:val="auto"/>
                      <w:spacing w:val="2"/>
                      <w:sz w:val="21"/>
                      <w:szCs w:val="21"/>
                      <w:u w:val="single"/>
                    </w:rPr>
                    <w:t>0</w:t>
                  </w:r>
                  <w:r>
                    <w:rPr>
                      <w:rFonts w:hint="default" w:ascii="Times New Roman" w:hAnsi="Times New Roman" w:eastAsia="Times New Roman" w:cs="Times New Roman"/>
                      <w:b/>
                      <w:bCs/>
                      <w:color w:val="auto"/>
                      <w:spacing w:val="1"/>
                      <w:sz w:val="21"/>
                      <w:szCs w:val="21"/>
                      <w:u w:val="single"/>
                    </w:rPr>
                    <w:t>m</w:t>
                  </w:r>
                  <w:r>
                    <w:rPr>
                      <w:rFonts w:hint="eastAsia" w:ascii="Times New Roman" w:hAnsi="Times New Roman" w:eastAsia="宋体" w:cs="Times New Roman"/>
                      <w:b/>
                      <w:bCs/>
                      <w:color w:val="auto"/>
                      <w:spacing w:val="1"/>
                      <w:sz w:val="21"/>
                      <w:szCs w:val="21"/>
                      <w:u w:val="single"/>
                      <w:vertAlign w:val="superscript"/>
                      <w:lang w:val="en-US" w:eastAsia="zh-CN"/>
                    </w:rPr>
                    <w:t>2</w:t>
                  </w:r>
                  <w:r>
                    <w:rPr>
                      <w:rFonts w:hint="default" w:ascii="Times New Roman" w:hAnsi="Times New Roman" w:cs="Times New Roman"/>
                      <w:b/>
                      <w:bCs/>
                      <w:color w:val="auto"/>
                      <w:spacing w:val="2"/>
                      <w:sz w:val="21"/>
                      <w:szCs w:val="21"/>
                      <w:u w:val="single"/>
                    </w:rPr>
                    <w:t>危废间</w:t>
                  </w:r>
                </w:p>
              </w:tc>
              <w:tc>
                <w:tcPr>
                  <w:tcW w:w="4091"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1"/>
                      <w:sz w:val="21"/>
                      <w:szCs w:val="21"/>
                      <w:u w:val="single"/>
                      <w:lang w:eastAsia="zh-CN"/>
                    </w:rPr>
                    <w:t>危险废物执行《危险废</w:t>
                  </w:r>
                  <w:r>
                    <w:rPr>
                      <w:rFonts w:hint="default" w:ascii="Times New Roman" w:hAnsi="Times New Roman" w:cs="Times New Roman"/>
                      <w:b/>
                      <w:bCs/>
                      <w:color w:val="auto"/>
                      <w:spacing w:val="7"/>
                      <w:sz w:val="21"/>
                      <w:szCs w:val="21"/>
                      <w:u w:val="single"/>
                      <w:lang w:eastAsia="zh-CN"/>
                    </w:rPr>
                    <w:t>物贮存污染控制标准》</w:t>
                  </w:r>
                  <w:r>
                    <w:rPr>
                      <w:rFonts w:hint="default" w:ascii="Times New Roman" w:hAnsi="Times New Roman" w:cs="Times New Roman"/>
                      <w:b/>
                      <w:bCs/>
                      <w:color w:val="auto"/>
                      <w:spacing w:val="5"/>
                      <w:sz w:val="21"/>
                      <w:szCs w:val="21"/>
                      <w:u w:val="single"/>
                      <w:lang w:eastAsia="zh-CN"/>
                    </w:rPr>
                    <w:t>（</w:t>
                  </w:r>
                  <w:r>
                    <w:rPr>
                      <w:rFonts w:hint="default" w:ascii="Times New Roman" w:hAnsi="Times New Roman" w:eastAsia="Times New Roman" w:cs="Times New Roman"/>
                      <w:b/>
                      <w:bCs/>
                      <w:color w:val="auto"/>
                      <w:sz w:val="21"/>
                      <w:szCs w:val="21"/>
                      <w:u w:val="single"/>
                      <w:lang w:eastAsia="zh-CN"/>
                    </w:rPr>
                    <w:t>GB</w:t>
                  </w:r>
                  <w:r>
                    <w:rPr>
                      <w:rFonts w:hint="default" w:ascii="Times New Roman" w:hAnsi="Times New Roman" w:eastAsia="Times New Roman" w:cs="Times New Roman"/>
                      <w:b/>
                      <w:bCs/>
                      <w:color w:val="auto"/>
                      <w:spacing w:val="5"/>
                      <w:sz w:val="21"/>
                      <w:szCs w:val="21"/>
                      <w:u w:val="single"/>
                      <w:lang w:eastAsia="zh-CN"/>
                    </w:rPr>
                    <w:t>18597-2023</w:t>
                  </w:r>
                  <w:r>
                    <w:rPr>
                      <w:rFonts w:hint="default" w:ascii="Times New Roman" w:hAnsi="Times New Roman" w:cs="Times New Roman"/>
                      <w:b/>
                      <w:bCs/>
                      <w:color w:val="auto"/>
                      <w:spacing w:val="5"/>
                      <w:sz w:val="21"/>
                      <w:szCs w:val="21"/>
                      <w:u w:val="single"/>
                      <w:lang w:eastAsia="zh-CN"/>
                    </w:rPr>
                    <w:t>）</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eastAsia="Times New Roman" w:cs="Times New Roman"/>
                      <w:b/>
                      <w:bCs/>
                      <w:color w:val="auto"/>
                      <w:spacing w:val="1"/>
                      <w:sz w:val="21"/>
                      <w:szCs w:val="21"/>
                      <w:u w:val="single"/>
                    </w:rPr>
                    <w:t>1×</w:t>
                  </w:r>
                  <w:r>
                    <w:rPr>
                      <w:rFonts w:hint="eastAsia" w:ascii="Times New Roman" w:hAnsi="Times New Roman" w:eastAsia="宋体" w:cs="Times New Roman"/>
                      <w:b/>
                      <w:bCs/>
                      <w:color w:val="auto"/>
                      <w:spacing w:val="1"/>
                      <w:sz w:val="21"/>
                      <w:szCs w:val="21"/>
                      <w:u w:val="single"/>
                      <w:lang w:val="en-US" w:eastAsia="zh-CN"/>
                    </w:rPr>
                    <w:t>2</w:t>
                  </w:r>
                  <w:r>
                    <w:rPr>
                      <w:rFonts w:hint="default" w:ascii="Times New Roman" w:hAnsi="Times New Roman" w:eastAsia="Times New Roman" w:cs="Times New Roman"/>
                      <w:b/>
                      <w:bCs/>
                      <w:color w:val="auto"/>
                      <w:spacing w:val="1"/>
                      <w:sz w:val="21"/>
                      <w:szCs w:val="21"/>
                      <w:u w:val="single"/>
                    </w:rPr>
                    <w:t>0m</w:t>
                  </w:r>
                  <w:r>
                    <w:rPr>
                      <w:rFonts w:hint="eastAsia" w:ascii="Times New Roman" w:hAnsi="Times New Roman" w:eastAsia="宋体" w:cs="Times New Roman"/>
                      <w:b/>
                      <w:bCs/>
                      <w:color w:val="auto"/>
                      <w:spacing w:val="1"/>
                      <w:sz w:val="21"/>
                      <w:szCs w:val="21"/>
                      <w:u w:val="single"/>
                      <w:vertAlign w:val="superscript"/>
                      <w:lang w:val="en-US" w:eastAsia="zh-CN"/>
                    </w:rPr>
                    <w:t>2</w:t>
                  </w:r>
                  <w:r>
                    <w:rPr>
                      <w:rFonts w:hint="default" w:ascii="Times New Roman" w:hAnsi="Times New Roman" w:cs="Times New Roman"/>
                      <w:b/>
                      <w:bCs/>
                      <w:color w:val="auto"/>
                      <w:spacing w:val="1"/>
                      <w:sz w:val="21"/>
                      <w:szCs w:val="21"/>
                      <w:u w:val="single"/>
                    </w:rPr>
                    <w:t>危废</w:t>
                  </w:r>
                  <w:r>
                    <w:rPr>
                      <w:rFonts w:hint="default" w:ascii="Times New Roman" w:hAnsi="Times New Roman" w:cs="Times New Roman"/>
                      <w:b/>
                      <w:bCs/>
                      <w:color w:val="auto"/>
                      <w:sz w:val="21"/>
                      <w:szCs w:val="21"/>
                      <w:u w:val="single"/>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0" w:hRule="atLeast"/>
              </w:trPr>
              <w:tc>
                <w:tcPr>
                  <w:tcW w:w="784" w:type="dxa"/>
                  <w:vMerge w:val="continue"/>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pacing w:val="2"/>
                      <w:sz w:val="21"/>
                      <w:szCs w:val="21"/>
                      <w:u w:val="single"/>
                    </w:rPr>
                  </w:pPr>
                </w:p>
              </w:tc>
              <w:tc>
                <w:tcPr>
                  <w:tcW w:w="784"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2"/>
                      <w:sz w:val="21"/>
                      <w:szCs w:val="21"/>
                      <w:u w:val="single"/>
                    </w:rPr>
                    <w:t>办公</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6"/>
                      <w:sz w:val="21"/>
                      <w:szCs w:val="21"/>
                      <w:u w:val="single"/>
                    </w:rPr>
                    <w:t>生活垃</w:t>
                  </w:r>
                  <w:r>
                    <w:rPr>
                      <w:rFonts w:hint="default" w:ascii="Times New Roman" w:hAnsi="Times New Roman" w:cs="Times New Roman"/>
                      <w:b/>
                      <w:bCs/>
                      <w:color w:val="auto"/>
                      <w:sz w:val="21"/>
                      <w:szCs w:val="21"/>
                      <w:u w:val="single"/>
                    </w:rPr>
                    <w:t>圾</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4"/>
                      <w:sz w:val="21"/>
                      <w:szCs w:val="21"/>
                      <w:u w:val="single"/>
                    </w:rPr>
                    <w:t>垃圾集中收集</w:t>
                  </w:r>
                  <w:r>
                    <w:rPr>
                      <w:rFonts w:hint="default" w:ascii="Times New Roman" w:hAnsi="Times New Roman" w:cs="Times New Roman"/>
                      <w:b/>
                      <w:bCs/>
                      <w:color w:val="auto"/>
                      <w:sz w:val="21"/>
                      <w:szCs w:val="21"/>
                      <w:u w:val="single"/>
                    </w:rPr>
                    <w:t>桶</w:t>
                  </w:r>
                </w:p>
              </w:tc>
              <w:tc>
                <w:tcPr>
                  <w:tcW w:w="4091" w:type="dxa"/>
                  <w:vAlign w:val="center"/>
                </w:tcPr>
                <w:p>
                  <w:pPr>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Times New Roman" w:cs="Times New Roman"/>
                      <w:b/>
                      <w:bCs/>
                      <w:color w:val="auto"/>
                      <w:sz w:val="21"/>
                      <w:szCs w:val="21"/>
                      <w:u w:val="single"/>
                    </w:rPr>
                  </w:pPr>
                  <w:r>
                    <w:rPr>
                      <w:rFonts w:hint="default" w:ascii="Times New Roman" w:hAnsi="Times New Roman" w:eastAsia="Times New Roman" w:cs="Times New Roman"/>
                      <w:b/>
                      <w:bCs/>
                      <w:color w:val="auto"/>
                      <w:spacing w:val="2"/>
                      <w:sz w:val="21"/>
                      <w:szCs w:val="21"/>
                      <w:u w:val="single"/>
                    </w:rPr>
                    <w:t>/</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7"/>
                      <w:sz w:val="21"/>
                      <w:szCs w:val="21"/>
                      <w:u w:val="single"/>
                    </w:rPr>
                    <w:t>垃圾桶若干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3" w:hRule="atLeast"/>
              </w:trPr>
              <w:tc>
                <w:tcPr>
                  <w:tcW w:w="7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pacing w:val="3"/>
                      <w:sz w:val="21"/>
                      <w:szCs w:val="21"/>
                      <w:u w:val="single"/>
                    </w:rPr>
                  </w:pPr>
                  <w:r>
                    <w:rPr>
                      <w:rFonts w:hint="eastAsia"/>
                      <w:b/>
                      <w:bCs/>
                      <w:sz w:val="21"/>
                      <w:szCs w:val="21"/>
                      <w:u w:val="single"/>
                      <w:lang w:val="en-US" w:eastAsia="zh-CN"/>
                    </w:rPr>
                    <w:t>噪声</w:t>
                  </w:r>
                </w:p>
              </w:tc>
              <w:tc>
                <w:tcPr>
                  <w:tcW w:w="784"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3"/>
                      <w:sz w:val="21"/>
                      <w:szCs w:val="21"/>
                      <w:u w:val="single"/>
                    </w:rPr>
                    <w:t>生产</w:t>
                  </w:r>
                  <w:r>
                    <w:rPr>
                      <w:rFonts w:hint="default" w:ascii="Times New Roman" w:hAnsi="Times New Roman" w:cs="Times New Roman"/>
                      <w:b/>
                      <w:bCs/>
                      <w:color w:val="auto"/>
                      <w:spacing w:val="4"/>
                      <w:sz w:val="21"/>
                      <w:szCs w:val="21"/>
                      <w:u w:val="single"/>
                    </w:rPr>
                    <w:t>过程</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5"/>
                      <w:sz w:val="21"/>
                      <w:szCs w:val="21"/>
                      <w:u w:val="single"/>
                    </w:rPr>
                    <w:t>设备噪</w:t>
                  </w:r>
                  <w:r>
                    <w:rPr>
                      <w:rFonts w:hint="default" w:ascii="Times New Roman" w:hAnsi="Times New Roman" w:cs="Times New Roman"/>
                      <w:b/>
                      <w:bCs/>
                      <w:color w:val="auto"/>
                      <w:sz w:val="21"/>
                      <w:szCs w:val="21"/>
                      <w:u w:val="single"/>
                    </w:rPr>
                    <w:t>声</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38"/>
                      <w:sz w:val="21"/>
                      <w:szCs w:val="21"/>
                      <w:u w:val="single"/>
                      <w:lang w:eastAsia="zh-CN"/>
                    </w:rPr>
                    <w:t>设备安装减振</w:t>
                  </w:r>
                  <w:r>
                    <w:rPr>
                      <w:rFonts w:hint="default" w:ascii="Times New Roman" w:hAnsi="Times New Roman" w:cs="Times New Roman"/>
                      <w:b/>
                      <w:bCs/>
                      <w:color w:val="auto"/>
                      <w:spacing w:val="7"/>
                      <w:sz w:val="21"/>
                      <w:szCs w:val="21"/>
                      <w:u w:val="single"/>
                      <w:lang w:eastAsia="zh-CN"/>
                    </w:rPr>
                    <w:t>垫、厂房隔声</w:t>
                  </w:r>
                </w:p>
              </w:tc>
              <w:tc>
                <w:tcPr>
                  <w:tcW w:w="4091"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24"/>
                      <w:sz w:val="21"/>
                      <w:szCs w:val="21"/>
                      <w:u w:val="single"/>
                      <w:lang w:eastAsia="zh-CN"/>
                    </w:rPr>
                    <w:t>《工业企业厂界环境</w:t>
                  </w:r>
                  <w:r>
                    <w:rPr>
                      <w:rFonts w:hint="default" w:ascii="Times New Roman" w:hAnsi="Times New Roman" w:cs="Times New Roman"/>
                      <w:b/>
                      <w:bCs/>
                      <w:color w:val="auto"/>
                      <w:spacing w:val="-2"/>
                      <w:sz w:val="21"/>
                      <w:szCs w:val="21"/>
                      <w:u w:val="single"/>
                      <w:lang w:eastAsia="zh-CN"/>
                    </w:rPr>
                    <w:t>噪声排放标准》</w:t>
                  </w:r>
                  <w:r>
                    <w:rPr>
                      <w:rFonts w:hint="default" w:ascii="Times New Roman" w:hAnsi="Times New Roman" w:cs="Times New Roman"/>
                      <w:b/>
                      <w:bCs/>
                      <w:color w:val="auto"/>
                      <w:spacing w:val="3"/>
                      <w:sz w:val="21"/>
                      <w:szCs w:val="21"/>
                      <w:u w:val="single"/>
                      <w:lang w:eastAsia="zh-CN"/>
                    </w:rPr>
                    <w:t>（</w:t>
                  </w:r>
                  <w:r>
                    <w:rPr>
                      <w:rFonts w:hint="default" w:ascii="Times New Roman" w:hAnsi="Times New Roman" w:eastAsia="Times New Roman" w:cs="Times New Roman"/>
                      <w:b/>
                      <w:bCs/>
                      <w:color w:val="auto"/>
                      <w:sz w:val="21"/>
                      <w:szCs w:val="21"/>
                      <w:u w:val="single"/>
                      <w:lang w:eastAsia="zh-CN"/>
                    </w:rPr>
                    <w:t>GB</w:t>
                  </w:r>
                  <w:r>
                    <w:rPr>
                      <w:rFonts w:hint="default" w:ascii="Times New Roman" w:hAnsi="Times New Roman" w:eastAsia="Times New Roman" w:cs="Times New Roman"/>
                      <w:b/>
                      <w:bCs/>
                      <w:color w:val="auto"/>
                      <w:spacing w:val="3"/>
                      <w:sz w:val="21"/>
                      <w:szCs w:val="21"/>
                      <w:u w:val="single"/>
                      <w:lang w:eastAsia="zh-CN"/>
                    </w:rPr>
                    <w:t>12348-2008</w:t>
                  </w:r>
                  <w:r>
                    <w:rPr>
                      <w:rFonts w:hint="default" w:ascii="Times New Roman" w:hAnsi="Times New Roman" w:cs="Times New Roman"/>
                      <w:b/>
                      <w:bCs/>
                      <w:color w:val="auto"/>
                      <w:spacing w:val="3"/>
                      <w:sz w:val="21"/>
                      <w:szCs w:val="21"/>
                      <w:u w:val="single"/>
                      <w:lang w:eastAsia="zh-CN"/>
                    </w:rPr>
                    <w:t>）中</w:t>
                  </w:r>
                  <w:r>
                    <w:rPr>
                      <w:rFonts w:hint="default" w:ascii="Times New Roman" w:hAnsi="Times New Roman" w:cs="Times New Roman"/>
                      <w:b/>
                      <w:bCs/>
                      <w:color w:val="auto"/>
                      <w:spacing w:val="1"/>
                      <w:sz w:val="21"/>
                      <w:szCs w:val="21"/>
                      <w:u w:val="single"/>
                      <w:lang w:eastAsia="zh-CN"/>
                    </w:rPr>
                    <w:t>的</w:t>
                  </w:r>
                  <w:r>
                    <w:rPr>
                      <w:rFonts w:hint="default" w:ascii="Times New Roman" w:hAnsi="Times New Roman" w:eastAsia="Times New Roman" w:cs="Times New Roman"/>
                      <w:b/>
                      <w:bCs/>
                      <w:color w:val="auto"/>
                      <w:spacing w:val="1"/>
                      <w:sz w:val="21"/>
                      <w:szCs w:val="21"/>
                      <w:u w:val="single"/>
                      <w:lang w:eastAsia="zh-CN"/>
                    </w:rPr>
                    <w:t>3</w:t>
                  </w:r>
                  <w:r>
                    <w:rPr>
                      <w:rFonts w:hint="default" w:ascii="Times New Roman" w:hAnsi="Times New Roman" w:cs="Times New Roman"/>
                      <w:b/>
                      <w:bCs/>
                      <w:color w:val="auto"/>
                      <w:spacing w:val="1"/>
                      <w:sz w:val="21"/>
                      <w:szCs w:val="21"/>
                      <w:u w:val="single"/>
                      <w:lang w:eastAsia="zh-CN"/>
                    </w:rPr>
                    <w:t>类标准</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5"/>
                      <w:sz w:val="21"/>
                      <w:szCs w:val="21"/>
                      <w:u w:val="single"/>
                      <w:lang w:eastAsia="zh-CN"/>
                    </w:rPr>
                    <w:t>昼间</w:t>
                  </w:r>
                  <w:r>
                    <w:rPr>
                      <w:rFonts w:hint="default" w:ascii="Times New Roman" w:hAnsi="Times New Roman" w:eastAsia="Times New Roman" w:cs="Times New Roman"/>
                      <w:b/>
                      <w:bCs/>
                      <w:color w:val="auto"/>
                      <w:spacing w:val="6"/>
                      <w:sz w:val="21"/>
                      <w:szCs w:val="21"/>
                      <w:u w:val="single"/>
                      <w:lang w:eastAsia="zh-CN"/>
                    </w:rPr>
                    <w:t>&lt;65</w:t>
                  </w:r>
                  <w:r>
                    <w:rPr>
                      <w:rFonts w:hint="default" w:ascii="Times New Roman" w:hAnsi="Times New Roman" w:eastAsia="Times New Roman" w:cs="Times New Roman"/>
                      <w:b/>
                      <w:bCs/>
                      <w:color w:val="auto"/>
                      <w:sz w:val="21"/>
                      <w:szCs w:val="21"/>
                      <w:u w:val="single"/>
                      <w:lang w:eastAsia="zh-CN"/>
                    </w:rPr>
                    <w:t>dB</w:t>
                  </w:r>
                  <w:r>
                    <w:rPr>
                      <w:rFonts w:hint="default" w:ascii="Times New Roman" w:hAnsi="Times New Roman" w:eastAsia="Times New Roman" w:cs="Times New Roman"/>
                      <w:b/>
                      <w:bCs/>
                      <w:color w:val="auto"/>
                      <w:spacing w:val="6"/>
                      <w:sz w:val="21"/>
                      <w:szCs w:val="21"/>
                      <w:u w:val="single"/>
                      <w:lang w:eastAsia="zh-CN"/>
                    </w:rPr>
                    <w:t>（A</w:t>
                  </w:r>
                  <w:r>
                    <w:rPr>
                      <w:rFonts w:hint="default" w:ascii="Times New Roman" w:hAnsi="Times New Roman" w:cs="Times New Roman"/>
                      <w:b/>
                      <w:bCs/>
                      <w:color w:val="auto"/>
                      <w:spacing w:val="6"/>
                      <w:sz w:val="21"/>
                      <w:szCs w:val="21"/>
                      <w:u w:val="single"/>
                      <w:lang w:eastAsia="zh-CN"/>
                    </w:rPr>
                    <w:t>）</w:t>
                  </w:r>
                  <w:r>
                    <w:rPr>
                      <w:rFonts w:hint="default" w:ascii="Times New Roman" w:hAnsi="Times New Roman" w:cs="Times New Roman"/>
                      <w:b/>
                      <w:bCs/>
                      <w:color w:val="auto"/>
                      <w:spacing w:val="3"/>
                      <w:sz w:val="21"/>
                      <w:szCs w:val="21"/>
                      <w:u w:val="single"/>
                      <w:lang w:eastAsia="zh-CN"/>
                    </w:rPr>
                    <w:t>夜间</w:t>
                  </w:r>
                  <w:r>
                    <w:rPr>
                      <w:rFonts w:hint="default" w:ascii="Times New Roman" w:hAnsi="Times New Roman" w:eastAsia="Times New Roman" w:cs="Times New Roman"/>
                      <w:b/>
                      <w:bCs/>
                      <w:color w:val="auto"/>
                      <w:spacing w:val="4"/>
                      <w:sz w:val="21"/>
                      <w:szCs w:val="21"/>
                      <w:u w:val="single"/>
                      <w:lang w:eastAsia="zh-CN"/>
                    </w:rPr>
                    <w:t>&lt;55</w:t>
                  </w:r>
                  <w:r>
                    <w:rPr>
                      <w:rFonts w:hint="default" w:ascii="Times New Roman" w:hAnsi="Times New Roman" w:eastAsia="Times New Roman" w:cs="Times New Roman"/>
                      <w:b/>
                      <w:bCs/>
                      <w:color w:val="auto"/>
                      <w:sz w:val="21"/>
                      <w:szCs w:val="21"/>
                      <w:u w:val="single"/>
                      <w:lang w:eastAsia="zh-CN"/>
                    </w:rPr>
                    <w:t>dB</w:t>
                  </w:r>
                  <w:r>
                    <w:rPr>
                      <w:rFonts w:hint="default" w:ascii="Times New Roman" w:hAnsi="Times New Roman" w:cs="Times New Roman"/>
                      <w:b/>
                      <w:bCs/>
                      <w:color w:val="auto"/>
                      <w:sz w:val="21"/>
                      <w:szCs w:val="21"/>
                      <w:u w:val="single"/>
                      <w:lang w:eastAsia="zh-CN"/>
                    </w:rPr>
                    <w:t>（</w:t>
                  </w:r>
                  <w:r>
                    <w:rPr>
                      <w:rFonts w:hint="default" w:ascii="Times New Roman" w:hAnsi="Times New Roman" w:eastAsia="Times New Roman" w:cs="Times New Roman"/>
                      <w:b/>
                      <w:bCs/>
                      <w:color w:val="auto"/>
                      <w:spacing w:val="4"/>
                      <w:sz w:val="21"/>
                      <w:szCs w:val="21"/>
                      <w:u w:val="single"/>
                      <w:lang w:eastAsia="zh-CN"/>
                    </w:rPr>
                    <w:t>A</w:t>
                  </w:r>
                  <w:r>
                    <w:rPr>
                      <w:rFonts w:hint="default" w:ascii="Times New Roman" w:hAnsi="Times New Roman" w:cs="Times New Roman"/>
                      <w:b/>
                      <w:bCs/>
                      <w:color w:val="auto"/>
                      <w:spacing w:val="4"/>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0" w:hRule="atLeast"/>
              </w:trPr>
              <w:tc>
                <w:tcPr>
                  <w:tcW w:w="7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pacing w:val="3"/>
                      <w:sz w:val="21"/>
                      <w:szCs w:val="21"/>
                      <w:u w:val="single"/>
                    </w:rPr>
                  </w:pPr>
                  <w:r>
                    <w:rPr>
                      <w:rFonts w:hint="eastAsia"/>
                      <w:b/>
                      <w:bCs/>
                      <w:sz w:val="21"/>
                      <w:szCs w:val="21"/>
                      <w:u w:val="single"/>
                      <w:lang w:val="en-US" w:eastAsia="zh-CN"/>
                    </w:rPr>
                    <w:t>环境风险</w:t>
                  </w:r>
                </w:p>
              </w:tc>
              <w:tc>
                <w:tcPr>
                  <w:tcW w:w="784"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3"/>
                      <w:sz w:val="21"/>
                      <w:szCs w:val="21"/>
                      <w:u w:val="single"/>
                    </w:rPr>
                    <w:t>生产</w:t>
                  </w:r>
                  <w:r>
                    <w:rPr>
                      <w:rFonts w:hint="default" w:ascii="Times New Roman" w:hAnsi="Times New Roman" w:cs="Times New Roman"/>
                      <w:b/>
                      <w:bCs/>
                      <w:color w:val="auto"/>
                      <w:spacing w:val="4"/>
                      <w:sz w:val="21"/>
                      <w:szCs w:val="21"/>
                      <w:u w:val="single"/>
                    </w:rPr>
                    <w:t>过程</w:t>
                  </w:r>
                </w:p>
              </w:tc>
              <w:tc>
                <w:tcPr>
                  <w:tcW w:w="1008"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pacing w:val="6"/>
                      <w:sz w:val="21"/>
                      <w:szCs w:val="21"/>
                      <w:u w:val="single"/>
                    </w:rPr>
                    <w:t>环境风</w:t>
                  </w:r>
                  <w:r>
                    <w:rPr>
                      <w:rFonts w:hint="default" w:ascii="Times New Roman" w:hAnsi="Times New Roman" w:cs="Times New Roman"/>
                      <w:b/>
                      <w:bCs/>
                      <w:color w:val="auto"/>
                      <w:sz w:val="21"/>
                      <w:szCs w:val="21"/>
                      <w:u w:val="single"/>
                    </w:rPr>
                    <w:t>险</w:t>
                  </w:r>
                </w:p>
              </w:tc>
              <w:tc>
                <w:tcPr>
                  <w:tcW w:w="1410" w:type="dxa"/>
                  <w:vAlign w:val="center"/>
                </w:tcPr>
                <w:p>
                  <w:pPr>
                    <w:pStyle w:val="33"/>
                    <w:keepNext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38"/>
                      <w:sz w:val="21"/>
                      <w:szCs w:val="21"/>
                      <w:u w:val="single"/>
                      <w:lang w:eastAsia="zh-CN"/>
                    </w:rPr>
                    <w:t>火灾自动报警</w:t>
                  </w:r>
                  <w:r>
                    <w:rPr>
                      <w:rFonts w:hint="default" w:ascii="Times New Roman" w:hAnsi="Times New Roman" w:cs="Times New Roman"/>
                      <w:b/>
                      <w:bCs/>
                      <w:color w:val="auto"/>
                      <w:spacing w:val="4"/>
                      <w:sz w:val="21"/>
                      <w:szCs w:val="21"/>
                      <w:u w:val="single"/>
                      <w:lang w:eastAsia="zh-CN"/>
                    </w:rPr>
                    <w:t>装置、灭火器等消防器材、消防物品、防护用具</w:t>
                  </w:r>
                  <w:r>
                    <w:rPr>
                      <w:rFonts w:hint="default" w:ascii="Times New Roman" w:hAnsi="Times New Roman" w:cs="Times New Roman"/>
                      <w:b/>
                      <w:bCs/>
                      <w:color w:val="auto"/>
                      <w:sz w:val="21"/>
                      <w:szCs w:val="21"/>
                      <w:u w:val="single"/>
                      <w:lang w:eastAsia="zh-CN"/>
                    </w:rPr>
                    <w:t>等</w:t>
                  </w:r>
                </w:p>
              </w:tc>
              <w:tc>
                <w:tcPr>
                  <w:tcW w:w="4091" w:type="dxa"/>
                  <w:vAlign w:val="center"/>
                </w:tcPr>
                <w:p>
                  <w:pPr>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Times New Roman" w:cs="Times New Roman"/>
                      <w:b/>
                      <w:bCs/>
                      <w:color w:val="auto"/>
                      <w:sz w:val="21"/>
                      <w:szCs w:val="21"/>
                      <w:u w:val="single"/>
                    </w:rPr>
                  </w:pPr>
                  <w:r>
                    <w:rPr>
                      <w:rFonts w:hint="default" w:ascii="Times New Roman" w:hAnsi="Times New Roman" w:eastAsia="Times New Roman" w:cs="Times New Roman"/>
                      <w:b/>
                      <w:bCs/>
                      <w:color w:val="auto"/>
                      <w:spacing w:val="2"/>
                      <w:sz w:val="21"/>
                      <w:szCs w:val="21"/>
                      <w:u w:val="single"/>
                    </w:rPr>
                    <w:t>/</w:t>
                  </w:r>
                </w:p>
              </w:tc>
              <w:tc>
                <w:tcPr>
                  <w:tcW w:w="1272" w:type="dxa"/>
                  <w:vAlign w:val="center"/>
                </w:tcPr>
                <w:p>
                  <w:pPr>
                    <w:pStyle w:val="33"/>
                    <w:keepNext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color w:val="auto"/>
                      <w:sz w:val="21"/>
                      <w:szCs w:val="21"/>
                      <w:u w:val="single"/>
                      <w:lang w:eastAsia="zh-CN"/>
                    </w:rPr>
                  </w:pPr>
                  <w:r>
                    <w:rPr>
                      <w:rFonts w:hint="default" w:ascii="Times New Roman" w:hAnsi="Times New Roman" w:cs="Times New Roman"/>
                      <w:b/>
                      <w:bCs/>
                      <w:color w:val="auto"/>
                      <w:spacing w:val="7"/>
                      <w:sz w:val="21"/>
                      <w:szCs w:val="21"/>
                      <w:u w:val="single"/>
                      <w:lang w:eastAsia="zh-CN"/>
                    </w:rPr>
                    <w:t>设置火灾自动报警装</w:t>
                  </w:r>
                  <w:r>
                    <w:rPr>
                      <w:rFonts w:hint="default" w:ascii="Times New Roman" w:hAnsi="Times New Roman" w:cs="Times New Roman"/>
                      <w:b/>
                      <w:bCs/>
                      <w:color w:val="auto"/>
                      <w:spacing w:val="8"/>
                      <w:sz w:val="21"/>
                      <w:szCs w:val="21"/>
                      <w:u w:val="single"/>
                      <w:lang w:eastAsia="zh-CN"/>
                    </w:rPr>
                    <w:t>置、灭火器</w:t>
                  </w:r>
                  <w:r>
                    <w:rPr>
                      <w:rFonts w:hint="default" w:ascii="Times New Roman" w:hAnsi="Times New Roman" w:cs="Times New Roman"/>
                      <w:b/>
                      <w:bCs/>
                      <w:color w:val="auto"/>
                      <w:spacing w:val="6"/>
                      <w:sz w:val="21"/>
                      <w:szCs w:val="21"/>
                      <w:u w:val="single"/>
                      <w:lang w:eastAsia="zh-CN"/>
                    </w:rPr>
                    <w:t>等消防器</w:t>
                  </w:r>
                  <w:r>
                    <w:rPr>
                      <w:rFonts w:hint="default" w:ascii="Times New Roman" w:hAnsi="Times New Roman" w:cs="Times New Roman"/>
                      <w:b/>
                      <w:bCs/>
                      <w:color w:val="auto"/>
                      <w:spacing w:val="8"/>
                      <w:sz w:val="21"/>
                      <w:szCs w:val="21"/>
                      <w:u w:val="single"/>
                      <w:lang w:eastAsia="zh-CN"/>
                    </w:rPr>
                    <w:t>材、消防物</w:t>
                  </w:r>
                  <w:r>
                    <w:rPr>
                      <w:rFonts w:hint="default" w:ascii="Times New Roman" w:hAnsi="Times New Roman" w:cs="Times New Roman"/>
                      <w:b/>
                      <w:bCs/>
                      <w:color w:val="auto"/>
                      <w:spacing w:val="4"/>
                      <w:sz w:val="21"/>
                      <w:szCs w:val="21"/>
                      <w:u w:val="single"/>
                      <w:lang w:eastAsia="zh-CN"/>
                    </w:rPr>
                    <w:t>品、防护用</w:t>
                  </w:r>
                  <w:r>
                    <w:rPr>
                      <w:rFonts w:hint="default" w:ascii="Times New Roman" w:hAnsi="Times New Roman" w:cs="Times New Roman"/>
                      <w:b/>
                      <w:bCs/>
                      <w:color w:val="auto"/>
                      <w:spacing w:val="2"/>
                      <w:sz w:val="21"/>
                      <w:szCs w:val="21"/>
                      <w:u w:val="single"/>
                      <w:lang w:eastAsia="zh-CN"/>
                    </w:rPr>
                    <w:t>具等</w:t>
                  </w:r>
                </w:p>
              </w:tc>
            </w:tr>
          </w:tbl>
          <w:p>
            <w:pPr>
              <w:pStyle w:val="14"/>
              <w:keepNext w:val="0"/>
              <w:pageBreakBefore w:val="0"/>
              <w:kinsoku/>
              <w:wordWrap/>
              <w:overflowPunct/>
              <w:topLinePunct w:val="0"/>
              <w:bidi w:val="0"/>
              <w:ind w:left="480"/>
              <w:rPr>
                <w:color w:val="auto"/>
              </w:rPr>
            </w:pPr>
          </w:p>
          <w:p>
            <w:pPr>
              <w:keepNext w:val="0"/>
              <w:pageBreakBefore w:val="0"/>
              <w:kinsoku/>
              <w:wordWrap/>
              <w:overflowPunct/>
              <w:topLinePunct w:val="0"/>
              <w:bidi w:val="0"/>
              <w:rPr>
                <w:color w:val="auto"/>
              </w:rPr>
            </w:pPr>
          </w:p>
          <w:p>
            <w:pPr>
              <w:keepNext w:val="0"/>
              <w:pageBreakBefore w:val="0"/>
              <w:kinsoku/>
              <w:wordWrap/>
              <w:overflowPunct/>
              <w:topLinePunct w:val="0"/>
              <w:bidi w:val="0"/>
              <w:rPr>
                <w:color w:val="auto"/>
              </w:rPr>
            </w:pPr>
          </w:p>
        </w:tc>
      </w:tr>
    </w:tbl>
    <w:p>
      <w:pPr>
        <w:rPr>
          <w:color w:val="auto"/>
        </w:rPr>
      </w:pPr>
      <w:r>
        <w:rPr>
          <w:color w:val="auto"/>
        </w:rPr>
        <w:br w:type="page"/>
      </w:r>
    </w:p>
    <w:p>
      <w:pPr>
        <w:spacing w:line="360" w:lineRule="auto"/>
        <w:jc w:val="center"/>
        <w:outlineLvl w:val="0"/>
        <w:rPr>
          <w:rFonts w:ascii="黑体" w:hAnsi="宋体" w:eastAsia="黑体"/>
          <w:color w:val="auto"/>
          <w:u w:val="single"/>
        </w:rPr>
      </w:pPr>
      <w:bookmarkStart w:id="9" w:name="_Toc13070"/>
      <w:r>
        <w:rPr>
          <w:rFonts w:ascii="Arial" w:hAnsi="Arial" w:eastAsia="黑体"/>
          <w:b/>
          <w:bCs/>
          <w:color w:val="auto"/>
          <w:sz w:val="32"/>
          <w:szCs w:val="32"/>
        </w:rPr>
        <w:t>五、环境保护措施监督检查清单</w:t>
      </w:r>
      <w:bookmarkEnd w:id="9"/>
    </w:p>
    <w:tbl>
      <w:tblPr>
        <w:tblStyle w:val="32"/>
        <w:tblW w:w="895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7"/>
        <w:gridCol w:w="1305"/>
        <w:gridCol w:w="1181"/>
        <w:gridCol w:w="1872"/>
        <w:gridCol w:w="3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5" w:hRule="atLeast"/>
        </w:trPr>
        <w:tc>
          <w:tcPr>
            <w:tcW w:w="1007" w:type="dxa"/>
            <w:tcBorders>
              <w:tl2br w:val="single" w:color="000000" w:sz="4" w:space="0"/>
            </w:tcBorders>
            <w:vAlign w:val="center"/>
          </w:tcPr>
          <w:p>
            <w:pPr>
              <w:pStyle w:val="33"/>
              <w:widowControl/>
              <w:kinsoku w:val="0"/>
              <w:autoSpaceDE w:val="0"/>
              <w:autoSpaceDN w:val="0"/>
              <w:adjustRightInd w:val="0"/>
              <w:snapToGrid w:val="0"/>
              <w:jc w:val="right"/>
              <w:textAlignment w:val="baseline"/>
              <w:rPr>
                <w:rFonts w:ascii="Times New Roman" w:hAnsi="Times New Roman" w:cs="Times New Roman"/>
                <w:b/>
                <w:bCs/>
                <w:color w:val="auto"/>
                <w:spacing w:val="-8"/>
              </w:rPr>
            </w:pPr>
            <w:r>
              <w:rPr>
                <w:rFonts w:ascii="Times New Roman" w:hAnsi="Times New Roman" w:cs="Times New Roman"/>
                <w:b/>
                <w:bCs/>
                <w:color w:val="auto"/>
                <w:spacing w:val="-8"/>
              </w:rPr>
              <w:t>内容</w:t>
            </w:r>
          </w:p>
          <w:p>
            <w:pPr>
              <w:pStyle w:val="33"/>
              <w:widowControl/>
              <w:kinsoku w:val="0"/>
              <w:autoSpaceDE w:val="0"/>
              <w:autoSpaceDN w:val="0"/>
              <w:adjustRightInd w:val="0"/>
              <w:snapToGrid w:val="0"/>
              <w:jc w:val="left"/>
              <w:textAlignment w:val="baseline"/>
              <w:rPr>
                <w:rFonts w:ascii="Times New Roman" w:hAnsi="Times New Roman" w:cs="Times New Roman"/>
                <w:b/>
                <w:bCs/>
                <w:color w:val="auto"/>
              </w:rPr>
            </w:pPr>
            <w:r>
              <w:rPr>
                <w:rFonts w:ascii="Times New Roman" w:hAnsi="Times New Roman" w:cs="Times New Roman"/>
                <w:b/>
                <w:bCs/>
                <w:color w:val="auto"/>
                <w:spacing w:val="4"/>
              </w:rPr>
              <w:t>要素</w:t>
            </w:r>
          </w:p>
        </w:tc>
        <w:tc>
          <w:tcPr>
            <w:tcW w:w="1305"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b/>
                <w:bCs/>
                <w:color w:val="auto"/>
                <w:lang w:eastAsia="zh-CN"/>
              </w:rPr>
            </w:pPr>
            <w:r>
              <w:rPr>
                <w:rFonts w:ascii="Times New Roman" w:hAnsi="Times New Roman" w:cs="Times New Roman"/>
                <w:b/>
                <w:bCs/>
                <w:color w:val="auto"/>
                <w:spacing w:val="6"/>
                <w:lang w:eastAsia="zh-CN"/>
              </w:rPr>
              <w:t>排放口</w:t>
            </w:r>
            <w:r>
              <w:rPr>
                <w:rFonts w:hint="eastAsia" w:ascii="Times New Roman" w:hAnsi="Times New Roman" w:cs="Times New Roman"/>
                <w:b/>
                <w:bCs/>
                <w:color w:val="auto"/>
                <w:spacing w:val="6"/>
                <w:lang w:eastAsia="zh-CN"/>
              </w:rPr>
              <w:t>（</w:t>
            </w:r>
            <w:r>
              <w:rPr>
                <w:rFonts w:ascii="Times New Roman" w:hAnsi="Times New Roman" w:cs="Times New Roman"/>
                <w:b/>
                <w:bCs/>
                <w:color w:val="auto"/>
                <w:spacing w:val="6"/>
                <w:lang w:eastAsia="zh-CN"/>
              </w:rPr>
              <w:t>编</w:t>
            </w:r>
            <w:r>
              <w:rPr>
                <w:rFonts w:ascii="Times New Roman" w:hAnsi="Times New Roman" w:cs="Times New Roman"/>
                <w:b/>
                <w:bCs/>
                <w:color w:val="auto"/>
                <w:spacing w:val="-3"/>
                <w:lang w:eastAsia="zh-CN"/>
              </w:rPr>
              <w:t>号、</w:t>
            </w:r>
            <w:r>
              <w:rPr>
                <w:rFonts w:ascii="Times New Roman" w:hAnsi="Times New Roman" w:cs="Times New Roman"/>
                <w:b/>
                <w:bCs/>
                <w:color w:val="auto"/>
                <w:spacing w:val="6"/>
                <w:lang w:eastAsia="zh-CN"/>
              </w:rPr>
              <w:t>名称</w:t>
            </w:r>
            <w:r>
              <w:rPr>
                <w:rFonts w:hint="eastAsia" w:ascii="Times New Roman" w:hAnsi="Times New Roman" w:cs="Times New Roman"/>
                <w:b/>
                <w:bCs/>
                <w:color w:val="auto"/>
                <w:spacing w:val="6"/>
                <w:lang w:eastAsia="zh-CN"/>
              </w:rPr>
              <w:t>）</w:t>
            </w:r>
            <w:r>
              <w:rPr>
                <w:rFonts w:ascii="Times New Roman" w:hAnsi="Times New Roman" w:eastAsia="Times New Roman" w:cs="Times New Roman"/>
                <w:b/>
                <w:bCs/>
                <w:color w:val="auto"/>
                <w:spacing w:val="6"/>
                <w:lang w:eastAsia="zh-CN"/>
              </w:rPr>
              <w:t>/</w:t>
            </w:r>
            <w:r>
              <w:rPr>
                <w:rFonts w:ascii="Times New Roman" w:hAnsi="Times New Roman" w:cs="Times New Roman"/>
                <w:b/>
                <w:bCs/>
                <w:color w:val="auto"/>
                <w:spacing w:val="6"/>
                <w:lang w:eastAsia="zh-CN"/>
              </w:rPr>
              <w:t>污染源</w:t>
            </w:r>
          </w:p>
        </w:tc>
        <w:tc>
          <w:tcPr>
            <w:tcW w:w="1181"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b/>
                <w:bCs/>
                <w:color w:val="auto"/>
              </w:rPr>
            </w:pPr>
            <w:r>
              <w:rPr>
                <w:rFonts w:ascii="Times New Roman" w:hAnsi="Times New Roman" w:cs="Times New Roman"/>
                <w:b/>
                <w:bCs/>
                <w:color w:val="auto"/>
                <w:spacing w:val="6"/>
              </w:rPr>
              <w:t>污染物</w:t>
            </w:r>
          </w:p>
        </w:tc>
        <w:tc>
          <w:tcPr>
            <w:tcW w:w="1872"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b/>
                <w:bCs/>
                <w:color w:val="auto"/>
              </w:rPr>
            </w:pPr>
            <w:r>
              <w:rPr>
                <w:rFonts w:ascii="Times New Roman" w:hAnsi="Times New Roman" w:cs="Times New Roman"/>
                <w:b/>
                <w:bCs/>
                <w:color w:val="auto"/>
                <w:spacing w:val="8"/>
              </w:rPr>
              <w:t>环境保护措施</w:t>
            </w:r>
          </w:p>
        </w:tc>
        <w:tc>
          <w:tcPr>
            <w:tcW w:w="3592"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b/>
                <w:bCs/>
                <w:color w:val="auto"/>
              </w:rPr>
            </w:pPr>
            <w:r>
              <w:rPr>
                <w:rFonts w:ascii="Times New Roman" w:hAnsi="Times New Roman" w:cs="Times New Roman"/>
                <w:b/>
                <w:bCs/>
                <w:color w:val="auto"/>
                <w:spacing w:val="7"/>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1" w:hRule="atLeast"/>
        </w:trPr>
        <w:tc>
          <w:tcPr>
            <w:tcW w:w="1007"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rPr>
            </w:pPr>
            <w:r>
              <w:rPr>
                <w:rFonts w:ascii="Times New Roman" w:hAnsi="Times New Roman" w:cs="Times New Roman"/>
                <w:color w:val="auto"/>
                <w:spacing w:val="6"/>
              </w:rPr>
              <w:t>水环境</w:t>
            </w:r>
          </w:p>
        </w:tc>
        <w:tc>
          <w:tcPr>
            <w:tcW w:w="1305"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rPr>
            </w:pPr>
            <w:r>
              <w:rPr>
                <w:rFonts w:ascii="Times New Roman" w:hAnsi="Times New Roman" w:cs="Times New Roman"/>
                <w:color w:val="auto"/>
                <w:spacing w:val="7"/>
              </w:rPr>
              <w:t>生活办公</w:t>
            </w:r>
            <w:r>
              <w:rPr>
                <w:rFonts w:ascii="Times New Roman" w:hAnsi="Times New Roman" w:cs="Times New Roman"/>
                <w:color w:val="auto"/>
                <w:spacing w:val="6"/>
              </w:rPr>
              <w:t>废水</w:t>
            </w:r>
          </w:p>
        </w:tc>
        <w:tc>
          <w:tcPr>
            <w:tcW w:w="1181"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sz w:val="24"/>
                <w:szCs w:val="24"/>
              </w:rPr>
            </w:pPr>
            <w:r>
              <w:rPr>
                <w:rFonts w:hint="default" w:ascii="Times New Roman" w:hAnsi="Times New Roman" w:eastAsia="Times New Roman" w:cs="Times New Roman"/>
                <w:color w:val="auto"/>
                <w:sz w:val="24"/>
                <w:szCs w:val="24"/>
              </w:rPr>
              <w:t>COD</w:t>
            </w:r>
            <w:r>
              <w:rPr>
                <w:rFonts w:hint="default" w:ascii="Times New Roman" w:hAnsi="Times New Roman" w:cs="Times New Roman"/>
                <w:color w:val="auto"/>
                <w:spacing w:val="11"/>
                <w:sz w:val="24"/>
                <w:szCs w:val="24"/>
              </w:rPr>
              <w:t>、</w:t>
            </w:r>
            <w:r>
              <w:rPr>
                <w:rFonts w:hint="default" w:ascii="Times New Roman" w:hAnsi="Times New Roman" w:eastAsia="Times New Roman" w:cs="Times New Roman"/>
                <w:color w:val="auto"/>
                <w:sz w:val="24"/>
                <w:szCs w:val="24"/>
              </w:rPr>
              <w:t>BOD</w:t>
            </w:r>
            <w:r>
              <w:rPr>
                <w:rFonts w:hint="default" w:ascii="Times New Roman" w:hAnsi="Times New Roman" w:eastAsia="宋体" w:cs="Times New Roman"/>
                <w:color w:val="auto"/>
                <w:sz w:val="24"/>
                <w:szCs w:val="24"/>
                <w:vertAlign w:val="subscript"/>
                <w:lang w:val="en-US" w:eastAsia="zh-CN"/>
              </w:rPr>
              <w:t>5</w:t>
            </w:r>
            <w:r>
              <w:rPr>
                <w:rFonts w:hint="default" w:ascii="Times New Roman" w:hAnsi="Times New Roman" w:cs="Times New Roman"/>
                <w:color w:val="auto"/>
                <w:spacing w:val="15"/>
                <w:sz w:val="24"/>
                <w:szCs w:val="24"/>
              </w:rPr>
              <w:t>、</w:t>
            </w:r>
            <w:r>
              <w:rPr>
                <w:rFonts w:hint="default" w:ascii="Times New Roman" w:hAnsi="Times New Roman" w:eastAsia="Times New Roman" w:cs="Times New Roman"/>
                <w:color w:val="auto"/>
                <w:spacing w:val="-2"/>
                <w:sz w:val="24"/>
                <w:szCs w:val="24"/>
              </w:rPr>
              <w:t>SS</w:t>
            </w:r>
            <w:r>
              <w:rPr>
                <w:rFonts w:hint="default" w:ascii="Times New Roman" w:hAnsi="Times New Roman" w:cs="Times New Roman"/>
                <w:color w:val="auto"/>
                <w:spacing w:val="-2"/>
                <w:sz w:val="24"/>
                <w:szCs w:val="24"/>
              </w:rPr>
              <w:t>、</w:t>
            </w:r>
            <w:r>
              <w:rPr>
                <w:rFonts w:hint="default" w:ascii="Times New Roman" w:hAnsi="Times New Roman" w:eastAsia="Times New Roman" w:cs="Times New Roman"/>
                <w:color w:val="auto"/>
                <w:sz w:val="24"/>
                <w:szCs w:val="24"/>
              </w:rPr>
              <w:t>NH</w:t>
            </w:r>
            <w:r>
              <w:rPr>
                <w:rFonts w:hint="default" w:ascii="Times New Roman" w:hAnsi="Times New Roman" w:eastAsia="Times New Roman" w:cs="Times New Roman"/>
                <w:color w:val="auto"/>
                <w:spacing w:val="10"/>
                <w:sz w:val="24"/>
                <w:szCs w:val="24"/>
                <w:vertAlign w:val="subscript"/>
              </w:rPr>
              <w:t>3</w:t>
            </w:r>
            <w:r>
              <w:rPr>
                <w:rFonts w:hint="default" w:ascii="Times New Roman" w:hAnsi="Times New Roman" w:eastAsia="Times New Roman" w:cs="Times New Roman"/>
                <w:color w:val="auto"/>
                <w:spacing w:val="10"/>
                <w:sz w:val="24"/>
                <w:szCs w:val="24"/>
              </w:rPr>
              <w:t>-</w:t>
            </w:r>
            <w:r>
              <w:rPr>
                <w:rFonts w:hint="default" w:ascii="Times New Roman" w:hAnsi="Times New Roman" w:eastAsia="宋体" w:cs="Times New Roman"/>
                <w:color w:val="auto"/>
                <w:spacing w:val="10"/>
                <w:sz w:val="24"/>
                <w:szCs w:val="24"/>
                <w:lang w:val="en-US" w:eastAsia="zh-CN"/>
              </w:rPr>
              <w:t>N</w:t>
            </w:r>
            <w:r>
              <w:rPr>
                <w:rFonts w:hint="default" w:ascii="Times New Roman" w:hAnsi="Times New Roman" w:cs="Times New Roman"/>
                <w:color w:val="auto"/>
                <w:sz w:val="24"/>
                <w:szCs w:val="24"/>
              </w:rPr>
              <w:t>等</w:t>
            </w:r>
          </w:p>
        </w:tc>
        <w:tc>
          <w:tcPr>
            <w:tcW w:w="1872"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利用佰特利园区</w:t>
            </w:r>
            <w:r>
              <w:rPr>
                <w:rFonts w:hint="default" w:ascii="Times New Roman" w:hAnsi="Times New Roman" w:cs="Times New Roman"/>
                <w:color w:val="auto"/>
                <w:sz w:val="24"/>
                <w:szCs w:val="24"/>
                <w:lang w:eastAsia="zh-CN"/>
              </w:rPr>
              <w:t>化粪池，</w:t>
            </w:r>
            <w:r>
              <w:rPr>
                <w:rFonts w:hint="eastAsia" w:ascii="Times New Roman" w:hAnsi="Times New Roman" w:cs="Times New Roman"/>
                <w:color w:val="auto"/>
                <w:sz w:val="24"/>
                <w:szCs w:val="24"/>
                <w:lang w:val="en-US" w:eastAsia="zh-CN"/>
              </w:rPr>
              <w:t>经处理后</w:t>
            </w:r>
            <w:r>
              <w:rPr>
                <w:rFonts w:hint="default" w:ascii="Times New Roman" w:hAnsi="Times New Roman" w:cs="Times New Roman"/>
                <w:color w:val="auto"/>
                <w:sz w:val="24"/>
                <w:szCs w:val="24"/>
                <w:lang w:eastAsia="zh-CN"/>
              </w:rPr>
              <w:t>排入清丰中州水务有限公司第二污水处理厂</w:t>
            </w:r>
          </w:p>
        </w:tc>
        <w:tc>
          <w:tcPr>
            <w:tcW w:w="3592"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sz w:val="24"/>
                <w:szCs w:val="24"/>
              </w:rPr>
            </w:pPr>
            <w:r>
              <w:rPr>
                <w:rFonts w:hint="default" w:ascii="Times New Roman" w:hAnsi="Times New Roman" w:cs="Times New Roman"/>
                <w:color w:val="auto"/>
                <w:spacing w:val="24"/>
                <w:sz w:val="24"/>
                <w:szCs w:val="24"/>
              </w:rPr>
              <w:t>清丰中州水务有限公</w:t>
            </w:r>
            <w:r>
              <w:rPr>
                <w:rFonts w:hint="default" w:ascii="Times New Roman" w:hAnsi="Times New Roman" w:cs="Times New Roman"/>
                <w:color w:val="auto"/>
                <w:spacing w:val="25"/>
                <w:sz w:val="24"/>
                <w:szCs w:val="24"/>
              </w:rPr>
              <w:t>司第二污水处理厂受</w:t>
            </w:r>
            <w:r>
              <w:rPr>
                <w:rFonts w:hint="default" w:ascii="Times New Roman" w:hAnsi="Times New Roman" w:cs="Times New Roman"/>
                <w:color w:val="auto"/>
                <w:spacing w:val="2"/>
                <w:sz w:val="24"/>
                <w:szCs w:val="24"/>
              </w:rPr>
              <w:t>纳水质标准以及《污水</w:t>
            </w:r>
            <w:r>
              <w:rPr>
                <w:rFonts w:hint="default" w:ascii="Times New Roman" w:hAnsi="Times New Roman" w:cs="Times New Roman"/>
                <w:color w:val="auto"/>
                <w:spacing w:val="1"/>
                <w:sz w:val="24"/>
                <w:szCs w:val="24"/>
              </w:rPr>
              <w:t>综合排放标准》</w:t>
            </w:r>
            <w:r>
              <w:rPr>
                <w:rFonts w:hint="default" w:ascii="Times New Roman" w:hAnsi="Times New Roman" w:cs="Times New Roman"/>
                <w:color w:val="auto"/>
                <w:spacing w:val="6"/>
                <w:sz w:val="24"/>
                <w:szCs w:val="24"/>
              </w:rPr>
              <w:t>（</w:t>
            </w:r>
            <w:r>
              <w:rPr>
                <w:rFonts w:hint="default" w:ascii="Times New Roman" w:hAnsi="Times New Roman" w:eastAsia="Times New Roman" w:cs="Times New Roman"/>
                <w:color w:val="auto"/>
                <w:sz w:val="24"/>
                <w:szCs w:val="24"/>
              </w:rPr>
              <w:t>GB</w:t>
            </w:r>
            <w:r>
              <w:rPr>
                <w:rFonts w:hint="default" w:ascii="Times New Roman" w:hAnsi="Times New Roman" w:eastAsia="Times New Roman" w:cs="Times New Roman"/>
                <w:color w:val="auto"/>
                <w:spacing w:val="6"/>
                <w:sz w:val="24"/>
                <w:szCs w:val="24"/>
              </w:rPr>
              <w:t>8978-1996</w:t>
            </w:r>
            <w:r>
              <w:rPr>
                <w:rFonts w:hint="default" w:ascii="Times New Roman" w:hAnsi="Times New Roman" w:cs="Times New Roman"/>
                <w:color w:val="auto"/>
                <w:spacing w:val="6"/>
                <w:sz w:val="24"/>
                <w:szCs w:val="24"/>
              </w:rPr>
              <w:t>）表</w:t>
            </w:r>
            <w:r>
              <w:rPr>
                <w:rFonts w:hint="default" w:ascii="Times New Roman" w:hAnsi="Times New Roman" w:eastAsia="Times New Roman" w:cs="Times New Roman"/>
                <w:color w:val="auto"/>
                <w:spacing w:val="6"/>
                <w:sz w:val="24"/>
                <w:szCs w:val="24"/>
              </w:rPr>
              <w:t>4</w:t>
            </w:r>
            <w:r>
              <w:rPr>
                <w:rFonts w:hint="default" w:ascii="Times New Roman" w:hAnsi="Times New Roman" w:cs="Times New Roman"/>
                <w:color w:val="auto"/>
                <w:spacing w:val="-3"/>
                <w:sz w:val="24"/>
                <w:szCs w:val="24"/>
              </w:rPr>
              <w:t>三级标准（</w:t>
            </w:r>
            <w:r>
              <w:rPr>
                <w:rFonts w:hint="default" w:ascii="Times New Roman" w:hAnsi="Times New Roman" w:eastAsia="Times New Roman" w:cs="Times New Roman"/>
                <w:color w:val="auto"/>
                <w:spacing w:val="-3"/>
                <w:sz w:val="24"/>
                <w:szCs w:val="24"/>
              </w:rPr>
              <w:t>COD</w:t>
            </w:r>
            <w:r>
              <w:rPr>
                <w:rFonts w:hint="default" w:ascii="Times New Roman" w:hAnsi="Times New Roman" w:cs="Times New Roman"/>
                <w:color w:val="auto"/>
                <w:spacing w:val="-3"/>
                <w:sz w:val="24"/>
                <w:szCs w:val="24"/>
              </w:rPr>
              <w:t>：</w:t>
            </w:r>
            <w:r>
              <w:rPr>
                <w:rFonts w:hint="default" w:ascii="Times New Roman" w:hAnsi="Times New Roman" w:eastAsia="Times New Roman" w:cs="Times New Roman"/>
                <w:color w:val="auto"/>
                <w:spacing w:val="2"/>
                <w:sz w:val="24"/>
                <w:szCs w:val="24"/>
              </w:rPr>
              <w:t>350</w:t>
            </w:r>
            <w:r>
              <w:rPr>
                <w:rFonts w:hint="default" w:ascii="Times New Roman" w:hAnsi="Times New Roman" w:eastAsia="Times New Roman" w:cs="Times New Roman"/>
                <w:color w:val="auto"/>
                <w:sz w:val="24"/>
                <w:szCs w:val="24"/>
              </w:rPr>
              <w:t>mg</w:t>
            </w:r>
            <w:r>
              <w:rPr>
                <w:rFonts w:hint="default" w:ascii="Times New Roman" w:hAnsi="Times New Roman" w:eastAsia="Times New Roman" w:cs="Times New Roman"/>
                <w:color w:val="auto"/>
                <w:spacing w:val="2"/>
                <w:sz w:val="24"/>
                <w:szCs w:val="24"/>
              </w:rPr>
              <w:t>/L</w:t>
            </w:r>
            <w:r>
              <w:rPr>
                <w:rFonts w:hint="default" w:ascii="Times New Roman" w:hAnsi="Times New Roman" w:cs="Times New Roman"/>
                <w:color w:val="auto"/>
                <w:spacing w:val="2"/>
                <w:sz w:val="24"/>
                <w:szCs w:val="24"/>
              </w:rPr>
              <w:t>，</w:t>
            </w:r>
            <w:r>
              <w:rPr>
                <w:rFonts w:hint="default" w:ascii="Times New Roman" w:hAnsi="Times New Roman" w:eastAsia="Times New Roman" w:cs="Times New Roman"/>
                <w:color w:val="auto"/>
                <w:sz w:val="24"/>
                <w:szCs w:val="24"/>
              </w:rPr>
              <w:t>BOD</w:t>
            </w:r>
            <w:r>
              <w:rPr>
                <w:rFonts w:hint="default" w:ascii="Times New Roman" w:hAnsi="Times New Roman" w:eastAsia="Times New Roman" w:cs="Times New Roman"/>
                <w:color w:val="auto"/>
                <w:spacing w:val="2"/>
                <w:position w:val="-1"/>
                <w:sz w:val="24"/>
                <w:szCs w:val="24"/>
                <w:vertAlign w:val="subscript"/>
              </w:rPr>
              <w:t>5</w:t>
            </w:r>
            <w:r>
              <w:rPr>
                <w:rFonts w:hint="default" w:ascii="Times New Roman" w:hAnsi="Times New Roman" w:cs="Times New Roman"/>
                <w:color w:val="auto"/>
                <w:spacing w:val="2"/>
                <w:sz w:val="24"/>
                <w:szCs w:val="24"/>
              </w:rPr>
              <w:t>：</w:t>
            </w:r>
            <w:r>
              <w:rPr>
                <w:rFonts w:hint="default" w:ascii="Times New Roman" w:hAnsi="Times New Roman" w:eastAsia="Times New Roman" w:cs="Times New Roman"/>
                <w:color w:val="auto"/>
                <w:sz w:val="24"/>
                <w:szCs w:val="24"/>
              </w:rPr>
              <w:t>170mg/L</w:t>
            </w:r>
            <w:r>
              <w:rPr>
                <w:rFonts w:hint="default" w:ascii="Times New Roman" w:hAnsi="Times New Roman" w:cs="Times New Roman"/>
                <w:color w:val="auto"/>
                <w:sz w:val="24"/>
                <w:szCs w:val="24"/>
              </w:rPr>
              <w:t>，</w:t>
            </w:r>
            <w:r>
              <w:rPr>
                <w:rFonts w:hint="default" w:ascii="Times New Roman" w:hAnsi="Times New Roman" w:eastAsia="Times New Roman" w:cs="Times New Roman"/>
                <w:color w:val="auto"/>
                <w:sz w:val="24"/>
                <w:szCs w:val="24"/>
              </w:rPr>
              <w:t>SS</w:t>
            </w:r>
            <w:r>
              <w:rPr>
                <w:rFonts w:hint="default" w:ascii="Times New Roman" w:hAnsi="Times New Roman" w:cs="Times New Roman"/>
                <w:color w:val="auto"/>
                <w:sz w:val="24"/>
                <w:szCs w:val="24"/>
              </w:rPr>
              <w:t>：</w:t>
            </w:r>
            <w:r>
              <w:rPr>
                <w:rFonts w:hint="default" w:ascii="Times New Roman" w:hAnsi="Times New Roman" w:eastAsia="Times New Roman" w:cs="Times New Roman"/>
                <w:color w:val="auto"/>
                <w:spacing w:val="2"/>
                <w:sz w:val="24"/>
                <w:szCs w:val="24"/>
              </w:rPr>
              <w:t>210</w:t>
            </w:r>
            <w:r>
              <w:rPr>
                <w:rFonts w:hint="default" w:ascii="Times New Roman" w:hAnsi="Times New Roman" w:eastAsia="Times New Roman" w:cs="Times New Roman"/>
                <w:color w:val="auto"/>
                <w:sz w:val="24"/>
                <w:szCs w:val="24"/>
              </w:rPr>
              <w:t>mg</w:t>
            </w:r>
            <w:r>
              <w:rPr>
                <w:rFonts w:hint="default" w:ascii="Times New Roman" w:hAnsi="Times New Roman" w:eastAsia="Times New Roman" w:cs="Times New Roman"/>
                <w:color w:val="auto"/>
                <w:spacing w:val="2"/>
                <w:sz w:val="24"/>
                <w:szCs w:val="24"/>
              </w:rPr>
              <w:t>/L</w:t>
            </w:r>
            <w:r>
              <w:rPr>
                <w:rFonts w:hint="default" w:ascii="Times New Roman" w:hAnsi="Times New Roman" w:cs="Times New Roman"/>
                <w:color w:val="auto"/>
                <w:spacing w:val="2"/>
                <w:sz w:val="24"/>
                <w:szCs w:val="24"/>
              </w:rPr>
              <w:t>，</w:t>
            </w:r>
            <w:r>
              <w:rPr>
                <w:rFonts w:hint="default" w:ascii="Times New Roman" w:hAnsi="Times New Roman" w:eastAsia="Times New Roman" w:cs="Times New Roman"/>
                <w:color w:val="auto"/>
                <w:sz w:val="24"/>
                <w:szCs w:val="24"/>
              </w:rPr>
              <w:t>NH</w:t>
            </w:r>
            <w:r>
              <w:rPr>
                <w:rFonts w:hint="default" w:ascii="Times New Roman" w:hAnsi="Times New Roman" w:eastAsia="Times New Roman" w:cs="Times New Roman"/>
                <w:color w:val="auto"/>
                <w:spacing w:val="2"/>
                <w:position w:val="-1"/>
                <w:sz w:val="24"/>
                <w:szCs w:val="24"/>
                <w:vertAlign w:val="subscript"/>
              </w:rPr>
              <w:t>3</w:t>
            </w:r>
            <w:r>
              <w:rPr>
                <w:rFonts w:hint="default" w:ascii="Times New Roman" w:hAnsi="Times New Roman" w:eastAsia="Times New Roman" w:cs="Times New Roman"/>
                <w:color w:val="auto"/>
                <w:spacing w:val="2"/>
                <w:sz w:val="24"/>
                <w:szCs w:val="24"/>
              </w:rPr>
              <w:t>-N</w:t>
            </w:r>
            <w:r>
              <w:rPr>
                <w:rFonts w:hint="default" w:ascii="Times New Roman" w:hAnsi="Times New Roman" w:cs="Times New Roman"/>
                <w:color w:val="auto"/>
                <w:spacing w:val="2"/>
                <w:sz w:val="24"/>
                <w:szCs w:val="24"/>
              </w:rPr>
              <w:t>：</w:t>
            </w:r>
            <w:r>
              <w:rPr>
                <w:rFonts w:hint="default" w:ascii="Times New Roman" w:hAnsi="Times New Roman" w:eastAsia="Times New Roman" w:cs="Times New Roman"/>
                <w:color w:val="auto"/>
                <w:spacing w:val="1"/>
                <w:sz w:val="24"/>
                <w:szCs w:val="24"/>
              </w:rPr>
              <w:t>30</w:t>
            </w:r>
            <w:r>
              <w:rPr>
                <w:rFonts w:hint="default" w:ascii="Times New Roman" w:hAnsi="Times New Roman" w:eastAsia="Times New Roman" w:cs="Times New Roman"/>
                <w:color w:val="auto"/>
                <w:sz w:val="24"/>
                <w:szCs w:val="24"/>
              </w:rPr>
              <w:t>mg</w:t>
            </w:r>
            <w:r>
              <w:rPr>
                <w:rFonts w:hint="default" w:ascii="Times New Roman" w:hAnsi="Times New Roman" w:eastAsia="Times New Roman" w:cs="Times New Roman"/>
                <w:color w:val="auto"/>
                <w:spacing w:val="1"/>
                <w:sz w:val="24"/>
                <w:szCs w:val="24"/>
              </w:rPr>
              <w:t>/L</w:t>
            </w:r>
            <w:r>
              <w:rPr>
                <w:rFonts w:hint="default" w:ascii="Times New Roman" w:hAnsi="Times New Roman" w:cs="Times New Roman"/>
                <w:color w:val="auto"/>
                <w:spacing w:val="4"/>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6" w:hRule="atLeast"/>
        </w:trPr>
        <w:tc>
          <w:tcPr>
            <w:tcW w:w="1007" w:type="dxa"/>
            <w:vMerge w:val="restart"/>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rPr>
            </w:pPr>
            <w:r>
              <w:rPr>
                <w:rFonts w:ascii="Times New Roman" w:hAnsi="Times New Roman" w:cs="Times New Roman"/>
                <w:color w:val="auto"/>
                <w:spacing w:val="6"/>
              </w:rPr>
              <w:t>大气环境</w:t>
            </w:r>
          </w:p>
        </w:tc>
        <w:tc>
          <w:tcPr>
            <w:tcW w:w="1305" w:type="dxa"/>
            <w:vAlign w:val="center"/>
          </w:tcPr>
          <w:p>
            <w:pPr>
              <w:widowControl/>
              <w:kinsoku w:val="0"/>
              <w:autoSpaceDE w:val="0"/>
              <w:autoSpaceDN w:val="0"/>
              <w:adjustRightInd w:val="0"/>
              <w:snapToGrid w:val="0"/>
              <w:jc w:val="center"/>
              <w:textAlignment w:val="baseline"/>
              <w:rPr>
                <w:rFonts w:eastAsia="Times New Roman"/>
                <w:color w:val="auto"/>
              </w:rPr>
            </w:pPr>
            <w:r>
              <w:rPr>
                <w:rFonts w:eastAsia="Times New Roman"/>
                <w:color w:val="auto"/>
              </w:rPr>
              <w:t>DA</w:t>
            </w:r>
            <w:r>
              <w:rPr>
                <w:rFonts w:eastAsia="Times New Roman"/>
                <w:color w:val="auto"/>
                <w:spacing w:val="8"/>
              </w:rPr>
              <w:t>001</w:t>
            </w:r>
          </w:p>
        </w:tc>
        <w:tc>
          <w:tcPr>
            <w:tcW w:w="1181"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rPr>
            </w:pPr>
            <w:r>
              <w:rPr>
                <w:rFonts w:ascii="Times New Roman" w:hAnsi="Times New Roman" w:cs="Times New Roman"/>
                <w:color w:val="auto"/>
                <w:spacing w:val="7"/>
              </w:rPr>
              <w:t>木加工粉尘</w:t>
            </w:r>
          </w:p>
        </w:tc>
        <w:tc>
          <w:tcPr>
            <w:tcW w:w="1872"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lang w:eastAsia="zh-CN"/>
              </w:rPr>
            </w:pPr>
            <w:r>
              <w:rPr>
                <w:rFonts w:hint="eastAsia" w:ascii="Times New Roman" w:hAnsi="Times New Roman" w:eastAsia="Times New Roman" w:cs="Times New Roman"/>
                <w:color w:val="auto"/>
                <w:spacing w:val="16"/>
                <w:lang w:val="en-US" w:eastAsia="zh-CN"/>
              </w:rPr>
              <w:t>1</w:t>
            </w:r>
            <w:r>
              <w:rPr>
                <w:rFonts w:ascii="Times New Roman" w:hAnsi="Times New Roman" w:cs="Times New Roman"/>
                <w:color w:val="auto"/>
                <w:spacing w:val="16"/>
                <w:lang w:eastAsia="zh-CN"/>
              </w:rPr>
              <w:t>套</w:t>
            </w:r>
            <w:r>
              <w:rPr>
                <w:rFonts w:hint="eastAsia" w:ascii="Times New Roman" w:hAnsi="Times New Roman" w:cs="Times New Roman"/>
                <w:color w:val="auto"/>
                <w:spacing w:val="16"/>
                <w:lang w:val="en-US" w:eastAsia="zh-CN"/>
              </w:rPr>
              <w:t>中央</w:t>
            </w:r>
            <w:r>
              <w:rPr>
                <w:rFonts w:ascii="Times New Roman" w:hAnsi="Times New Roman" w:cs="Times New Roman"/>
                <w:color w:val="auto"/>
                <w:spacing w:val="16"/>
                <w:lang w:eastAsia="zh-CN"/>
              </w:rPr>
              <w:t>除尘</w:t>
            </w:r>
            <w:r>
              <w:rPr>
                <w:rFonts w:ascii="Times New Roman" w:hAnsi="Times New Roman" w:cs="Times New Roman"/>
                <w:color w:val="auto"/>
                <w:spacing w:val="7"/>
                <w:lang w:eastAsia="zh-CN"/>
              </w:rPr>
              <w:t>器</w:t>
            </w:r>
            <w:r>
              <w:rPr>
                <w:rFonts w:ascii="Times New Roman" w:hAnsi="Times New Roman" w:eastAsia="Times New Roman" w:cs="Times New Roman"/>
                <w:color w:val="auto"/>
                <w:spacing w:val="7"/>
                <w:lang w:eastAsia="zh-CN"/>
              </w:rPr>
              <w:t>+15m</w:t>
            </w:r>
            <w:r>
              <w:rPr>
                <w:rFonts w:ascii="Times New Roman" w:hAnsi="Times New Roman" w:cs="Times New Roman"/>
                <w:color w:val="auto"/>
                <w:spacing w:val="7"/>
                <w:lang w:eastAsia="zh-CN"/>
              </w:rPr>
              <w:t>排气筒（</w:t>
            </w:r>
            <w:r>
              <w:rPr>
                <w:rFonts w:ascii="Times New Roman" w:hAnsi="Times New Roman" w:eastAsia="Times New Roman" w:cs="Times New Roman"/>
                <w:color w:val="auto"/>
                <w:lang w:eastAsia="zh-CN"/>
              </w:rPr>
              <w:t>DA</w:t>
            </w:r>
            <w:r>
              <w:rPr>
                <w:rFonts w:ascii="Times New Roman" w:hAnsi="Times New Roman" w:eastAsia="Times New Roman" w:cs="Times New Roman"/>
                <w:color w:val="auto"/>
                <w:spacing w:val="7"/>
                <w:lang w:eastAsia="zh-CN"/>
              </w:rPr>
              <w:t>001</w:t>
            </w:r>
            <w:r>
              <w:rPr>
                <w:rFonts w:ascii="Times New Roman" w:hAnsi="Times New Roman" w:cs="Times New Roman"/>
                <w:color w:val="auto"/>
                <w:spacing w:val="7"/>
                <w:lang w:eastAsia="zh-CN"/>
              </w:rPr>
              <w:t>）</w:t>
            </w:r>
          </w:p>
        </w:tc>
        <w:tc>
          <w:tcPr>
            <w:tcW w:w="3592"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sz w:val="24"/>
                <w:szCs w:val="24"/>
                <w:lang w:eastAsia="zh-CN"/>
              </w:rPr>
            </w:pPr>
            <w:r>
              <w:rPr>
                <w:rFonts w:hint="default" w:ascii="Times New Roman" w:hAnsi="Times New Roman" w:cs="Times New Roman"/>
                <w:color w:val="auto"/>
                <w:spacing w:val="24"/>
                <w:sz w:val="24"/>
                <w:szCs w:val="24"/>
                <w:lang w:eastAsia="zh-CN"/>
              </w:rPr>
              <w:t>《大气污染物综合排</w:t>
            </w:r>
            <w:r>
              <w:rPr>
                <w:rFonts w:hint="default" w:ascii="Times New Roman" w:hAnsi="Times New Roman" w:cs="Times New Roman"/>
                <w:color w:val="auto"/>
                <w:sz w:val="24"/>
                <w:szCs w:val="24"/>
                <w:lang w:eastAsia="zh-CN"/>
              </w:rPr>
              <w:t>放标准》</w:t>
            </w:r>
            <w:r>
              <w:rPr>
                <w:rFonts w:hint="default" w:ascii="Times New Roman" w:hAnsi="Times New Roman" w:cs="Times New Roman"/>
                <w:color w:val="auto"/>
                <w:spacing w:val="1"/>
                <w:sz w:val="24"/>
                <w:szCs w:val="24"/>
                <w:lang w:eastAsia="zh-CN"/>
              </w:rPr>
              <w:t>（</w:t>
            </w:r>
            <w:r>
              <w:rPr>
                <w:rFonts w:hint="default" w:ascii="Times New Roman" w:hAnsi="Times New Roman" w:eastAsia="Times New Roman" w:cs="Times New Roman"/>
                <w:color w:val="auto"/>
                <w:sz w:val="24"/>
                <w:szCs w:val="24"/>
                <w:lang w:eastAsia="zh-CN"/>
              </w:rPr>
              <w:t>GB</w:t>
            </w:r>
            <w:r>
              <w:rPr>
                <w:rFonts w:hint="default" w:ascii="Times New Roman" w:hAnsi="Times New Roman" w:eastAsia="Times New Roman" w:cs="Times New Roman"/>
                <w:color w:val="auto"/>
                <w:spacing w:val="1"/>
                <w:sz w:val="24"/>
                <w:szCs w:val="24"/>
                <w:lang w:eastAsia="zh-CN"/>
              </w:rPr>
              <w:t>16297-1996</w:t>
            </w:r>
            <w:r>
              <w:rPr>
                <w:rFonts w:hint="default" w:ascii="Times New Roman" w:hAnsi="Times New Roman" w:cs="Times New Roman"/>
                <w:color w:val="auto"/>
                <w:spacing w:val="1"/>
                <w:sz w:val="24"/>
                <w:szCs w:val="24"/>
                <w:lang w:eastAsia="zh-CN"/>
              </w:rPr>
              <w:t>）表</w:t>
            </w:r>
            <w:r>
              <w:rPr>
                <w:rFonts w:hint="default" w:ascii="Times New Roman" w:hAnsi="Times New Roman" w:eastAsia="Times New Roman" w:cs="Times New Roman"/>
                <w:color w:val="auto"/>
                <w:spacing w:val="1"/>
                <w:sz w:val="24"/>
                <w:szCs w:val="24"/>
                <w:lang w:eastAsia="zh-CN"/>
              </w:rPr>
              <w:t>2</w:t>
            </w:r>
            <w:r>
              <w:rPr>
                <w:rFonts w:hint="default" w:ascii="Times New Roman" w:hAnsi="Times New Roman" w:cs="Times New Roman"/>
                <w:color w:val="auto"/>
                <w:spacing w:val="2"/>
                <w:sz w:val="24"/>
                <w:szCs w:val="24"/>
                <w:lang w:eastAsia="zh-CN"/>
              </w:rPr>
              <w:t>二级标准及《重污染天气重点行业应急减排措施制定技术指南（2020年修订版）》中家具制造行业</w:t>
            </w:r>
            <w:r>
              <w:rPr>
                <w:rFonts w:hint="default" w:ascii="Times New Roman" w:hAnsi="Times New Roman" w:eastAsia="Times New Roman" w:cs="Times New Roman"/>
                <w:color w:val="auto"/>
                <w:spacing w:val="22"/>
                <w:sz w:val="24"/>
                <w:szCs w:val="24"/>
                <w:lang w:eastAsia="zh-CN"/>
              </w:rPr>
              <w:t>A</w:t>
            </w:r>
            <w:r>
              <w:rPr>
                <w:rFonts w:hint="default" w:ascii="Times New Roman" w:hAnsi="Times New Roman" w:cs="Times New Roman"/>
                <w:color w:val="auto"/>
                <w:spacing w:val="22"/>
                <w:sz w:val="24"/>
                <w:szCs w:val="24"/>
                <w:lang w:eastAsia="zh-CN"/>
              </w:rPr>
              <w:t>级企业要求及颗粒</w:t>
            </w:r>
            <w:r>
              <w:rPr>
                <w:rFonts w:hint="default" w:ascii="Times New Roman" w:hAnsi="Times New Roman" w:cs="Times New Roman"/>
                <w:color w:val="auto"/>
                <w:spacing w:val="25"/>
                <w:sz w:val="24"/>
                <w:szCs w:val="24"/>
                <w:lang w:eastAsia="zh-CN"/>
              </w:rPr>
              <w:t>物无组织排放监控浓</w:t>
            </w:r>
            <w:r>
              <w:rPr>
                <w:rFonts w:hint="default" w:ascii="Times New Roman" w:hAnsi="Times New Roman" w:cs="Times New Roman"/>
                <w:color w:val="auto"/>
                <w:spacing w:val="-3"/>
                <w:sz w:val="24"/>
                <w:szCs w:val="24"/>
                <w:lang w:eastAsia="zh-CN"/>
              </w:rPr>
              <w:t>度限值（有组织</w:t>
            </w:r>
            <w:r>
              <w:rPr>
                <w:rFonts w:hint="default" w:ascii="Times New Roman" w:hAnsi="Times New Roman" w:eastAsia="Arial" w:cs="Times New Roman"/>
                <w:color w:val="auto"/>
                <w:spacing w:val="3"/>
                <w:sz w:val="24"/>
                <w:szCs w:val="24"/>
                <w:lang w:eastAsia="zh-CN"/>
              </w:rPr>
              <w:t>≤</w:t>
            </w:r>
            <w:r>
              <w:rPr>
                <w:rFonts w:hint="default" w:ascii="Times New Roman" w:hAnsi="Times New Roman" w:eastAsia="Times New Roman" w:cs="Times New Roman"/>
                <w:color w:val="auto"/>
                <w:spacing w:val="3"/>
                <w:sz w:val="24"/>
                <w:szCs w:val="24"/>
                <w:lang w:eastAsia="zh-CN"/>
              </w:rPr>
              <w:t>10</w:t>
            </w:r>
            <w:r>
              <w:rPr>
                <w:rFonts w:hint="default" w:ascii="Times New Roman" w:hAnsi="Times New Roman" w:eastAsia="Times New Roman" w:cs="Times New Roman"/>
                <w:color w:val="auto"/>
                <w:sz w:val="24"/>
                <w:szCs w:val="24"/>
                <w:lang w:eastAsia="zh-CN"/>
              </w:rPr>
              <w:t>mg</w:t>
            </w:r>
            <w:r>
              <w:rPr>
                <w:rFonts w:hint="default" w:ascii="Times New Roman" w:hAnsi="Times New Roman" w:eastAsia="Times New Roman" w:cs="Times New Roman"/>
                <w:color w:val="auto"/>
                <w:spacing w:val="3"/>
                <w:sz w:val="24"/>
                <w:szCs w:val="24"/>
                <w:lang w:eastAsia="zh-CN"/>
              </w:rPr>
              <w:t>/m</w:t>
            </w:r>
            <w:r>
              <w:rPr>
                <w:rFonts w:hint="default" w:ascii="Times New Roman" w:hAnsi="Times New Roman" w:eastAsia="Times New Roman" w:cs="Times New Roman"/>
                <w:color w:val="auto"/>
                <w:spacing w:val="3"/>
                <w:sz w:val="24"/>
                <w:szCs w:val="24"/>
                <w:vertAlign w:val="superscript"/>
                <w:lang w:val="en-US" w:eastAsia="zh-CN"/>
              </w:rPr>
              <w:t>3</w:t>
            </w:r>
            <w:r>
              <w:rPr>
                <w:rFonts w:hint="default" w:ascii="Times New Roman" w:hAnsi="Times New Roman" w:cs="Times New Roman"/>
                <w:color w:val="auto"/>
                <w:spacing w:val="3"/>
                <w:sz w:val="24"/>
                <w:szCs w:val="24"/>
                <w:lang w:eastAsia="zh-CN"/>
              </w:rPr>
              <w:t>，无组织</w:t>
            </w:r>
            <w:r>
              <w:rPr>
                <w:rFonts w:hint="default" w:ascii="Times New Roman" w:hAnsi="Times New Roman" w:eastAsia="Arial" w:cs="Times New Roman"/>
                <w:color w:val="auto"/>
                <w:spacing w:val="6"/>
                <w:sz w:val="24"/>
                <w:szCs w:val="24"/>
                <w:lang w:eastAsia="zh-CN"/>
              </w:rPr>
              <w:t>≤</w:t>
            </w:r>
            <w:r>
              <w:rPr>
                <w:rFonts w:hint="default" w:ascii="Times New Roman" w:hAnsi="Times New Roman" w:eastAsia="Arial" w:cs="Times New Roman"/>
                <w:color w:val="auto"/>
                <w:spacing w:val="6"/>
                <w:sz w:val="24"/>
                <w:szCs w:val="24"/>
                <w:lang w:val="en-US" w:eastAsia="zh-CN"/>
              </w:rPr>
              <w:t>1</w:t>
            </w:r>
            <w:r>
              <w:rPr>
                <w:rFonts w:hint="default" w:ascii="Times New Roman" w:hAnsi="Times New Roman" w:eastAsia="Times New Roman" w:cs="Times New Roman"/>
                <w:color w:val="auto"/>
                <w:sz w:val="24"/>
                <w:szCs w:val="24"/>
                <w:lang w:eastAsia="zh-CN"/>
              </w:rPr>
              <w:t>mg</w:t>
            </w:r>
            <w:r>
              <w:rPr>
                <w:rFonts w:hint="default" w:ascii="Times New Roman" w:hAnsi="Times New Roman" w:eastAsia="Times New Roman" w:cs="Times New Roman"/>
                <w:color w:val="auto"/>
                <w:spacing w:val="6"/>
                <w:sz w:val="24"/>
                <w:szCs w:val="24"/>
                <w:lang w:eastAsia="zh-CN"/>
              </w:rPr>
              <w:t>/m</w:t>
            </w:r>
            <w:r>
              <w:rPr>
                <w:rFonts w:hint="default" w:ascii="Times New Roman" w:hAnsi="Times New Roman" w:eastAsia="Times New Roman" w:cs="Times New Roman"/>
                <w:color w:val="auto"/>
                <w:spacing w:val="6"/>
                <w:sz w:val="24"/>
                <w:szCs w:val="24"/>
                <w:vertAlign w:val="superscript"/>
                <w:lang w:val="en-US" w:eastAsia="zh-CN"/>
              </w:rPr>
              <w:t>3</w:t>
            </w:r>
            <w:r>
              <w:rPr>
                <w:rFonts w:hint="default" w:ascii="Times New Roman" w:hAnsi="Times New Roman" w:cs="Times New Roman"/>
                <w:color w:val="auto"/>
                <w:spacing w:val="6"/>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88" w:hRule="atLeast"/>
        </w:trPr>
        <w:tc>
          <w:tcPr>
            <w:tcW w:w="1007" w:type="dxa"/>
            <w:vMerge w:val="continue"/>
            <w:vAlign w:val="center"/>
          </w:tcPr>
          <w:p>
            <w:pPr>
              <w:widowControl/>
              <w:kinsoku w:val="0"/>
              <w:autoSpaceDE w:val="0"/>
              <w:autoSpaceDN w:val="0"/>
              <w:adjustRightInd w:val="0"/>
              <w:snapToGrid w:val="0"/>
              <w:jc w:val="center"/>
              <w:textAlignment w:val="baseline"/>
              <w:rPr>
                <w:color w:val="auto"/>
              </w:rPr>
            </w:pPr>
          </w:p>
        </w:tc>
        <w:tc>
          <w:tcPr>
            <w:tcW w:w="1305" w:type="dxa"/>
            <w:vAlign w:val="center"/>
          </w:tcPr>
          <w:p>
            <w:pPr>
              <w:widowControl/>
              <w:kinsoku w:val="0"/>
              <w:autoSpaceDE w:val="0"/>
              <w:autoSpaceDN w:val="0"/>
              <w:adjustRightInd w:val="0"/>
              <w:snapToGrid w:val="0"/>
              <w:jc w:val="center"/>
              <w:textAlignment w:val="baseline"/>
              <w:rPr>
                <w:rFonts w:hint="eastAsia" w:eastAsia="宋体"/>
                <w:color w:val="auto"/>
                <w:lang w:val="en-US" w:eastAsia="zh-CN"/>
              </w:rPr>
            </w:pPr>
            <w:r>
              <w:rPr>
                <w:rFonts w:hint="eastAsia"/>
                <w:color w:val="auto"/>
              </w:rPr>
              <w:t>DA00</w:t>
            </w:r>
            <w:r>
              <w:rPr>
                <w:rFonts w:hint="eastAsia"/>
                <w:color w:val="auto"/>
                <w:lang w:val="en-US" w:eastAsia="zh-CN"/>
              </w:rPr>
              <w:t>2</w:t>
            </w:r>
          </w:p>
        </w:tc>
        <w:tc>
          <w:tcPr>
            <w:tcW w:w="1181"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rPr>
            </w:pPr>
            <w:r>
              <w:rPr>
                <w:rFonts w:ascii="Times New Roman" w:hAnsi="Times New Roman" w:cs="Times New Roman"/>
                <w:color w:val="auto"/>
                <w:spacing w:val="7"/>
              </w:rPr>
              <w:t>非甲烷总烃</w:t>
            </w:r>
          </w:p>
        </w:tc>
        <w:tc>
          <w:tcPr>
            <w:tcW w:w="1872"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lang w:eastAsia="zh-CN"/>
              </w:rPr>
            </w:pPr>
            <w:r>
              <w:rPr>
                <w:rFonts w:hint="eastAsia" w:ascii="Times New Roman" w:hAnsi="Times New Roman" w:cs="Times New Roman"/>
                <w:color w:val="auto"/>
                <w:spacing w:val="19"/>
                <w:lang w:val="en-US" w:eastAsia="zh-CN"/>
              </w:rPr>
              <w:t>1套</w:t>
            </w:r>
            <w:r>
              <w:rPr>
                <w:rFonts w:hint="eastAsia" w:ascii="Times New Roman" w:hAnsi="Times New Roman" w:cs="Times New Roman"/>
                <w:color w:val="auto"/>
                <w:spacing w:val="19"/>
                <w:lang w:eastAsia="zh-CN"/>
              </w:rPr>
              <w:t>两级活性炭吸附</w:t>
            </w:r>
            <w:r>
              <w:rPr>
                <w:rFonts w:ascii="Times New Roman" w:hAnsi="Times New Roman" w:cs="Times New Roman"/>
                <w:color w:val="auto"/>
                <w:spacing w:val="17"/>
                <w:lang w:eastAsia="zh-CN"/>
              </w:rPr>
              <w:t>装置</w:t>
            </w:r>
            <w:r>
              <w:rPr>
                <w:rFonts w:ascii="Times New Roman" w:hAnsi="Times New Roman" w:eastAsia="Times New Roman" w:cs="Times New Roman"/>
                <w:color w:val="auto"/>
                <w:spacing w:val="17"/>
                <w:lang w:eastAsia="zh-CN"/>
              </w:rPr>
              <w:t>+15m</w:t>
            </w:r>
            <w:r>
              <w:rPr>
                <w:rFonts w:ascii="Times New Roman" w:hAnsi="Times New Roman" w:cs="Times New Roman"/>
                <w:color w:val="auto"/>
                <w:spacing w:val="7"/>
                <w:lang w:eastAsia="zh-CN"/>
              </w:rPr>
              <w:t>高排气筒（</w:t>
            </w:r>
            <w:r>
              <w:rPr>
                <w:rFonts w:ascii="Times New Roman" w:hAnsi="Times New Roman" w:eastAsia="Times New Roman" w:cs="Times New Roman"/>
                <w:color w:val="auto"/>
                <w:lang w:eastAsia="zh-CN"/>
              </w:rPr>
              <w:t>DA</w:t>
            </w:r>
            <w:r>
              <w:rPr>
                <w:rFonts w:ascii="Times New Roman" w:hAnsi="Times New Roman" w:eastAsia="Times New Roman" w:cs="Times New Roman"/>
                <w:color w:val="auto"/>
                <w:spacing w:val="7"/>
                <w:lang w:eastAsia="zh-CN"/>
              </w:rPr>
              <w:t>00</w:t>
            </w:r>
            <w:r>
              <w:rPr>
                <w:rFonts w:hint="eastAsia" w:ascii="Times New Roman" w:hAnsi="Times New Roman" w:cs="Times New Roman"/>
                <w:color w:val="auto"/>
                <w:spacing w:val="7"/>
                <w:lang w:val="en-US" w:eastAsia="zh-CN"/>
              </w:rPr>
              <w:t>2</w:t>
            </w:r>
            <w:r>
              <w:rPr>
                <w:rFonts w:ascii="Times New Roman" w:hAnsi="Times New Roman" w:cs="Times New Roman"/>
                <w:color w:val="auto"/>
                <w:spacing w:val="7"/>
                <w:lang w:eastAsia="zh-CN"/>
              </w:rPr>
              <w:t>）</w:t>
            </w:r>
          </w:p>
        </w:tc>
        <w:tc>
          <w:tcPr>
            <w:tcW w:w="3592"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sz w:val="24"/>
                <w:szCs w:val="24"/>
                <w:lang w:eastAsia="zh-CN"/>
              </w:rPr>
            </w:pPr>
            <w:r>
              <w:rPr>
                <w:rFonts w:hint="default" w:ascii="Times New Roman" w:hAnsi="Times New Roman" w:cs="Times New Roman"/>
                <w:color w:val="auto"/>
                <w:spacing w:val="2"/>
                <w:sz w:val="24"/>
                <w:szCs w:val="24"/>
                <w:lang w:eastAsia="zh-CN"/>
              </w:rPr>
              <w:t>非甲烷总烃执行《工业涂装工序挥发性有机物排放标准》（DB41/1951—2020）家具制造业排放限值</w:t>
            </w:r>
            <w:r>
              <w:rPr>
                <w:rFonts w:hint="default" w:ascii="Times New Roman" w:hAnsi="Times New Roman" w:cs="Times New Roman"/>
                <w:color w:val="auto"/>
                <w:spacing w:val="9"/>
                <w:sz w:val="24"/>
                <w:szCs w:val="24"/>
                <w:lang w:eastAsia="zh-CN"/>
              </w:rPr>
              <w:t>及《重污染天气重点行业应急减排措施制定技术指南（2020年修订版）》</w:t>
            </w:r>
            <w:r>
              <w:rPr>
                <w:rFonts w:hint="default" w:ascii="Times New Roman" w:hAnsi="Times New Roman" w:cs="Times New Roman"/>
                <w:color w:val="auto"/>
                <w:spacing w:val="2"/>
                <w:sz w:val="24"/>
                <w:szCs w:val="24"/>
                <w:lang w:eastAsia="zh-CN"/>
              </w:rPr>
              <w:t>中家具制造</w:t>
            </w:r>
            <w:r>
              <w:rPr>
                <w:rFonts w:hint="default" w:ascii="Times New Roman" w:hAnsi="Times New Roman" w:cs="Times New Roman"/>
                <w:color w:val="auto"/>
                <w:spacing w:val="-2"/>
                <w:sz w:val="24"/>
                <w:szCs w:val="24"/>
                <w:lang w:eastAsia="zh-CN"/>
              </w:rPr>
              <w:t>行业</w:t>
            </w:r>
            <w:r>
              <w:rPr>
                <w:rFonts w:hint="default" w:ascii="Times New Roman" w:hAnsi="Times New Roman" w:eastAsia="Times New Roman" w:cs="Times New Roman"/>
                <w:color w:val="auto"/>
                <w:spacing w:val="-2"/>
                <w:sz w:val="24"/>
                <w:szCs w:val="24"/>
                <w:lang w:eastAsia="zh-CN"/>
              </w:rPr>
              <w:t>A</w:t>
            </w:r>
            <w:r>
              <w:rPr>
                <w:rFonts w:hint="default" w:ascii="Times New Roman" w:hAnsi="Times New Roman" w:cs="Times New Roman"/>
                <w:color w:val="auto"/>
                <w:spacing w:val="-2"/>
                <w:sz w:val="24"/>
                <w:szCs w:val="24"/>
                <w:lang w:eastAsia="zh-CN"/>
              </w:rPr>
              <w:t>级企业要求（</w:t>
            </w:r>
            <w:r>
              <w:rPr>
                <w:rFonts w:hint="default" w:ascii="Times New Roman" w:hAnsi="Times New Roman" w:cs="Times New Roman"/>
                <w:color w:val="auto"/>
                <w:spacing w:val="12"/>
                <w:sz w:val="24"/>
                <w:szCs w:val="24"/>
                <w:lang w:eastAsia="zh-CN"/>
              </w:rPr>
              <w:t>非甲烷总</w:t>
            </w:r>
            <w:r>
              <w:rPr>
                <w:rFonts w:hint="default" w:ascii="Times New Roman" w:hAnsi="Times New Roman" w:cs="Times New Roman"/>
                <w:color w:val="auto"/>
                <w:spacing w:val="5"/>
                <w:sz w:val="24"/>
                <w:szCs w:val="24"/>
                <w:lang w:eastAsia="zh-CN"/>
              </w:rPr>
              <w:t>烃</w:t>
            </w:r>
            <w:r>
              <w:rPr>
                <w:rFonts w:hint="default" w:ascii="Times New Roman" w:hAnsi="Times New Roman" w:eastAsia="Arial" w:cs="Times New Roman"/>
                <w:color w:val="auto"/>
                <w:spacing w:val="5"/>
                <w:sz w:val="24"/>
                <w:szCs w:val="24"/>
                <w:lang w:eastAsia="zh-CN"/>
              </w:rPr>
              <w:t>≤20</w:t>
            </w:r>
            <w:r>
              <w:rPr>
                <w:rFonts w:hint="default" w:ascii="Times New Roman" w:hAnsi="Times New Roman" w:eastAsia="Times New Roman" w:cs="Times New Roman"/>
                <w:color w:val="auto"/>
                <w:sz w:val="24"/>
                <w:szCs w:val="24"/>
                <w:lang w:eastAsia="zh-CN"/>
              </w:rPr>
              <w:t>mg</w:t>
            </w:r>
            <w:r>
              <w:rPr>
                <w:rFonts w:hint="default" w:ascii="Times New Roman" w:hAnsi="Times New Roman" w:eastAsia="Times New Roman" w:cs="Times New Roman"/>
                <w:color w:val="auto"/>
                <w:spacing w:val="5"/>
                <w:sz w:val="24"/>
                <w:szCs w:val="24"/>
                <w:lang w:eastAsia="zh-CN"/>
              </w:rPr>
              <w:t>/m</w:t>
            </w:r>
            <w:r>
              <w:rPr>
                <w:rFonts w:hint="eastAsia" w:ascii="Times New Roman" w:hAnsi="Times New Roman" w:eastAsia="Times New Roman" w:cs="Times New Roman"/>
                <w:color w:val="auto"/>
                <w:spacing w:val="5"/>
                <w:sz w:val="24"/>
                <w:szCs w:val="24"/>
                <w:vertAlign w:val="superscript"/>
                <w:lang w:val="en-US" w:eastAsia="zh-CN"/>
              </w:rPr>
              <w:t>3</w:t>
            </w:r>
            <w:r>
              <w:rPr>
                <w:rFonts w:hint="default" w:ascii="Times New Roman" w:hAnsi="Times New Roman" w:cs="Times New Roman"/>
                <w:color w:val="auto"/>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9" w:hRule="atLeast"/>
        </w:trPr>
        <w:tc>
          <w:tcPr>
            <w:tcW w:w="1007" w:type="dxa"/>
            <w:vMerge w:val="continue"/>
            <w:vAlign w:val="center"/>
          </w:tcPr>
          <w:p>
            <w:pPr>
              <w:widowControl/>
              <w:kinsoku w:val="0"/>
              <w:autoSpaceDE w:val="0"/>
              <w:autoSpaceDN w:val="0"/>
              <w:adjustRightInd w:val="0"/>
              <w:snapToGrid w:val="0"/>
              <w:jc w:val="center"/>
              <w:textAlignment w:val="baseline"/>
              <w:rPr>
                <w:color w:val="auto"/>
              </w:rPr>
            </w:pPr>
          </w:p>
        </w:tc>
        <w:tc>
          <w:tcPr>
            <w:tcW w:w="1305" w:type="dxa"/>
            <w:vMerge w:val="restart"/>
            <w:vAlign w:val="center"/>
          </w:tcPr>
          <w:p>
            <w:pPr>
              <w:widowControl/>
              <w:kinsoku w:val="0"/>
              <w:autoSpaceDE w:val="0"/>
              <w:autoSpaceDN w:val="0"/>
              <w:adjustRightInd w:val="0"/>
              <w:snapToGrid w:val="0"/>
              <w:jc w:val="center"/>
              <w:textAlignment w:val="baseline"/>
              <w:rPr>
                <w:rFonts w:hint="default" w:eastAsia="宋体"/>
                <w:color w:val="auto"/>
                <w:lang w:val="en-US" w:eastAsia="zh-CN"/>
              </w:rPr>
            </w:pPr>
            <w:r>
              <w:rPr>
                <w:rFonts w:hint="eastAsia"/>
                <w:color w:val="auto"/>
                <w:lang w:val="en-US" w:eastAsia="zh-CN"/>
              </w:rPr>
              <w:t>无组织废气</w:t>
            </w:r>
          </w:p>
        </w:tc>
        <w:tc>
          <w:tcPr>
            <w:tcW w:w="1181" w:type="dxa"/>
            <w:vAlign w:val="center"/>
          </w:tcPr>
          <w:p>
            <w:pPr>
              <w:pStyle w:val="33"/>
              <w:widowControl/>
              <w:kinsoku w:val="0"/>
              <w:autoSpaceDE w:val="0"/>
              <w:autoSpaceDN w:val="0"/>
              <w:adjustRightInd w:val="0"/>
              <w:snapToGrid w:val="0"/>
              <w:jc w:val="center"/>
              <w:textAlignment w:val="baseline"/>
              <w:rPr>
                <w:rFonts w:hint="eastAsia" w:ascii="Times New Roman" w:hAnsi="Times New Roman" w:cs="Times New Roman"/>
                <w:color w:val="auto"/>
                <w:spacing w:val="19"/>
                <w:lang w:val="en-US" w:eastAsia="zh-CN"/>
              </w:rPr>
            </w:pPr>
            <w:r>
              <w:rPr>
                <w:rFonts w:hint="eastAsia" w:ascii="Times New Roman" w:hAnsi="Times New Roman" w:cs="Times New Roman"/>
                <w:color w:val="auto"/>
                <w:spacing w:val="19"/>
                <w:lang w:val="en-US" w:eastAsia="zh-CN"/>
              </w:rPr>
              <w:t>颗粒物</w:t>
            </w:r>
          </w:p>
        </w:tc>
        <w:tc>
          <w:tcPr>
            <w:tcW w:w="1872" w:type="dxa"/>
            <w:vAlign w:val="center"/>
          </w:tcPr>
          <w:p>
            <w:pPr>
              <w:pStyle w:val="33"/>
              <w:widowControl/>
              <w:kinsoku w:val="0"/>
              <w:autoSpaceDE w:val="0"/>
              <w:autoSpaceDN w:val="0"/>
              <w:adjustRightInd w:val="0"/>
              <w:snapToGrid w:val="0"/>
              <w:jc w:val="center"/>
              <w:textAlignment w:val="baseline"/>
              <w:rPr>
                <w:rFonts w:hint="eastAsia" w:ascii="Times New Roman" w:hAnsi="Times New Roman" w:cs="Times New Roman"/>
                <w:color w:val="auto"/>
                <w:spacing w:val="19"/>
                <w:lang w:val="en-US" w:eastAsia="zh-CN"/>
              </w:rPr>
            </w:pPr>
            <w:r>
              <w:rPr>
                <w:rFonts w:hint="eastAsia" w:ascii="Times New Roman" w:hAnsi="Times New Roman" w:cs="Times New Roman"/>
                <w:color w:val="auto"/>
                <w:spacing w:val="19"/>
                <w:lang w:val="en-US" w:eastAsia="zh-CN"/>
              </w:rPr>
              <w:t>车间密闭</w:t>
            </w:r>
          </w:p>
        </w:tc>
        <w:tc>
          <w:tcPr>
            <w:tcW w:w="3592" w:type="dxa"/>
            <w:vAlign w:val="center"/>
          </w:tcPr>
          <w:p>
            <w:pPr>
              <w:pStyle w:val="33"/>
              <w:widowControl/>
              <w:kinsoku w:val="0"/>
              <w:autoSpaceDE w:val="0"/>
              <w:autoSpaceDN w:val="0"/>
              <w:adjustRightInd w:val="0"/>
              <w:snapToGrid w:val="0"/>
              <w:jc w:val="left"/>
              <w:textAlignment w:val="baseline"/>
              <w:rPr>
                <w:rFonts w:hint="default" w:ascii="Times New Roman" w:hAnsi="Times New Roman" w:cs="Times New Roman"/>
                <w:color w:val="auto"/>
                <w:spacing w:val="19"/>
                <w:lang w:val="en-US" w:eastAsia="zh-CN"/>
              </w:rPr>
            </w:pPr>
            <w:r>
              <w:rPr>
                <w:rFonts w:hint="default" w:ascii="Times New Roman" w:hAnsi="Times New Roman" w:cs="Times New Roman"/>
                <w:color w:val="auto"/>
                <w:spacing w:val="19"/>
                <w:lang w:val="en-US" w:eastAsia="zh-CN"/>
              </w:rPr>
              <w:t>《大气污染物综合排放标准》（GB16297-1996）表2二级标准（无组织≤1mg/m</w:t>
            </w:r>
            <w:r>
              <w:rPr>
                <w:rFonts w:hint="default" w:ascii="Times New Roman" w:hAnsi="Times New Roman" w:cs="Times New Roman"/>
                <w:color w:val="auto"/>
                <w:spacing w:val="19"/>
                <w:vertAlign w:val="superscript"/>
                <w:lang w:val="en-US" w:eastAsia="zh-CN"/>
              </w:rPr>
              <w:t>3</w:t>
            </w:r>
            <w:r>
              <w:rPr>
                <w:rFonts w:hint="default" w:ascii="Times New Roman" w:hAnsi="Times New Roman" w:cs="Times New Roman"/>
                <w:color w:val="auto"/>
                <w:spacing w:val="19"/>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9" w:hRule="atLeast"/>
        </w:trPr>
        <w:tc>
          <w:tcPr>
            <w:tcW w:w="1007" w:type="dxa"/>
            <w:vMerge w:val="continue"/>
            <w:vAlign w:val="center"/>
          </w:tcPr>
          <w:p>
            <w:pPr>
              <w:pStyle w:val="33"/>
              <w:widowControl/>
              <w:kinsoku w:val="0"/>
              <w:autoSpaceDE w:val="0"/>
              <w:autoSpaceDN w:val="0"/>
              <w:adjustRightInd w:val="0"/>
              <w:snapToGrid w:val="0"/>
              <w:jc w:val="left"/>
              <w:textAlignment w:val="baseline"/>
            </w:pPr>
          </w:p>
        </w:tc>
        <w:tc>
          <w:tcPr>
            <w:tcW w:w="1305" w:type="dxa"/>
            <w:vMerge w:val="continue"/>
            <w:vAlign w:val="center"/>
          </w:tcPr>
          <w:p>
            <w:pPr>
              <w:pStyle w:val="33"/>
              <w:widowControl/>
              <w:kinsoku w:val="0"/>
              <w:autoSpaceDE w:val="0"/>
              <w:autoSpaceDN w:val="0"/>
              <w:adjustRightInd w:val="0"/>
              <w:snapToGrid w:val="0"/>
              <w:jc w:val="left"/>
              <w:textAlignment w:val="baseline"/>
            </w:pPr>
          </w:p>
        </w:tc>
        <w:tc>
          <w:tcPr>
            <w:tcW w:w="1181" w:type="dxa"/>
            <w:vAlign w:val="center"/>
          </w:tcPr>
          <w:p>
            <w:pPr>
              <w:pStyle w:val="33"/>
              <w:widowControl/>
              <w:kinsoku w:val="0"/>
              <w:autoSpaceDE w:val="0"/>
              <w:autoSpaceDN w:val="0"/>
              <w:adjustRightInd w:val="0"/>
              <w:snapToGrid w:val="0"/>
              <w:jc w:val="left"/>
              <w:textAlignment w:val="baseline"/>
              <w:rPr>
                <w:rFonts w:hint="eastAsia" w:ascii="Times New Roman" w:hAnsi="Times New Roman" w:cs="Times New Roman"/>
                <w:color w:val="auto"/>
                <w:spacing w:val="19"/>
                <w:lang w:val="en-US" w:eastAsia="zh-CN"/>
              </w:rPr>
            </w:pPr>
            <w:r>
              <w:rPr>
                <w:rFonts w:hint="eastAsia" w:ascii="Times New Roman" w:hAnsi="Times New Roman" w:cs="Times New Roman"/>
                <w:color w:val="auto"/>
                <w:spacing w:val="19"/>
                <w:lang w:val="en-US" w:eastAsia="zh-CN"/>
              </w:rPr>
              <w:t>非甲烷总烃</w:t>
            </w:r>
          </w:p>
        </w:tc>
        <w:tc>
          <w:tcPr>
            <w:tcW w:w="1872" w:type="dxa"/>
            <w:vAlign w:val="center"/>
          </w:tcPr>
          <w:p>
            <w:pPr>
              <w:pStyle w:val="33"/>
              <w:widowControl/>
              <w:kinsoku w:val="0"/>
              <w:autoSpaceDE w:val="0"/>
              <w:autoSpaceDN w:val="0"/>
              <w:adjustRightInd w:val="0"/>
              <w:snapToGrid w:val="0"/>
              <w:jc w:val="center"/>
              <w:textAlignment w:val="baseline"/>
              <w:rPr>
                <w:rFonts w:hint="eastAsia" w:ascii="Times New Roman" w:hAnsi="Times New Roman" w:cs="Times New Roman"/>
                <w:color w:val="auto"/>
                <w:spacing w:val="19"/>
                <w:lang w:val="en-US" w:eastAsia="zh-CN"/>
              </w:rPr>
            </w:pPr>
            <w:r>
              <w:rPr>
                <w:rFonts w:hint="eastAsia" w:ascii="Times New Roman" w:hAnsi="Times New Roman" w:cs="Times New Roman"/>
                <w:color w:val="auto"/>
                <w:spacing w:val="19"/>
                <w:lang w:val="en-US" w:eastAsia="zh-CN"/>
              </w:rPr>
              <w:t>车间密闭</w:t>
            </w:r>
          </w:p>
        </w:tc>
        <w:tc>
          <w:tcPr>
            <w:tcW w:w="3592" w:type="dxa"/>
            <w:vAlign w:val="center"/>
          </w:tcPr>
          <w:p>
            <w:pPr>
              <w:pStyle w:val="33"/>
              <w:widowControl/>
              <w:kinsoku w:val="0"/>
              <w:autoSpaceDE w:val="0"/>
              <w:autoSpaceDN w:val="0"/>
              <w:adjustRightInd w:val="0"/>
              <w:snapToGrid w:val="0"/>
              <w:jc w:val="left"/>
              <w:textAlignment w:val="baseline"/>
              <w:rPr>
                <w:rFonts w:hint="eastAsia" w:ascii="Times New Roman" w:hAnsi="Times New Roman" w:cs="Times New Roman"/>
                <w:color w:val="auto"/>
                <w:spacing w:val="19"/>
                <w:lang w:val="en-US" w:eastAsia="zh-CN"/>
              </w:rPr>
            </w:pPr>
            <w:r>
              <w:rPr>
                <w:rFonts w:hint="eastAsia" w:ascii="Times New Roman" w:hAnsi="Times New Roman" w:cs="Times New Roman"/>
                <w:color w:val="auto"/>
                <w:spacing w:val="19"/>
                <w:lang w:val="en-US" w:eastAsia="zh-CN"/>
              </w:rPr>
              <w:t>《工业涂装工序挥发性有机物排放标准》（DB41/1951—2020）（非甲烷总烃1h平均浓度限值6mg/m</w:t>
            </w:r>
            <w:r>
              <w:rPr>
                <w:rFonts w:hint="eastAsia" w:ascii="Times New Roman" w:hAnsi="Times New Roman" w:cs="Times New Roman"/>
                <w:color w:val="auto"/>
                <w:spacing w:val="19"/>
                <w:vertAlign w:val="superscript"/>
                <w:lang w:val="en-US" w:eastAsia="zh-CN"/>
              </w:rPr>
              <w:t>3</w:t>
            </w:r>
            <w:r>
              <w:rPr>
                <w:rFonts w:hint="eastAsia" w:ascii="Times New Roman" w:hAnsi="Times New Roman" w:cs="Times New Roman"/>
                <w:color w:val="auto"/>
                <w:spacing w:val="19"/>
                <w:lang w:val="en-US" w:eastAsia="zh-CN"/>
              </w:rPr>
              <w:t>，一次浓度限值20mg/m</w:t>
            </w:r>
            <w:r>
              <w:rPr>
                <w:rFonts w:hint="eastAsia" w:ascii="Times New Roman" w:hAnsi="Times New Roman" w:cs="Times New Roman"/>
                <w:color w:val="auto"/>
                <w:spacing w:val="19"/>
                <w:vertAlign w:val="superscript"/>
                <w:lang w:val="en-US" w:eastAsia="zh-CN"/>
              </w:rPr>
              <w:t>3</w:t>
            </w:r>
            <w:r>
              <w:rPr>
                <w:rFonts w:hint="eastAsia" w:ascii="Times New Roman" w:hAnsi="Times New Roman" w:cs="Times New Roman"/>
                <w:color w:val="auto"/>
                <w:spacing w:val="19"/>
                <w:lang w:val="en-US" w:eastAsia="zh-CN"/>
              </w:rPr>
              <w:t>）及《河南省环境污染防治攻坚战领导小组办公室文件》（豫环攻坚办[2017]162号）（企业边界挥发性有机物排放建议值2mg/m</w:t>
            </w:r>
            <w:r>
              <w:rPr>
                <w:rFonts w:hint="eastAsia" w:ascii="Times New Roman" w:hAnsi="Times New Roman" w:cs="Times New Roman"/>
                <w:color w:val="auto"/>
                <w:spacing w:val="19"/>
                <w:vertAlign w:val="superscript"/>
                <w:lang w:val="en-US" w:eastAsia="zh-CN"/>
              </w:rPr>
              <w:t>3</w:t>
            </w:r>
            <w:r>
              <w:rPr>
                <w:rFonts w:hint="eastAsia" w:ascii="Times New Roman" w:hAnsi="Times New Roman" w:cs="Times New Roman"/>
                <w:color w:val="auto"/>
                <w:spacing w:val="19"/>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9" w:hRule="atLeast"/>
        </w:trPr>
        <w:tc>
          <w:tcPr>
            <w:tcW w:w="1007"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rPr>
            </w:pPr>
            <w:r>
              <w:rPr>
                <w:rFonts w:ascii="Times New Roman" w:hAnsi="Times New Roman" w:cs="Times New Roman"/>
                <w:color w:val="auto"/>
                <w:spacing w:val="5"/>
              </w:rPr>
              <w:t>声环境</w:t>
            </w:r>
          </w:p>
        </w:tc>
        <w:tc>
          <w:tcPr>
            <w:tcW w:w="1305"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rPr>
            </w:pPr>
            <w:r>
              <w:rPr>
                <w:rFonts w:ascii="Times New Roman" w:hAnsi="Times New Roman" w:cs="Times New Roman"/>
                <w:color w:val="auto"/>
                <w:spacing w:val="3"/>
              </w:rPr>
              <w:t>厂界</w:t>
            </w:r>
          </w:p>
        </w:tc>
        <w:tc>
          <w:tcPr>
            <w:tcW w:w="1181"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rPr>
            </w:pPr>
            <w:r>
              <w:rPr>
                <w:rFonts w:ascii="Times New Roman" w:hAnsi="Times New Roman" w:cs="Times New Roman"/>
                <w:color w:val="auto"/>
                <w:spacing w:val="6"/>
              </w:rPr>
              <w:t>等效连续</w:t>
            </w:r>
            <w:r>
              <w:rPr>
                <w:rFonts w:ascii="Times New Roman" w:hAnsi="Times New Roman" w:eastAsia="Times New Roman" w:cs="Times New Roman"/>
                <w:color w:val="auto"/>
                <w:spacing w:val="3"/>
              </w:rPr>
              <w:t>A</w:t>
            </w:r>
            <w:r>
              <w:rPr>
                <w:rFonts w:ascii="Times New Roman" w:hAnsi="Times New Roman" w:cs="Times New Roman"/>
                <w:color w:val="auto"/>
                <w:spacing w:val="3"/>
              </w:rPr>
              <w:t>声级</w:t>
            </w:r>
          </w:p>
        </w:tc>
        <w:tc>
          <w:tcPr>
            <w:tcW w:w="1872"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lang w:eastAsia="zh-CN"/>
              </w:rPr>
            </w:pPr>
            <w:r>
              <w:rPr>
                <w:rFonts w:ascii="Times New Roman" w:hAnsi="Times New Roman" w:cs="Times New Roman"/>
                <w:color w:val="auto"/>
                <w:spacing w:val="9"/>
                <w:lang w:eastAsia="zh-CN"/>
              </w:rPr>
              <w:t>厂房隔声、设备减振及距离衰</w:t>
            </w:r>
            <w:r>
              <w:rPr>
                <w:rFonts w:ascii="Times New Roman" w:hAnsi="Times New Roman" w:cs="Times New Roman"/>
                <w:color w:val="auto"/>
                <w:lang w:eastAsia="zh-CN"/>
              </w:rPr>
              <w:t>减</w:t>
            </w:r>
          </w:p>
        </w:tc>
        <w:tc>
          <w:tcPr>
            <w:tcW w:w="3592" w:type="dxa"/>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lang w:eastAsia="zh-CN"/>
              </w:rPr>
            </w:pPr>
            <w:r>
              <w:rPr>
                <w:rFonts w:ascii="Times New Roman" w:hAnsi="Times New Roman" w:cs="Times New Roman"/>
                <w:color w:val="auto"/>
                <w:spacing w:val="8"/>
                <w:lang w:eastAsia="zh-CN"/>
              </w:rPr>
              <w:t>《工业企业厂界环境噪声</w:t>
            </w:r>
            <w:r>
              <w:rPr>
                <w:rFonts w:ascii="Times New Roman" w:hAnsi="Times New Roman" w:cs="Times New Roman"/>
                <w:color w:val="auto"/>
                <w:spacing w:val="-6"/>
                <w:lang w:eastAsia="zh-CN"/>
              </w:rPr>
              <w:t>排放标准》（</w:t>
            </w:r>
            <w:r>
              <w:rPr>
                <w:rFonts w:ascii="Times New Roman" w:hAnsi="Times New Roman" w:eastAsia="Times New Roman" w:cs="Times New Roman"/>
                <w:color w:val="auto"/>
                <w:spacing w:val="-6"/>
                <w:lang w:eastAsia="zh-CN"/>
              </w:rPr>
              <w:t>GB12348-2008</w:t>
            </w:r>
            <w:r>
              <w:rPr>
                <w:rFonts w:ascii="Times New Roman" w:hAnsi="Times New Roman" w:cs="Times New Roman"/>
                <w:color w:val="auto"/>
                <w:spacing w:val="-6"/>
                <w:lang w:eastAsia="zh-CN"/>
              </w:rPr>
              <w:t>）</w:t>
            </w:r>
            <w:r>
              <w:rPr>
                <w:rFonts w:ascii="Times New Roman" w:hAnsi="Times New Roman" w:eastAsia="Times New Roman" w:cs="Times New Roman"/>
                <w:color w:val="auto"/>
                <w:spacing w:val="6"/>
                <w:lang w:eastAsia="zh-CN"/>
              </w:rPr>
              <w:t>3</w:t>
            </w:r>
            <w:r>
              <w:rPr>
                <w:rFonts w:ascii="Times New Roman" w:hAnsi="Times New Roman" w:cs="Times New Roman"/>
                <w:color w:val="auto"/>
                <w:spacing w:val="6"/>
                <w:lang w:eastAsia="zh-CN"/>
              </w:rPr>
              <w:t>类标准（昼间</w:t>
            </w:r>
            <w:r>
              <w:rPr>
                <w:rFonts w:ascii="Times New Roman" w:hAnsi="Times New Roman" w:eastAsia="Times New Roman" w:cs="Times New Roman"/>
                <w:color w:val="auto"/>
                <w:spacing w:val="6"/>
                <w:lang w:eastAsia="zh-CN"/>
              </w:rPr>
              <w:t>&lt;65</w:t>
            </w:r>
            <w:r>
              <w:rPr>
                <w:rFonts w:ascii="Times New Roman" w:hAnsi="Times New Roman" w:eastAsia="Times New Roman" w:cs="Times New Roman"/>
                <w:color w:val="auto"/>
                <w:lang w:eastAsia="zh-CN"/>
              </w:rPr>
              <w:t>dB</w:t>
            </w:r>
            <w:r>
              <w:rPr>
                <w:rFonts w:hint="eastAsia" w:ascii="Times New Roman" w:hAnsi="Times New Roman" w:eastAsia="Times New Roman" w:cs="Times New Roman"/>
                <w:color w:val="auto"/>
                <w:spacing w:val="6"/>
                <w:lang w:eastAsia="zh-CN"/>
              </w:rPr>
              <w:t>（</w:t>
            </w:r>
            <w:r>
              <w:rPr>
                <w:rFonts w:ascii="Times New Roman" w:hAnsi="Times New Roman" w:eastAsia="Times New Roman" w:cs="Times New Roman"/>
                <w:color w:val="auto"/>
                <w:spacing w:val="6"/>
                <w:lang w:eastAsia="zh-CN"/>
              </w:rPr>
              <w:t>A</w:t>
            </w:r>
            <w:r>
              <w:rPr>
                <w:rFonts w:hint="eastAsia" w:ascii="Times New Roman" w:hAnsi="Times New Roman" w:cs="Times New Roman"/>
                <w:color w:val="auto"/>
                <w:spacing w:val="6"/>
                <w:lang w:eastAsia="zh-CN"/>
              </w:rPr>
              <w:t>）</w:t>
            </w:r>
            <w:r>
              <w:rPr>
                <w:rFonts w:ascii="Times New Roman" w:hAnsi="Times New Roman" w:cs="Times New Roman"/>
                <w:color w:val="auto"/>
                <w:spacing w:val="6"/>
                <w:lang w:eastAsia="zh-CN"/>
              </w:rPr>
              <w:t>夜间</w:t>
            </w:r>
            <w:r>
              <w:rPr>
                <w:rFonts w:ascii="Times New Roman" w:hAnsi="Times New Roman" w:eastAsia="Times New Roman" w:cs="Times New Roman"/>
                <w:color w:val="auto"/>
                <w:spacing w:val="6"/>
                <w:lang w:eastAsia="zh-CN"/>
              </w:rPr>
              <w:t>&lt;55</w:t>
            </w:r>
            <w:r>
              <w:rPr>
                <w:rFonts w:ascii="Times New Roman" w:hAnsi="Times New Roman" w:eastAsia="Times New Roman" w:cs="Times New Roman"/>
                <w:color w:val="auto"/>
                <w:lang w:eastAsia="zh-CN"/>
              </w:rPr>
              <w:t>dB</w:t>
            </w:r>
            <w:r>
              <w:rPr>
                <w:rFonts w:hint="eastAsia" w:ascii="Times New Roman" w:hAnsi="Times New Roman" w:cs="Times New Roman"/>
                <w:color w:val="auto"/>
                <w:lang w:eastAsia="zh-CN"/>
              </w:rPr>
              <w:t>（</w:t>
            </w:r>
            <w:r>
              <w:rPr>
                <w:rFonts w:ascii="Times New Roman" w:hAnsi="Times New Roman" w:eastAsia="Times New Roman" w:cs="Times New Roman"/>
                <w:color w:val="auto"/>
                <w:spacing w:val="6"/>
                <w:lang w:eastAsia="zh-CN"/>
              </w:rPr>
              <w:t>A</w:t>
            </w:r>
            <w:r>
              <w:rPr>
                <w:rFonts w:ascii="Times New Roman" w:hAnsi="Times New Roman" w:cs="Times New Roman"/>
                <w:color w:val="auto"/>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6" w:hRule="atLeast"/>
        </w:trPr>
        <w:tc>
          <w:tcPr>
            <w:tcW w:w="1007"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rPr>
            </w:pPr>
            <w:r>
              <w:rPr>
                <w:rFonts w:ascii="Times New Roman" w:hAnsi="Times New Roman" w:cs="Times New Roman"/>
                <w:color w:val="auto"/>
                <w:spacing w:val="-5"/>
              </w:rPr>
              <w:t>固废</w:t>
            </w:r>
          </w:p>
        </w:tc>
        <w:tc>
          <w:tcPr>
            <w:tcW w:w="7950" w:type="dxa"/>
            <w:gridSpan w:val="4"/>
            <w:vAlign w:val="center"/>
          </w:tcPr>
          <w:p>
            <w:pPr>
              <w:pStyle w:val="33"/>
              <w:widowControl/>
              <w:kinsoku w:val="0"/>
              <w:autoSpaceDE w:val="0"/>
              <w:autoSpaceDN w:val="0"/>
              <w:adjustRightInd w:val="0"/>
              <w:snapToGrid w:val="0"/>
              <w:jc w:val="left"/>
              <w:textAlignment w:val="baseline"/>
              <w:rPr>
                <w:rFonts w:ascii="Times New Roman" w:hAnsi="Times New Roman" w:cs="Times New Roman"/>
                <w:color w:val="auto"/>
                <w:lang w:eastAsia="zh-CN"/>
              </w:rPr>
            </w:pPr>
            <w:r>
              <w:rPr>
                <w:rFonts w:ascii="Times New Roman" w:hAnsi="Times New Roman" w:cs="Times New Roman"/>
                <w:color w:val="auto"/>
                <w:spacing w:val="10"/>
                <w:lang w:eastAsia="zh-CN"/>
              </w:rPr>
              <w:t>一般工业固废</w:t>
            </w:r>
            <w:r>
              <w:rPr>
                <w:rFonts w:hint="eastAsia" w:ascii="Times New Roman" w:hAnsi="Times New Roman" w:cs="Times New Roman"/>
                <w:color w:val="auto"/>
                <w:spacing w:val="10"/>
                <w:lang w:eastAsia="zh-CN"/>
              </w:rPr>
              <w:t>：</w:t>
            </w:r>
            <w:r>
              <w:rPr>
                <w:rFonts w:hint="eastAsia" w:ascii="Times New Roman" w:hAnsi="Times New Roman" w:cs="Times New Roman"/>
                <w:color w:val="auto"/>
                <w:spacing w:val="10"/>
                <w:lang w:val="en-US" w:eastAsia="zh-CN"/>
              </w:rPr>
              <w:t>废</w:t>
            </w:r>
            <w:r>
              <w:rPr>
                <w:rFonts w:ascii="Times New Roman" w:hAnsi="Times New Roman" w:cs="Times New Roman"/>
                <w:color w:val="auto"/>
                <w:spacing w:val="10"/>
                <w:lang w:eastAsia="zh-CN"/>
              </w:rPr>
              <w:t>边角料、废</w:t>
            </w:r>
            <w:r>
              <w:rPr>
                <w:rFonts w:hint="eastAsia" w:ascii="Times New Roman" w:hAnsi="Times New Roman" w:cs="Times New Roman"/>
                <w:color w:val="auto"/>
                <w:spacing w:val="10"/>
                <w:lang w:val="en-US" w:eastAsia="zh-CN"/>
              </w:rPr>
              <w:t>包装材料</w:t>
            </w:r>
            <w:r>
              <w:rPr>
                <w:rFonts w:ascii="Times New Roman" w:hAnsi="Times New Roman" w:cs="Times New Roman"/>
                <w:color w:val="auto"/>
                <w:spacing w:val="10"/>
                <w:lang w:eastAsia="zh-CN"/>
              </w:rPr>
              <w:t>、除尘设施收集</w:t>
            </w:r>
            <w:r>
              <w:rPr>
                <w:rFonts w:ascii="Times New Roman" w:hAnsi="Times New Roman" w:cs="Times New Roman"/>
                <w:color w:val="auto"/>
                <w:spacing w:val="9"/>
                <w:lang w:eastAsia="zh-CN"/>
              </w:rPr>
              <w:t>的粉尘</w:t>
            </w:r>
            <w:r>
              <w:rPr>
                <w:rFonts w:ascii="Times New Roman" w:hAnsi="Times New Roman" w:cs="Times New Roman"/>
                <w:color w:val="auto"/>
                <w:spacing w:val="10"/>
                <w:lang w:eastAsia="zh-CN"/>
              </w:rPr>
              <w:t>、废</w:t>
            </w:r>
            <w:r>
              <w:rPr>
                <w:rFonts w:hint="eastAsia" w:ascii="Times New Roman" w:hAnsi="Times New Roman" w:cs="Times New Roman"/>
                <w:color w:val="auto"/>
                <w:spacing w:val="10"/>
                <w:lang w:val="en-US" w:eastAsia="zh-CN"/>
              </w:rPr>
              <w:t>胶桶（水性）</w:t>
            </w:r>
            <w:r>
              <w:rPr>
                <w:rFonts w:ascii="Times New Roman" w:hAnsi="Times New Roman" w:cs="Times New Roman"/>
                <w:color w:val="auto"/>
                <w:spacing w:val="9"/>
                <w:lang w:eastAsia="zh-CN"/>
              </w:rPr>
              <w:t>作为一般工业固体废物出</w:t>
            </w:r>
            <w:r>
              <w:rPr>
                <w:rFonts w:ascii="Times New Roman" w:hAnsi="Times New Roman" w:cs="Times New Roman"/>
                <w:color w:val="auto"/>
                <w:lang w:eastAsia="zh-CN"/>
              </w:rPr>
              <w:t>售；</w:t>
            </w:r>
            <w:r>
              <w:rPr>
                <w:rFonts w:ascii="Times New Roman" w:hAnsi="Times New Roman" w:cs="Times New Roman"/>
                <w:color w:val="auto"/>
                <w:spacing w:val="10"/>
                <w:lang w:eastAsia="zh-CN"/>
              </w:rPr>
              <w:t>危险废物：废机油、废液压油、</w:t>
            </w:r>
            <w:r>
              <w:rPr>
                <w:rFonts w:ascii="Times New Roman" w:hAnsi="Times New Roman" w:cs="Times New Roman"/>
                <w:color w:val="auto"/>
                <w:spacing w:val="9"/>
                <w:lang w:eastAsia="zh-CN"/>
              </w:rPr>
              <w:t>废活性炭等委托给有</w:t>
            </w:r>
            <w:r>
              <w:rPr>
                <w:rFonts w:hint="eastAsia" w:ascii="Times New Roman" w:hAnsi="Times New Roman" w:cs="Times New Roman"/>
                <w:color w:val="auto"/>
                <w:spacing w:val="9"/>
                <w:lang w:val="en-US" w:eastAsia="zh-CN"/>
              </w:rPr>
              <w:t>危险</w:t>
            </w:r>
            <w:r>
              <w:rPr>
                <w:rFonts w:ascii="Times New Roman" w:hAnsi="Times New Roman" w:cs="Times New Roman"/>
                <w:color w:val="auto"/>
                <w:spacing w:val="9"/>
                <w:lang w:eastAsia="zh-CN"/>
              </w:rPr>
              <w:t>废物处置资质的公司进行妥善处置；</w:t>
            </w:r>
            <w:r>
              <w:rPr>
                <w:rFonts w:ascii="Times New Roman" w:hAnsi="Times New Roman" w:cs="Times New Roman"/>
                <w:color w:val="auto"/>
                <w:spacing w:val="6"/>
                <w:lang w:eastAsia="zh-CN"/>
              </w:rPr>
              <w:t>生活垃圾：由当地环卫部门统一清运处理。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5" w:hRule="atLeast"/>
        </w:trPr>
        <w:tc>
          <w:tcPr>
            <w:tcW w:w="1007"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rPr>
            </w:pPr>
            <w:r>
              <w:rPr>
                <w:rFonts w:ascii="Times New Roman" w:hAnsi="Times New Roman" w:cs="Times New Roman"/>
                <w:color w:val="auto"/>
                <w:spacing w:val="7"/>
              </w:rPr>
              <w:t>土壤污染</w:t>
            </w:r>
            <w:r>
              <w:rPr>
                <w:rFonts w:ascii="Times New Roman" w:hAnsi="Times New Roman" w:cs="Times New Roman"/>
                <w:color w:val="auto"/>
                <w:spacing w:val="4"/>
              </w:rPr>
              <w:t>防治措施</w:t>
            </w:r>
          </w:p>
        </w:tc>
        <w:tc>
          <w:tcPr>
            <w:tcW w:w="7950" w:type="dxa"/>
            <w:gridSpan w:val="4"/>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lang w:eastAsia="zh-CN"/>
              </w:rPr>
            </w:pPr>
            <w:r>
              <w:rPr>
                <w:rFonts w:ascii="Times New Roman" w:hAnsi="Times New Roman" w:cs="Times New Roman"/>
                <w:color w:val="auto"/>
                <w:spacing w:val="9"/>
                <w:lang w:eastAsia="zh-CN"/>
              </w:rPr>
              <w:t>车间地面、仓库及危废暂存间进行硬化</w:t>
            </w:r>
            <w:r>
              <w:rPr>
                <w:rFonts w:hint="eastAsia" w:ascii="Times New Roman" w:hAnsi="Times New Roman" w:cs="Times New Roman"/>
                <w:color w:val="auto"/>
                <w:spacing w:val="9"/>
                <w:lang w:eastAsia="zh-CN"/>
              </w:rPr>
              <w:t>防渗</w:t>
            </w:r>
            <w:r>
              <w:rPr>
                <w:rFonts w:ascii="Times New Roman" w:hAnsi="Times New Roman" w:cs="Times New Roman"/>
                <w:color w:val="auto"/>
                <w:spacing w:val="9"/>
                <w:lang w:eastAsia="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8" w:hRule="atLeast"/>
        </w:trPr>
        <w:tc>
          <w:tcPr>
            <w:tcW w:w="1007"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rPr>
            </w:pPr>
            <w:r>
              <w:rPr>
                <w:rFonts w:ascii="Times New Roman" w:hAnsi="Times New Roman" w:cs="Times New Roman"/>
                <w:color w:val="auto"/>
                <w:spacing w:val="7"/>
              </w:rPr>
              <w:t>环境风险</w:t>
            </w:r>
          </w:p>
        </w:tc>
        <w:tc>
          <w:tcPr>
            <w:tcW w:w="7950" w:type="dxa"/>
            <w:gridSpan w:val="4"/>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lang w:eastAsia="zh-CN"/>
              </w:rPr>
            </w:pPr>
            <w:r>
              <w:rPr>
                <w:rFonts w:ascii="Times New Roman" w:hAnsi="Times New Roman" w:cs="Times New Roman"/>
                <w:color w:val="auto"/>
                <w:spacing w:val="9"/>
                <w:lang w:eastAsia="zh-CN"/>
              </w:rPr>
              <w:t>火灾自动报警装置、灭火器等消防器材、消防物品、防护用具等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3" w:hRule="atLeast"/>
        </w:trPr>
        <w:tc>
          <w:tcPr>
            <w:tcW w:w="1007"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rPr>
            </w:pPr>
            <w:r>
              <w:rPr>
                <w:rFonts w:ascii="Times New Roman" w:hAnsi="Times New Roman" w:cs="Times New Roman"/>
                <w:color w:val="auto"/>
                <w:spacing w:val="7"/>
              </w:rPr>
              <w:t>其他环境</w:t>
            </w:r>
            <w:r>
              <w:rPr>
                <w:rFonts w:ascii="Times New Roman" w:hAnsi="Times New Roman" w:cs="Times New Roman"/>
                <w:color w:val="auto"/>
                <w:spacing w:val="6"/>
              </w:rPr>
              <w:t>管理要求</w:t>
            </w:r>
          </w:p>
        </w:tc>
        <w:tc>
          <w:tcPr>
            <w:tcW w:w="7950" w:type="dxa"/>
            <w:gridSpan w:val="4"/>
            <w:vAlign w:val="center"/>
          </w:tcPr>
          <w:p>
            <w:pPr>
              <w:adjustRightInd w:val="0"/>
              <w:snapToGrid w:val="0"/>
              <w:spacing w:line="360" w:lineRule="exact"/>
              <w:rPr>
                <w:b/>
                <w:bCs/>
                <w:color w:val="auto"/>
                <w:szCs w:val="21"/>
              </w:rPr>
            </w:pPr>
            <w:r>
              <w:rPr>
                <w:b/>
                <w:bCs/>
                <w:color w:val="auto"/>
                <w:szCs w:val="21"/>
              </w:rPr>
              <w:t>1.环境管理制度</w:t>
            </w:r>
          </w:p>
          <w:p>
            <w:pPr>
              <w:adjustRightInd w:val="0"/>
              <w:snapToGrid w:val="0"/>
              <w:spacing w:line="360" w:lineRule="exact"/>
              <w:ind w:firstLine="480" w:firstLineChars="200"/>
              <w:rPr>
                <w:color w:val="auto"/>
                <w:szCs w:val="21"/>
              </w:rPr>
            </w:pPr>
            <w:r>
              <w:rPr>
                <w:color w:val="auto"/>
                <w:szCs w:val="21"/>
              </w:rPr>
              <w:t>加强环境管理是贯彻执行环境保护法规，实现建设项目的社会、经济和环境效益的协调统一，以及企业可持续发展的重要保证。为加强环境管理，有效控制环境污染，根据本项目具体情况，建设单位应设置环保管理机构和管理人员并建立相应的环境管理体系。</w:t>
            </w:r>
          </w:p>
          <w:p>
            <w:pPr>
              <w:adjustRightInd w:val="0"/>
              <w:snapToGrid w:val="0"/>
              <w:spacing w:line="360" w:lineRule="exact"/>
              <w:rPr>
                <w:b/>
                <w:bCs/>
                <w:color w:val="auto"/>
                <w:szCs w:val="21"/>
              </w:rPr>
            </w:pPr>
            <w:r>
              <w:rPr>
                <w:b/>
                <w:bCs/>
                <w:color w:val="auto"/>
                <w:szCs w:val="21"/>
              </w:rPr>
              <w:t>2.排污许可制度</w:t>
            </w:r>
          </w:p>
          <w:p>
            <w:pPr>
              <w:adjustRightInd w:val="0"/>
              <w:snapToGrid w:val="0"/>
              <w:spacing w:line="360" w:lineRule="exact"/>
              <w:ind w:firstLine="480" w:firstLineChars="200"/>
              <w:rPr>
                <w:color w:val="auto"/>
                <w:szCs w:val="21"/>
              </w:rPr>
            </w:pPr>
            <w:r>
              <w:rPr>
                <w:color w:val="auto"/>
                <w:szCs w:val="21"/>
              </w:rPr>
              <w:t>新建排污单位应当在启动生产设施或者发生实际排污之前申请取得排污许可证或者填报排污登记表，本项目为</w:t>
            </w:r>
            <w:r>
              <w:rPr>
                <w:rFonts w:hint="eastAsia"/>
                <w:color w:val="auto"/>
                <w:szCs w:val="21"/>
              </w:rPr>
              <w:t>新建</w:t>
            </w:r>
            <w:r>
              <w:rPr>
                <w:color w:val="auto"/>
                <w:szCs w:val="21"/>
              </w:rPr>
              <w:t>项目，应该在发生实际排污之前</w:t>
            </w:r>
            <w:r>
              <w:rPr>
                <w:rFonts w:hint="eastAsia"/>
                <w:color w:val="auto"/>
                <w:szCs w:val="21"/>
              </w:rPr>
              <w:t>进行按照</w:t>
            </w:r>
            <w:r>
              <w:rPr>
                <w:color w:val="auto"/>
                <w:szCs w:val="21"/>
              </w:rPr>
              <w:t>《固定污染源排污许可分类管理名录（2019年版）》（生态环境部令第11号）</w:t>
            </w:r>
            <w:r>
              <w:rPr>
                <w:rFonts w:hint="eastAsia"/>
                <w:color w:val="auto"/>
                <w:szCs w:val="21"/>
              </w:rPr>
              <w:t>相关要求在排污许可证申报平台进行</w:t>
            </w:r>
            <w:r>
              <w:rPr>
                <w:color w:val="auto"/>
                <w:szCs w:val="21"/>
              </w:rPr>
              <w:t>排污</w:t>
            </w:r>
            <w:r>
              <w:rPr>
                <w:rFonts w:hint="eastAsia"/>
                <w:color w:val="auto"/>
                <w:szCs w:val="21"/>
              </w:rPr>
              <w:t>许可</w:t>
            </w:r>
            <w:r>
              <w:rPr>
                <w:color w:val="auto"/>
                <w:szCs w:val="21"/>
              </w:rPr>
              <w:t>。</w:t>
            </w:r>
          </w:p>
          <w:p>
            <w:pPr>
              <w:adjustRightInd w:val="0"/>
              <w:snapToGrid w:val="0"/>
              <w:spacing w:line="360" w:lineRule="exact"/>
              <w:rPr>
                <w:b/>
                <w:bCs/>
                <w:color w:val="auto"/>
                <w:szCs w:val="21"/>
              </w:rPr>
            </w:pPr>
            <w:r>
              <w:rPr>
                <w:b/>
                <w:bCs/>
                <w:color w:val="auto"/>
                <w:szCs w:val="21"/>
              </w:rPr>
              <w:t>3.排污口规范化要求</w:t>
            </w:r>
          </w:p>
          <w:p>
            <w:pPr>
              <w:adjustRightInd w:val="0"/>
              <w:snapToGrid w:val="0"/>
              <w:spacing w:line="360" w:lineRule="exact"/>
              <w:ind w:firstLine="480" w:firstLineChars="200"/>
              <w:rPr>
                <w:color w:val="auto"/>
                <w:szCs w:val="21"/>
              </w:rPr>
            </w:pPr>
            <w:r>
              <w:rPr>
                <w:color w:val="auto"/>
                <w:szCs w:val="21"/>
              </w:rPr>
              <w:t>①废水、各废气排气筒预留</w:t>
            </w:r>
            <w:r>
              <w:rPr>
                <w:rFonts w:hint="eastAsia"/>
                <w:color w:val="auto"/>
                <w:szCs w:val="21"/>
                <w:lang w:eastAsia="zh-CN"/>
              </w:rPr>
              <w:t>检测</w:t>
            </w:r>
            <w:r>
              <w:rPr>
                <w:color w:val="auto"/>
                <w:szCs w:val="21"/>
              </w:rPr>
              <w:t>口并设立相应标志牌；</w:t>
            </w:r>
          </w:p>
          <w:p>
            <w:pPr>
              <w:adjustRightInd w:val="0"/>
              <w:snapToGrid w:val="0"/>
              <w:spacing w:line="360" w:lineRule="exact"/>
              <w:ind w:firstLine="480" w:firstLineChars="200"/>
              <w:rPr>
                <w:color w:val="auto"/>
                <w:szCs w:val="21"/>
              </w:rPr>
            </w:pPr>
            <w:r>
              <w:rPr>
                <w:color w:val="auto"/>
                <w:szCs w:val="21"/>
              </w:rPr>
              <w:t>②按照《固定源废气监测技术规范》要求设置采样口；</w:t>
            </w:r>
          </w:p>
          <w:p>
            <w:pPr>
              <w:adjustRightInd w:val="0"/>
              <w:snapToGrid w:val="0"/>
              <w:spacing w:line="360" w:lineRule="exact"/>
              <w:ind w:firstLine="480" w:firstLineChars="200"/>
              <w:rPr>
                <w:color w:val="auto"/>
                <w:szCs w:val="21"/>
              </w:rPr>
            </w:pPr>
            <w:r>
              <w:rPr>
                <w:color w:val="auto"/>
                <w:szCs w:val="21"/>
              </w:rPr>
              <w:t>③一般工业固废临时贮存仓库设立相应标志牌；危废仓库设立相应标志牌。</w:t>
            </w:r>
          </w:p>
          <w:p>
            <w:pPr>
              <w:adjustRightInd w:val="0"/>
              <w:snapToGrid w:val="0"/>
              <w:spacing w:line="360" w:lineRule="exact"/>
              <w:rPr>
                <w:b/>
                <w:bCs/>
                <w:color w:val="auto"/>
                <w:szCs w:val="21"/>
              </w:rPr>
            </w:pPr>
            <w:r>
              <w:rPr>
                <w:b/>
                <w:bCs/>
                <w:color w:val="auto"/>
                <w:szCs w:val="21"/>
              </w:rPr>
              <w:t>4.竣工验收</w:t>
            </w:r>
          </w:p>
          <w:p>
            <w:pPr>
              <w:adjustRightInd w:val="0"/>
              <w:snapToGrid w:val="0"/>
              <w:spacing w:line="360" w:lineRule="exact"/>
              <w:ind w:firstLine="480" w:firstLineChars="200"/>
              <w:rPr>
                <w:color w:val="auto"/>
                <w:szCs w:val="21"/>
              </w:rPr>
            </w:pPr>
            <w:r>
              <w:rPr>
                <w:color w:val="auto"/>
                <w:szCs w:val="21"/>
              </w:rPr>
              <w:t>根据《建设项目环境保护管理条例》（国务院第682号令）要求：建设项目需要配套建设的环境保护设施，必须与主体工程同时设计、同时施工、同时投产使用。建设单位应当按照国务院环境保护行政主管部门规定的标准和程序，对配套建设的环境保护设施进行验收，编制验收报告</w:t>
            </w:r>
            <w:r>
              <w:rPr>
                <w:rFonts w:hint="eastAsia"/>
                <w:color w:val="auto"/>
                <w:szCs w:val="21"/>
              </w:rPr>
              <w:t>。</w:t>
            </w:r>
          </w:p>
          <w:p>
            <w:pPr>
              <w:adjustRightInd w:val="0"/>
              <w:snapToGrid w:val="0"/>
              <w:spacing w:line="360" w:lineRule="exact"/>
              <w:ind w:firstLine="480" w:firstLineChars="200"/>
              <w:rPr>
                <w:color w:val="auto"/>
                <w:szCs w:val="21"/>
              </w:rPr>
            </w:pPr>
          </w:p>
          <w:p>
            <w:pPr>
              <w:adjustRightInd w:val="0"/>
              <w:snapToGrid w:val="0"/>
              <w:spacing w:line="360" w:lineRule="exact"/>
              <w:ind w:firstLine="480" w:firstLineChars="200"/>
              <w:rPr>
                <w:color w:val="auto"/>
                <w:szCs w:val="21"/>
              </w:rPr>
            </w:pPr>
          </w:p>
          <w:p>
            <w:pPr>
              <w:adjustRightInd w:val="0"/>
              <w:snapToGrid w:val="0"/>
              <w:spacing w:line="360" w:lineRule="exact"/>
              <w:ind w:firstLine="480" w:firstLineChars="200"/>
              <w:rPr>
                <w:color w:val="auto"/>
                <w:szCs w:val="21"/>
              </w:rPr>
            </w:pPr>
          </w:p>
          <w:p>
            <w:pPr>
              <w:adjustRightInd w:val="0"/>
              <w:snapToGrid w:val="0"/>
              <w:spacing w:line="360" w:lineRule="exact"/>
              <w:ind w:firstLine="480" w:firstLineChars="200"/>
              <w:rPr>
                <w:color w:val="auto"/>
                <w:szCs w:val="21"/>
              </w:rPr>
            </w:pPr>
          </w:p>
          <w:p>
            <w:pPr>
              <w:adjustRightInd w:val="0"/>
              <w:snapToGrid w:val="0"/>
              <w:spacing w:line="360" w:lineRule="exact"/>
              <w:ind w:firstLine="480" w:firstLineChars="200"/>
              <w:rPr>
                <w:color w:val="auto"/>
                <w:szCs w:val="21"/>
              </w:rPr>
            </w:pPr>
          </w:p>
          <w:p>
            <w:pPr>
              <w:pStyle w:val="33"/>
              <w:widowControl/>
              <w:kinsoku w:val="0"/>
              <w:autoSpaceDE w:val="0"/>
              <w:autoSpaceDN w:val="0"/>
              <w:adjustRightInd w:val="0"/>
              <w:snapToGrid w:val="0"/>
              <w:jc w:val="center"/>
              <w:textAlignment w:val="baseline"/>
              <w:rPr>
                <w:rFonts w:ascii="Times New Roman" w:hAnsi="Times New Roman" w:cs="Times New Roman"/>
                <w:color w:val="auto"/>
                <w:lang w:eastAsia="zh-CN"/>
              </w:rPr>
            </w:pPr>
          </w:p>
        </w:tc>
      </w:tr>
    </w:tbl>
    <w:p>
      <w:pPr>
        <w:rPr>
          <w:color w:val="auto"/>
        </w:rPr>
      </w:pPr>
      <w:r>
        <w:rPr>
          <w:color w:val="auto"/>
        </w:rPr>
        <w:br w:type="page"/>
      </w:r>
    </w:p>
    <w:p>
      <w:pPr>
        <w:pStyle w:val="3"/>
        <w:spacing w:before="0" w:after="0" w:line="360" w:lineRule="auto"/>
        <w:jc w:val="center"/>
        <w:rPr>
          <w:color w:val="auto"/>
        </w:rPr>
      </w:pPr>
      <w:bookmarkStart w:id="10" w:name="_Toc25253"/>
      <w:r>
        <w:rPr>
          <w:rFonts w:hint="eastAsia"/>
          <w:color w:val="auto"/>
        </w:rPr>
        <w:t>六、结论</w:t>
      </w:r>
      <w:bookmarkEnd w:id="10"/>
    </w:p>
    <w:tbl>
      <w:tblPr>
        <w:tblStyle w:val="23"/>
        <w:tblW w:w="9407"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40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640" w:hRule="atLeast"/>
          <w:jc w:val="center"/>
        </w:trPr>
        <w:tc>
          <w:tcPr>
            <w:tcW w:w="9407" w:type="dxa"/>
            <w:tcBorders>
              <w:tl2br w:val="nil"/>
              <w:tr2bl w:val="nil"/>
            </w:tcBorders>
            <w:vAlign w:val="center"/>
          </w:tcPr>
          <w:p>
            <w:pPr>
              <w:pStyle w:val="31"/>
              <w:bidi w:val="0"/>
              <w:rPr>
                <w:color w:val="auto"/>
                <w:lang w:eastAsia="zh-CN"/>
              </w:rPr>
            </w:pPr>
            <w:r>
              <w:rPr>
                <w:rFonts w:hint="eastAsia"/>
                <w:color w:val="auto"/>
                <w:lang w:eastAsia="zh-CN"/>
              </w:rPr>
              <w:t>本项目符合国家当前的产业政策，选址合理，项目运营期产生的废气、废水、噪声、固废等在采取评价提出的相应污染防治措施后，均可得到有效的治理或综合利用，实现达标排放。因此，本项目在严格落实评价提出的污染防治措施的前提下，从环保角度分析，本项目从环保角度分析可行。</w:t>
            </w:r>
          </w:p>
        </w:tc>
      </w:tr>
    </w:tbl>
    <w:p>
      <w:pPr>
        <w:rPr>
          <w:color w:val="auto"/>
        </w:rPr>
        <w:sectPr>
          <w:footerReference r:id="rId3" w:type="default"/>
          <w:pgSz w:w="11906" w:h="16838"/>
          <w:pgMar w:top="1440" w:right="1800" w:bottom="1440" w:left="1800" w:header="851" w:footer="992" w:gutter="0"/>
          <w:pgNumType w:start="1"/>
          <w:cols w:space="425" w:num="1"/>
          <w:docGrid w:type="lines" w:linePitch="312" w:charSpace="0"/>
        </w:sectPr>
      </w:pPr>
    </w:p>
    <w:p>
      <w:pPr>
        <w:spacing w:before="60" w:line="223" w:lineRule="auto"/>
        <w:ind w:left="64"/>
        <w:outlineLvl w:val="0"/>
        <w:rPr>
          <w:rFonts w:eastAsia="黑体"/>
          <w:color w:val="auto"/>
          <w:sz w:val="30"/>
          <w:szCs w:val="30"/>
        </w:rPr>
      </w:pPr>
      <w:bookmarkStart w:id="11" w:name="_Toc32561"/>
      <w:r>
        <w:rPr>
          <w:rFonts w:eastAsia="黑体"/>
          <w:color w:val="auto"/>
          <w:spacing w:val="-15"/>
          <w:sz w:val="30"/>
          <w:szCs w:val="30"/>
        </w:rPr>
        <w:t>附表</w:t>
      </w:r>
      <w:bookmarkEnd w:id="11"/>
    </w:p>
    <w:p>
      <w:pPr>
        <w:spacing w:before="135" w:line="187" w:lineRule="auto"/>
        <w:ind w:left="4575"/>
        <w:outlineLvl w:val="0"/>
        <w:rPr>
          <w:rFonts w:eastAsia="微软雅黑"/>
          <w:color w:val="auto"/>
          <w:sz w:val="37"/>
          <w:szCs w:val="37"/>
        </w:rPr>
      </w:pPr>
      <w:bookmarkStart w:id="12" w:name="_Toc9161"/>
      <w:r>
        <w:rPr>
          <w:rFonts w:eastAsia="微软雅黑"/>
          <w:color w:val="auto"/>
          <w:spacing w:val="9"/>
          <w:sz w:val="37"/>
          <w:szCs w:val="37"/>
        </w:rPr>
        <w:t>建设项目污染物排放量汇总表</w:t>
      </w:r>
      <w:bookmarkEnd w:id="12"/>
    </w:p>
    <w:tbl>
      <w:tblPr>
        <w:tblStyle w:val="32"/>
        <w:tblW w:w="14282"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
        <w:gridCol w:w="1712"/>
        <w:gridCol w:w="1581"/>
        <w:gridCol w:w="1064"/>
        <w:gridCol w:w="1633"/>
        <w:gridCol w:w="1783"/>
        <w:gridCol w:w="1753"/>
        <w:gridCol w:w="2261"/>
        <w:gridCol w:w="1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72" w:hRule="atLeast"/>
          <w:jc w:val="center"/>
        </w:trPr>
        <w:tc>
          <w:tcPr>
            <w:tcW w:w="937" w:type="dxa"/>
            <w:tcBorders>
              <w:top w:val="single" w:color="000000" w:sz="6" w:space="0"/>
              <w:left w:val="single" w:color="000000" w:sz="6" w:space="0"/>
              <w:tl2br w:val="single" w:color="000000" w:sz="4" w:space="0"/>
            </w:tcBorders>
            <w:vAlign w:val="center"/>
          </w:tcPr>
          <w:p>
            <w:pPr>
              <w:widowControl/>
              <w:kinsoku w:val="0"/>
              <w:autoSpaceDE w:val="0"/>
              <w:autoSpaceDN w:val="0"/>
              <w:adjustRightInd w:val="0"/>
              <w:snapToGrid w:val="0"/>
              <w:jc w:val="center"/>
              <w:textAlignment w:val="baseline"/>
              <w:rPr>
                <w:rFonts w:eastAsia="黑体"/>
                <w:color w:val="auto"/>
                <w:spacing w:val="-10"/>
                <w:sz w:val="22"/>
                <w:szCs w:val="22"/>
              </w:rPr>
            </w:pPr>
            <w:r>
              <w:rPr>
                <w:rFonts w:eastAsia="黑体"/>
                <w:color w:val="auto"/>
                <w:spacing w:val="-10"/>
                <w:sz w:val="22"/>
                <w:szCs w:val="22"/>
              </w:rPr>
              <w:t>项目</w:t>
            </w:r>
          </w:p>
          <w:p>
            <w:pPr>
              <w:widowControl/>
              <w:kinsoku w:val="0"/>
              <w:autoSpaceDE w:val="0"/>
              <w:autoSpaceDN w:val="0"/>
              <w:adjustRightInd w:val="0"/>
              <w:snapToGrid w:val="0"/>
              <w:jc w:val="center"/>
              <w:textAlignment w:val="baseline"/>
              <w:rPr>
                <w:rFonts w:eastAsia="黑体"/>
                <w:color w:val="auto"/>
                <w:sz w:val="22"/>
                <w:szCs w:val="22"/>
              </w:rPr>
            </w:pPr>
            <w:r>
              <w:rPr>
                <w:rFonts w:eastAsia="黑体"/>
                <w:color w:val="auto"/>
                <w:spacing w:val="-7"/>
                <w:sz w:val="22"/>
                <w:szCs w:val="22"/>
              </w:rPr>
              <w:t>分类</w:t>
            </w:r>
          </w:p>
        </w:tc>
        <w:tc>
          <w:tcPr>
            <w:tcW w:w="1712" w:type="dxa"/>
            <w:tcBorders>
              <w:top w:val="single" w:color="000000" w:sz="6" w:space="0"/>
            </w:tcBorders>
            <w:vAlign w:val="center"/>
          </w:tcPr>
          <w:p>
            <w:pPr>
              <w:widowControl/>
              <w:kinsoku w:val="0"/>
              <w:autoSpaceDE w:val="0"/>
              <w:autoSpaceDN w:val="0"/>
              <w:adjustRightInd w:val="0"/>
              <w:snapToGrid w:val="0"/>
              <w:jc w:val="center"/>
              <w:textAlignment w:val="baseline"/>
              <w:rPr>
                <w:rFonts w:eastAsia="黑体"/>
                <w:color w:val="auto"/>
                <w:sz w:val="22"/>
                <w:szCs w:val="22"/>
              </w:rPr>
            </w:pPr>
            <w:r>
              <w:rPr>
                <w:rFonts w:eastAsia="黑体"/>
                <w:color w:val="auto"/>
                <w:spacing w:val="-10"/>
                <w:sz w:val="22"/>
                <w:szCs w:val="22"/>
              </w:rPr>
              <w:t>污染物名称</w:t>
            </w:r>
          </w:p>
        </w:tc>
        <w:tc>
          <w:tcPr>
            <w:tcW w:w="1581" w:type="dxa"/>
            <w:tcBorders>
              <w:top w:val="single" w:color="000000" w:sz="6" w:space="0"/>
            </w:tcBorders>
            <w:vAlign w:val="center"/>
          </w:tcPr>
          <w:p>
            <w:pPr>
              <w:widowControl/>
              <w:kinsoku w:val="0"/>
              <w:autoSpaceDE w:val="0"/>
              <w:autoSpaceDN w:val="0"/>
              <w:adjustRightInd w:val="0"/>
              <w:snapToGrid w:val="0"/>
              <w:jc w:val="center"/>
              <w:textAlignment w:val="baseline"/>
              <w:rPr>
                <w:color w:val="auto"/>
                <w:sz w:val="22"/>
                <w:szCs w:val="22"/>
              </w:rPr>
            </w:pPr>
            <w:r>
              <w:rPr>
                <w:rFonts w:eastAsia="黑体"/>
                <w:color w:val="auto"/>
                <w:spacing w:val="-9"/>
                <w:sz w:val="22"/>
                <w:szCs w:val="22"/>
              </w:rPr>
              <w:t>现有工程</w:t>
            </w:r>
            <w:r>
              <w:rPr>
                <w:rFonts w:eastAsia="黑体"/>
                <w:color w:val="auto"/>
                <w:spacing w:val="-12"/>
                <w:sz w:val="22"/>
                <w:szCs w:val="22"/>
              </w:rPr>
              <w:t>排放量（固体废</w:t>
            </w:r>
            <w:r>
              <w:rPr>
                <w:rFonts w:eastAsia="黑体"/>
                <w:color w:val="auto"/>
                <w:spacing w:val="-11"/>
                <w:sz w:val="22"/>
                <w:szCs w:val="22"/>
              </w:rPr>
              <w:t>物产生量）</w:t>
            </w:r>
            <w:r>
              <w:rPr>
                <w:color w:val="auto"/>
                <w:spacing w:val="-11"/>
                <w:sz w:val="22"/>
                <w:szCs w:val="22"/>
              </w:rPr>
              <w:t>①</w:t>
            </w:r>
          </w:p>
        </w:tc>
        <w:tc>
          <w:tcPr>
            <w:tcW w:w="1064" w:type="dxa"/>
            <w:tcBorders>
              <w:top w:val="single" w:color="000000" w:sz="6" w:space="0"/>
            </w:tcBorders>
            <w:vAlign w:val="center"/>
          </w:tcPr>
          <w:p>
            <w:pPr>
              <w:widowControl/>
              <w:kinsoku w:val="0"/>
              <w:autoSpaceDE w:val="0"/>
              <w:autoSpaceDN w:val="0"/>
              <w:adjustRightInd w:val="0"/>
              <w:snapToGrid w:val="0"/>
              <w:jc w:val="center"/>
              <w:textAlignment w:val="baseline"/>
              <w:rPr>
                <w:rFonts w:eastAsia="黑体"/>
                <w:color w:val="auto"/>
                <w:sz w:val="22"/>
                <w:szCs w:val="22"/>
              </w:rPr>
            </w:pPr>
            <w:r>
              <w:rPr>
                <w:rFonts w:eastAsia="黑体"/>
                <w:color w:val="auto"/>
                <w:spacing w:val="-11"/>
                <w:sz w:val="22"/>
                <w:szCs w:val="22"/>
              </w:rPr>
              <w:t>现有工程许可排放</w:t>
            </w:r>
            <w:r>
              <w:rPr>
                <w:rFonts w:hint="eastAsia" w:eastAsia="黑体"/>
                <w:color w:val="auto"/>
                <w:spacing w:val="-11"/>
                <w:sz w:val="22"/>
                <w:szCs w:val="22"/>
              </w:rPr>
              <w:t>量②</w:t>
            </w:r>
          </w:p>
        </w:tc>
        <w:tc>
          <w:tcPr>
            <w:tcW w:w="1633" w:type="dxa"/>
            <w:tcBorders>
              <w:top w:val="single" w:color="000000" w:sz="6" w:space="0"/>
            </w:tcBorders>
            <w:vAlign w:val="center"/>
          </w:tcPr>
          <w:p>
            <w:pPr>
              <w:widowControl/>
              <w:kinsoku w:val="0"/>
              <w:autoSpaceDE w:val="0"/>
              <w:autoSpaceDN w:val="0"/>
              <w:adjustRightInd w:val="0"/>
              <w:snapToGrid w:val="0"/>
              <w:jc w:val="center"/>
              <w:textAlignment w:val="baseline"/>
              <w:rPr>
                <w:color w:val="auto"/>
                <w:sz w:val="22"/>
                <w:szCs w:val="22"/>
              </w:rPr>
            </w:pPr>
            <w:r>
              <w:rPr>
                <w:rFonts w:eastAsia="黑体"/>
                <w:color w:val="auto"/>
                <w:spacing w:val="-8"/>
                <w:sz w:val="22"/>
                <w:szCs w:val="22"/>
              </w:rPr>
              <w:t>在建工程</w:t>
            </w:r>
            <w:r>
              <w:rPr>
                <w:rFonts w:eastAsia="黑体"/>
                <w:color w:val="auto"/>
                <w:spacing w:val="-23"/>
                <w:sz w:val="22"/>
                <w:szCs w:val="22"/>
              </w:rPr>
              <w:t>排放</w:t>
            </w:r>
            <w:r>
              <w:rPr>
                <w:rFonts w:eastAsia="黑体"/>
                <w:color w:val="auto"/>
                <w:spacing w:val="-22"/>
                <w:sz w:val="22"/>
                <w:szCs w:val="22"/>
              </w:rPr>
              <w:t>量（固体废</w:t>
            </w:r>
            <w:r>
              <w:rPr>
                <w:rFonts w:eastAsia="黑体"/>
                <w:color w:val="auto"/>
                <w:spacing w:val="-12"/>
                <w:sz w:val="22"/>
                <w:szCs w:val="22"/>
              </w:rPr>
              <w:t>物</w:t>
            </w:r>
            <w:r>
              <w:rPr>
                <w:rFonts w:eastAsia="黑体"/>
                <w:color w:val="auto"/>
                <w:spacing w:val="-10"/>
                <w:sz w:val="22"/>
                <w:szCs w:val="22"/>
              </w:rPr>
              <w:t>产生量）</w:t>
            </w:r>
            <w:r>
              <w:rPr>
                <w:color w:val="auto"/>
                <w:spacing w:val="-10"/>
                <w:sz w:val="22"/>
                <w:szCs w:val="22"/>
              </w:rPr>
              <w:t>③</w:t>
            </w:r>
          </w:p>
        </w:tc>
        <w:tc>
          <w:tcPr>
            <w:tcW w:w="1783" w:type="dxa"/>
            <w:tcBorders>
              <w:top w:val="single" w:color="000000" w:sz="6" w:space="0"/>
            </w:tcBorders>
            <w:vAlign w:val="center"/>
          </w:tcPr>
          <w:p>
            <w:pPr>
              <w:widowControl/>
              <w:kinsoku w:val="0"/>
              <w:autoSpaceDE w:val="0"/>
              <w:autoSpaceDN w:val="0"/>
              <w:adjustRightInd w:val="0"/>
              <w:snapToGrid w:val="0"/>
              <w:jc w:val="center"/>
              <w:textAlignment w:val="baseline"/>
              <w:rPr>
                <w:color w:val="auto"/>
                <w:sz w:val="22"/>
                <w:szCs w:val="22"/>
              </w:rPr>
            </w:pPr>
            <w:r>
              <w:rPr>
                <w:rFonts w:eastAsia="黑体"/>
                <w:color w:val="auto"/>
                <w:spacing w:val="-7"/>
                <w:sz w:val="22"/>
                <w:szCs w:val="22"/>
              </w:rPr>
              <w:t>本项目</w:t>
            </w:r>
            <w:r>
              <w:rPr>
                <w:rFonts w:eastAsia="黑体"/>
                <w:color w:val="auto"/>
                <w:spacing w:val="-10"/>
                <w:sz w:val="22"/>
                <w:szCs w:val="22"/>
              </w:rPr>
              <w:t>排放量（固体废物产生量）</w:t>
            </w:r>
            <w:r>
              <w:rPr>
                <w:color w:val="auto"/>
                <w:spacing w:val="-10"/>
                <w:sz w:val="22"/>
                <w:szCs w:val="22"/>
              </w:rPr>
              <w:t>④</w:t>
            </w:r>
          </w:p>
        </w:tc>
        <w:tc>
          <w:tcPr>
            <w:tcW w:w="1753" w:type="dxa"/>
            <w:tcBorders>
              <w:top w:val="single" w:color="000000" w:sz="6"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z w:val="22"/>
                <w:szCs w:val="22"/>
                <w:lang w:eastAsia="zh-CN"/>
              </w:rPr>
            </w:pPr>
            <w:r>
              <w:rPr>
                <w:rFonts w:ascii="Times New Roman" w:hAnsi="Times New Roman" w:eastAsia="黑体" w:cs="Times New Roman"/>
                <w:color w:val="auto"/>
                <w:spacing w:val="-19"/>
                <w:w w:val="94"/>
                <w:sz w:val="22"/>
                <w:szCs w:val="22"/>
                <w:lang w:eastAsia="zh-CN"/>
              </w:rPr>
              <w:t>以新带老削减量</w:t>
            </w:r>
            <w:r>
              <w:rPr>
                <w:rFonts w:ascii="Times New Roman" w:hAnsi="Times New Roman" w:eastAsia="黑体" w:cs="Times New Roman"/>
                <w:color w:val="auto"/>
                <w:spacing w:val="-30"/>
                <w:w w:val="97"/>
                <w:sz w:val="22"/>
                <w:szCs w:val="22"/>
                <w:lang w:eastAsia="zh-CN"/>
              </w:rPr>
              <w:t>（</w:t>
            </w:r>
            <w:r>
              <w:rPr>
                <w:rFonts w:ascii="Times New Roman" w:hAnsi="Times New Roman" w:eastAsia="黑体" w:cs="Times New Roman"/>
                <w:color w:val="auto"/>
                <w:spacing w:val="-29"/>
                <w:w w:val="97"/>
                <w:sz w:val="22"/>
                <w:szCs w:val="22"/>
                <w:lang w:eastAsia="zh-CN"/>
              </w:rPr>
              <w:t>新建项目不填）</w:t>
            </w:r>
            <w:r>
              <w:rPr>
                <w:rFonts w:ascii="Times New Roman" w:hAnsi="Times New Roman" w:cs="Times New Roman"/>
                <w:color w:val="auto"/>
                <w:spacing w:val="-28"/>
                <w:w w:val="97"/>
                <w:sz w:val="22"/>
                <w:szCs w:val="22"/>
                <w:lang w:eastAsia="zh-CN"/>
              </w:rPr>
              <w:t>⑤</w:t>
            </w:r>
          </w:p>
        </w:tc>
        <w:tc>
          <w:tcPr>
            <w:tcW w:w="2261" w:type="dxa"/>
            <w:tcBorders>
              <w:top w:val="single" w:color="000000" w:sz="6" w:space="0"/>
            </w:tcBorders>
            <w:vAlign w:val="center"/>
          </w:tcPr>
          <w:p>
            <w:pPr>
              <w:widowControl/>
              <w:kinsoku w:val="0"/>
              <w:autoSpaceDE w:val="0"/>
              <w:autoSpaceDN w:val="0"/>
              <w:adjustRightInd w:val="0"/>
              <w:snapToGrid w:val="0"/>
              <w:jc w:val="center"/>
              <w:textAlignment w:val="baseline"/>
              <w:rPr>
                <w:color w:val="auto"/>
                <w:sz w:val="22"/>
                <w:szCs w:val="22"/>
              </w:rPr>
            </w:pPr>
            <w:r>
              <w:rPr>
                <w:rFonts w:eastAsia="黑体"/>
                <w:color w:val="auto"/>
                <w:spacing w:val="-23"/>
                <w:sz w:val="22"/>
                <w:szCs w:val="22"/>
              </w:rPr>
              <w:t>本项目建成后</w:t>
            </w:r>
            <w:r>
              <w:rPr>
                <w:rFonts w:eastAsia="黑体"/>
                <w:color w:val="auto"/>
                <w:spacing w:val="-18"/>
                <w:w w:val="92"/>
                <w:sz w:val="22"/>
                <w:szCs w:val="22"/>
              </w:rPr>
              <w:t>全厂排放量（固体废物产生</w:t>
            </w:r>
            <w:r>
              <w:rPr>
                <w:rFonts w:eastAsia="黑体"/>
                <w:color w:val="auto"/>
                <w:spacing w:val="-23"/>
                <w:sz w:val="22"/>
                <w:szCs w:val="22"/>
              </w:rPr>
              <w:t>量）</w:t>
            </w:r>
            <w:r>
              <w:rPr>
                <w:color w:val="auto"/>
                <w:spacing w:val="-23"/>
                <w:sz w:val="22"/>
                <w:szCs w:val="22"/>
              </w:rPr>
              <w:t>⑥</w:t>
            </w:r>
          </w:p>
        </w:tc>
        <w:tc>
          <w:tcPr>
            <w:tcW w:w="1558" w:type="dxa"/>
            <w:tcBorders>
              <w:top w:val="single" w:color="000000" w:sz="6" w:space="0"/>
              <w:right w:val="single" w:color="000000" w:sz="6"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z w:val="22"/>
                <w:szCs w:val="22"/>
              </w:rPr>
            </w:pPr>
            <w:r>
              <w:rPr>
                <w:rFonts w:ascii="Times New Roman" w:hAnsi="Times New Roman" w:eastAsia="黑体" w:cs="Times New Roman"/>
                <w:color w:val="auto"/>
                <w:spacing w:val="-13"/>
                <w:sz w:val="22"/>
                <w:szCs w:val="22"/>
              </w:rPr>
              <w:t>变化量</w:t>
            </w:r>
            <w:r>
              <w:rPr>
                <w:rFonts w:ascii="Times New Roman" w:hAnsi="Times New Roman" w:cs="Times New Roman"/>
                <w:color w:val="auto"/>
                <w:sz w:val="22"/>
                <w:szCs w:val="22"/>
              </w:rPr>
              <w:t>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jc w:val="center"/>
        </w:trPr>
        <w:tc>
          <w:tcPr>
            <w:tcW w:w="937" w:type="dxa"/>
            <w:vMerge w:val="restart"/>
            <w:tcBorders>
              <w:left w:val="single" w:color="000000" w:sz="6" w:space="0"/>
              <w:bottom w:val="nil"/>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z w:val="20"/>
                <w:szCs w:val="20"/>
              </w:rPr>
            </w:pPr>
            <w:r>
              <w:rPr>
                <w:rFonts w:ascii="Times New Roman" w:hAnsi="Times New Roman" w:cs="Times New Roman"/>
                <w:color w:val="auto"/>
                <w:spacing w:val="5"/>
                <w:sz w:val="20"/>
                <w:szCs w:val="20"/>
              </w:rPr>
              <w:t>废气</w:t>
            </w:r>
          </w:p>
        </w:tc>
        <w:tc>
          <w:tcPr>
            <w:tcW w:w="1712"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z w:val="20"/>
                <w:szCs w:val="20"/>
              </w:rPr>
            </w:pPr>
            <w:r>
              <w:rPr>
                <w:rFonts w:ascii="Times New Roman" w:hAnsi="Times New Roman" w:cs="Times New Roman"/>
                <w:color w:val="auto"/>
                <w:spacing w:val="7"/>
                <w:sz w:val="20"/>
                <w:szCs w:val="20"/>
              </w:rPr>
              <w:t>颗粒物</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color w:val="auto"/>
                <w:sz w:val="20"/>
                <w:szCs w:val="20"/>
              </w:rPr>
              <w:t>0.</w:t>
            </w:r>
            <w:r>
              <w:rPr>
                <w:rFonts w:hint="eastAsia"/>
                <w:color w:val="auto"/>
                <w:sz w:val="20"/>
                <w:szCs w:val="20"/>
                <w:lang w:val="en-US" w:eastAsia="zh-CN"/>
              </w:rPr>
              <w:t>0399</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color w:val="auto"/>
                <w:sz w:val="20"/>
                <w:szCs w:val="20"/>
              </w:rPr>
              <w:t>0.</w:t>
            </w:r>
            <w:r>
              <w:rPr>
                <w:rFonts w:hint="eastAsia"/>
                <w:color w:val="auto"/>
                <w:sz w:val="20"/>
                <w:szCs w:val="20"/>
                <w:lang w:val="en-US" w:eastAsia="zh-CN"/>
              </w:rPr>
              <w:t>0399</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color w:val="auto"/>
                <w:sz w:val="20"/>
                <w:szCs w:val="20"/>
                <w:lang w:val="en-US" w:eastAsia="zh-CN"/>
              </w:rPr>
              <w:t>+</w:t>
            </w:r>
            <w:r>
              <w:rPr>
                <w:rFonts w:hint="eastAsia"/>
                <w:color w:val="auto"/>
                <w:sz w:val="20"/>
                <w:szCs w:val="20"/>
              </w:rPr>
              <w:t>0.</w:t>
            </w:r>
            <w:r>
              <w:rPr>
                <w:rFonts w:hint="eastAsia"/>
                <w:color w:val="auto"/>
                <w:sz w:val="20"/>
                <w:szCs w:val="20"/>
                <w:lang w:val="en-US" w:eastAsia="zh-CN"/>
              </w:rPr>
              <w:t>0399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jc w:val="center"/>
        </w:trPr>
        <w:tc>
          <w:tcPr>
            <w:tcW w:w="937" w:type="dxa"/>
            <w:vMerge w:val="continue"/>
            <w:tcBorders>
              <w:top w:val="nil"/>
              <w:left w:val="single" w:color="000000" w:sz="6" w:space="0"/>
            </w:tcBorders>
            <w:vAlign w:val="center"/>
          </w:tcPr>
          <w:p>
            <w:pPr>
              <w:widowControl/>
              <w:kinsoku w:val="0"/>
              <w:autoSpaceDE w:val="0"/>
              <w:autoSpaceDN w:val="0"/>
              <w:adjustRightInd w:val="0"/>
              <w:snapToGrid w:val="0"/>
              <w:jc w:val="center"/>
              <w:textAlignment w:val="baseline"/>
              <w:rPr>
                <w:color w:val="auto"/>
                <w:sz w:val="21"/>
              </w:rPr>
            </w:pPr>
          </w:p>
        </w:tc>
        <w:tc>
          <w:tcPr>
            <w:tcW w:w="1712" w:type="dxa"/>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z w:val="20"/>
                <w:szCs w:val="20"/>
              </w:rPr>
            </w:pPr>
            <w:r>
              <w:rPr>
                <w:rFonts w:ascii="Times New Roman" w:hAnsi="Times New Roman" w:cs="Times New Roman"/>
                <w:color w:val="auto"/>
                <w:spacing w:val="7"/>
                <w:sz w:val="20"/>
                <w:szCs w:val="20"/>
              </w:rPr>
              <w:t>非甲烷总烃</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color w:val="auto"/>
                <w:sz w:val="20"/>
                <w:szCs w:val="20"/>
                <w:lang w:eastAsia="zh-CN"/>
              </w:rPr>
              <w:t>0.</w:t>
            </w:r>
            <w:r>
              <w:rPr>
                <w:rFonts w:hint="eastAsia"/>
                <w:color w:val="auto"/>
                <w:sz w:val="20"/>
                <w:szCs w:val="20"/>
                <w:lang w:val="en-US" w:eastAsia="zh-CN"/>
              </w:rPr>
              <w:t>0416</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color w:val="auto"/>
                <w:sz w:val="20"/>
                <w:szCs w:val="20"/>
                <w:lang w:eastAsia="zh-CN"/>
              </w:rPr>
              <w:t>0.</w:t>
            </w:r>
            <w:r>
              <w:rPr>
                <w:rFonts w:hint="eastAsia"/>
                <w:color w:val="auto"/>
                <w:sz w:val="20"/>
                <w:szCs w:val="20"/>
                <w:lang w:val="en-US" w:eastAsia="zh-CN"/>
              </w:rPr>
              <w:t>0416</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color w:val="auto"/>
                <w:sz w:val="20"/>
                <w:szCs w:val="20"/>
                <w:lang w:val="en-US" w:eastAsia="zh-CN"/>
              </w:rPr>
              <w:t>+</w:t>
            </w:r>
            <w:r>
              <w:rPr>
                <w:rFonts w:hint="eastAsia"/>
                <w:color w:val="auto"/>
                <w:sz w:val="20"/>
                <w:szCs w:val="20"/>
                <w:lang w:eastAsia="zh-CN"/>
              </w:rPr>
              <w:t>0.</w:t>
            </w:r>
            <w:r>
              <w:rPr>
                <w:rFonts w:hint="eastAsia"/>
                <w:color w:val="auto"/>
                <w:sz w:val="20"/>
                <w:szCs w:val="20"/>
                <w:lang w:val="en-US" w:eastAsia="zh-CN"/>
              </w:rPr>
              <w:t>0416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7" w:hRule="atLeast"/>
          <w:jc w:val="center"/>
        </w:trPr>
        <w:tc>
          <w:tcPr>
            <w:tcW w:w="937" w:type="dxa"/>
            <w:vMerge w:val="restart"/>
            <w:tcBorders>
              <w:left w:val="single" w:color="000000" w:sz="6" w:space="0"/>
              <w:bottom w:val="nil"/>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z w:val="20"/>
                <w:szCs w:val="20"/>
              </w:rPr>
            </w:pPr>
            <w:r>
              <w:rPr>
                <w:rFonts w:ascii="Times New Roman" w:hAnsi="Times New Roman" w:cs="Times New Roman"/>
                <w:color w:val="auto"/>
                <w:spacing w:val="5"/>
                <w:sz w:val="20"/>
                <w:szCs w:val="20"/>
              </w:rPr>
              <w:t>废水</w:t>
            </w:r>
          </w:p>
        </w:tc>
        <w:tc>
          <w:tcPr>
            <w:tcW w:w="1712" w:type="dxa"/>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eastAsia="Times New Roman"/>
                <w:color w:val="auto"/>
                <w:spacing w:val="3"/>
                <w:sz w:val="20"/>
                <w:szCs w:val="20"/>
              </w:rPr>
              <w:t>COD</w:t>
            </w:r>
          </w:p>
        </w:tc>
        <w:tc>
          <w:tcPr>
            <w:tcW w:w="1581" w:type="dxa"/>
            <w:vAlign w:val="center"/>
          </w:tcPr>
          <w:p>
            <w:pPr>
              <w:widowControl/>
              <w:kinsoku w:val="0"/>
              <w:autoSpaceDE w:val="0"/>
              <w:autoSpaceDN w:val="0"/>
              <w:adjustRightInd w:val="0"/>
              <w:snapToGrid w:val="0"/>
              <w:jc w:val="center"/>
              <w:textAlignment w:val="baseline"/>
              <w:rPr>
                <w:color w:val="auto"/>
                <w:sz w:val="20"/>
              </w:rPr>
            </w:pPr>
          </w:p>
        </w:tc>
        <w:tc>
          <w:tcPr>
            <w:tcW w:w="1064" w:type="dxa"/>
            <w:vAlign w:val="center"/>
          </w:tcPr>
          <w:p>
            <w:pPr>
              <w:widowControl/>
              <w:kinsoku w:val="0"/>
              <w:autoSpaceDE w:val="0"/>
              <w:autoSpaceDN w:val="0"/>
              <w:adjustRightInd w:val="0"/>
              <w:snapToGrid w:val="0"/>
              <w:jc w:val="center"/>
              <w:textAlignment w:val="baseline"/>
              <w:rPr>
                <w:color w:val="auto"/>
                <w:sz w:val="20"/>
              </w:rPr>
            </w:pPr>
          </w:p>
        </w:tc>
        <w:tc>
          <w:tcPr>
            <w:tcW w:w="1633" w:type="dxa"/>
            <w:vAlign w:val="center"/>
          </w:tcPr>
          <w:p>
            <w:pPr>
              <w:widowControl/>
              <w:kinsoku w:val="0"/>
              <w:autoSpaceDE w:val="0"/>
              <w:autoSpaceDN w:val="0"/>
              <w:adjustRightInd w:val="0"/>
              <w:snapToGrid w:val="0"/>
              <w:jc w:val="center"/>
              <w:textAlignment w:val="baseline"/>
              <w:rPr>
                <w:color w:val="auto"/>
                <w:sz w:val="20"/>
              </w:rPr>
            </w:pPr>
          </w:p>
        </w:tc>
        <w:tc>
          <w:tcPr>
            <w:tcW w:w="1783" w:type="dxa"/>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color w:val="auto"/>
                <w:sz w:val="20"/>
                <w:szCs w:val="20"/>
              </w:rPr>
              <w:t>0.0</w:t>
            </w:r>
            <w:r>
              <w:rPr>
                <w:rFonts w:hint="eastAsia"/>
                <w:color w:val="auto"/>
                <w:sz w:val="20"/>
                <w:szCs w:val="20"/>
                <w:lang w:val="en-US" w:eastAsia="zh-CN"/>
              </w:rPr>
              <w:t>211</w:t>
            </w:r>
          </w:p>
        </w:tc>
        <w:tc>
          <w:tcPr>
            <w:tcW w:w="1753" w:type="dxa"/>
            <w:vAlign w:val="center"/>
          </w:tcPr>
          <w:p>
            <w:pPr>
              <w:widowControl/>
              <w:kinsoku w:val="0"/>
              <w:autoSpaceDE w:val="0"/>
              <w:autoSpaceDN w:val="0"/>
              <w:adjustRightInd w:val="0"/>
              <w:snapToGrid w:val="0"/>
              <w:jc w:val="center"/>
              <w:textAlignment w:val="baseline"/>
              <w:rPr>
                <w:color w:val="auto"/>
                <w:sz w:val="20"/>
              </w:rPr>
            </w:pPr>
          </w:p>
        </w:tc>
        <w:tc>
          <w:tcPr>
            <w:tcW w:w="2261" w:type="dxa"/>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color w:val="auto"/>
                <w:sz w:val="20"/>
                <w:szCs w:val="20"/>
              </w:rPr>
              <w:t>0.0</w:t>
            </w:r>
            <w:r>
              <w:rPr>
                <w:rFonts w:hint="eastAsia"/>
                <w:color w:val="auto"/>
                <w:sz w:val="20"/>
                <w:szCs w:val="20"/>
                <w:lang w:val="en-US" w:eastAsia="zh-CN"/>
              </w:rPr>
              <w:t>211</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color w:val="auto"/>
                <w:sz w:val="20"/>
                <w:szCs w:val="20"/>
                <w:lang w:val="en-US" w:eastAsia="zh-CN"/>
              </w:rPr>
              <w:t>+</w:t>
            </w:r>
            <w:r>
              <w:rPr>
                <w:rFonts w:hint="eastAsia"/>
                <w:color w:val="auto"/>
                <w:sz w:val="20"/>
                <w:szCs w:val="20"/>
              </w:rPr>
              <w:t>0.0</w:t>
            </w:r>
            <w:r>
              <w:rPr>
                <w:rFonts w:hint="eastAsia"/>
                <w:color w:val="auto"/>
                <w:sz w:val="20"/>
                <w:szCs w:val="20"/>
                <w:lang w:val="en-US" w:eastAsia="zh-CN"/>
              </w:rPr>
              <w:t>211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6" w:hRule="atLeast"/>
          <w:jc w:val="center"/>
        </w:trPr>
        <w:tc>
          <w:tcPr>
            <w:tcW w:w="937" w:type="dxa"/>
            <w:vMerge w:val="continue"/>
            <w:tcBorders>
              <w:top w:val="nil"/>
              <w:left w:val="single" w:color="000000" w:sz="6" w:space="0"/>
              <w:bottom w:val="single" w:color="auto" w:sz="4" w:space="0"/>
            </w:tcBorders>
            <w:vAlign w:val="center"/>
          </w:tcPr>
          <w:p>
            <w:pPr>
              <w:widowControl/>
              <w:kinsoku w:val="0"/>
              <w:autoSpaceDE w:val="0"/>
              <w:autoSpaceDN w:val="0"/>
              <w:adjustRightInd w:val="0"/>
              <w:snapToGrid w:val="0"/>
              <w:jc w:val="center"/>
              <w:textAlignment w:val="baseline"/>
              <w:rPr>
                <w:color w:val="auto"/>
                <w:sz w:val="21"/>
              </w:rPr>
            </w:pPr>
          </w:p>
        </w:tc>
        <w:tc>
          <w:tcPr>
            <w:tcW w:w="1712" w:type="dxa"/>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eastAsia="Times New Roman"/>
                <w:color w:val="auto"/>
                <w:sz w:val="20"/>
                <w:szCs w:val="20"/>
              </w:rPr>
              <w:t>NH</w:t>
            </w:r>
            <w:r>
              <w:rPr>
                <w:rFonts w:eastAsia="Times New Roman"/>
                <w:color w:val="auto"/>
                <w:spacing w:val="9"/>
                <w:sz w:val="13"/>
                <w:szCs w:val="13"/>
              </w:rPr>
              <w:t>3</w:t>
            </w:r>
            <w:r>
              <w:rPr>
                <w:rFonts w:eastAsia="Times New Roman"/>
                <w:color w:val="auto"/>
                <w:spacing w:val="9"/>
                <w:sz w:val="20"/>
                <w:szCs w:val="20"/>
              </w:rPr>
              <w:t>-N</w:t>
            </w:r>
          </w:p>
        </w:tc>
        <w:tc>
          <w:tcPr>
            <w:tcW w:w="1581" w:type="dxa"/>
            <w:vAlign w:val="center"/>
          </w:tcPr>
          <w:p>
            <w:pPr>
              <w:widowControl/>
              <w:kinsoku w:val="0"/>
              <w:autoSpaceDE w:val="0"/>
              <w:autoSpaceDN w:val="0"/>
              <w:adjustRightInd w:val="0"/>
              <w:snapToGrid w:val="0"/>
              <w:jc w:val="center"/>
              <w:textAlignment w:val="baseline"/>
              <w:rPr>
                <w:color w:val="auto"/>
                <w:sz w:val="20"/>
              </w:rPr>
            </w:pPr>
          </w:p>
        </w:tc>
        <w:tc>
          <w:tcPr>
            <w:tcW w:w="1064" w:type="dxa"/>
            <w:vAlign w:val="center"/>
          </w:tcPr>
          <w:p>
            <w:pPr>
              <w:widowControl/>
              <w:kinsoku w:val="0"/>
              <w:autoSpaceDE w:val="0"/>
              <w:autoSpaceDN w:val="0"/>
              <w:adjustRightInd w:val="0"/>
              <w:snapToGrid w:val="0"/>
              <w:jc w:val="center"/>
              <w:textAlignment w:val="baseline"/>
              <w:rPr>
                <w:color w:val="auto"/>
                <w:sz w:val="20"/>
              </w:rPr>
            </w:pPr>
          </w:p>
        </w:tc>
        <w:tc>
          <w:tcPr>
            <w:tcW w:w="1633" w:type="dxa"/>
            <w:vAlign w:val="center"/>
          </w:tcPr>
          <w:p>
            <w:pPr>
              <w:widowControl/>
              <w:kinsoku w:val="0"/>
              <w:autoSpaceDE w:val="0"/>
              <w:autoSpaceDN w:val="0"/>
              <w:adjustRightInd w:val="0"/>
              <w:snapToGrid w:val="0"/>
              <w:jc w:val="center"/>
              <w:textAlignment w:val="baseline"/>
              <w:rPr>
                <w:color w:val="auto"/>
                <w:sz w:val="20"/>
              </w:rPr>
            </w:pPr>
          </w:p>
        </w:tc>
        <w:tc>
          <w:tcPr>
            <w:tcW w:w="1783" w:type="dxa"/>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color w:val="auto"/>
                <w:sz w:val="20"/>
                <w:szCs w:val="20"/>
              </w:rPr>
              <w:t>0.00</w:t>
            </w:r>
            <w:r>
              <w:rPr>
                <w:rFonts w:hint="eastAsia"/>
                <w:color w:val="auto"/>
                <w:sz w:val="20"/>
                <w:szCs w:val="20"/>
                <w:lang w:val="en-US" w:eastAsia="zh-CN"/>
              </w:rPr>
              <w:t>11</w:t>
            </w:r>
          </w:p>
        </w:tc>
        <w:tc>
          <w:tcPr>
            <w:tcW w:w="1753" w:type="dxa"/>
            <w:vAlign w:val="center"/>
          </w:tcPr>
          <w:p>
            <w:pPr>
              <w:widowControl/>
              <w:kinsoku w:val="0"/>
              <w:autoSpaceDE w:val="0"/>
              <w:autoSpaceDN w:val="0"/>
              <w:adjustRightInd w:val="0"/>
              <w:snapToGrid w:val="0"/>
              <w:jc w:val="center"/>
              <w:textAlignment w:val="baseline"/>
              <w:rPr>
                <w:color w:val="auto"/>
                <w:sz w:val="20"/>
              </w:rPr>
            </w:pPr>
          </w:p>
        </w:tc>
        <w:tc>
          <w:tcPr>
            <w:tcW w:w="2261" w:type="dxa"/>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color w:val="auto"/>
                <w:sz w:val="20"/>
                <w:szCs w:val="20"/>
              </w:rPr>
              <w:t>0.00</w:t>
            </w:r>
            <w:r>
              <w:rPr>
                <w:rFonts w:hint="eastAsia"/>
                <w:color w:val="auto"/>
                <w:sz w:val="20"/>
                <w:szCs w:val="20"/>
                <w:lang w:val="en-US" w:eastAsia="zh-CN"/>
              </w:rPr>
              <w:t>11</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color w:val="auto"/>
                <w:sz w:val="20"/>
                <w:szCs w:val="20"/>
                <w:lang w:val="en-US" w:eastAsia="zh-CN"/>
              </w:rPr>
              <w:t>+</w:t>
            </w:r>
            <w:r>
              <w:rPr>
                <w:rFonts w:hint="eastAsia"/>
                <w:color w:val="auto"/>
                <w:sz w:val="20"/>
                <w:szCs w:val="20"/>
              </w:rPr>
              <w:t>0.00</w:t>
            </w:r>
            <w:r>
              <w:rPr>
                <w:rFonts w:hint="eastAsia"/>
                <w:color w:val="auto"/>
                <w:sz w:val="20"/>
                <w:szCs w:val="20"/>
                <w:lang w:val="en-US" w:eastAsia="zh-CN"/>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937" w:type="dxa"/>
            <w:vMerge w:val="restart"/>
            <w:tcBorders>
              <w:top w:val="single" w:color="auto" w:sz="4" w:space="0"/>
              <w:left w:val="single" w:color="auto" w:sz="4" w:space="0"/>
              <w:bottom w:val="single" w:color="auto" w:sz="4" w:space="0"/>
              <w:right w:val="single" w:color="auto" w:sz="4"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z w:val="20"/>
                <w:szCs w:val="20"/>
              </w:rPr>
            </w:pPr>
            <w:r>
              <w:rPr>
                <w:rFonts w:ascii="Times New Roman" w:hAnsi="Times New Roman" w:cs="Times New Roman"/>
                <w:color w:val="auto"/>
                <w:spacing w:val="5"/>
                <w:sz w:val="20"/>
                <w:szCs w:val="20"/>
              </w:rPr>
              <w:t>一般工</w:t>
            </w:r>
            <w:r>
              <w:rPr>
                <w:rFonts w:ascii="Times New Roman" w:hAnsi="Times New Roman" w:cs="Times New Roman"/>
                <w:color w:val="auto"/>
                <w:spacing w:val="7"/>
                <w:sz w:val="20"/>
                <w:szCs w:val="20"/>
              </w:rPr>
              <w:t>业固体</w:t>
            </w:r>
            <w:r>
              <w:rPr>
                <w:rFonts w:ascii="Times New Roman" w:hAnsi="Times New Roman" w:cs="Times New Roman"/>
                <w:color w:val="auto"/>
                <w:spacing w:val="5"/>
                <w:sz w:val="20"/>
                <w:szCs w:val="20"/>
              </w:rPr>
              <w:t>废物</w:t>
            </w:r>
          </w:p>
        </w:tc>
        <w:tc>
          <w:tcPr>
            <w:tcW w:w="1712" w:type="dxa"/>
            <w:tcBorders>
              <w:left w:val="single" w:color="auto" w:sz="4" w:space="0"/>
            </w:tcBorders>
            <w:vAlign w:val="center"/>
          </w:tcPr>
          <w:p>
            <w:pPr>
              <w:pStyle w:val="33"/>
              <w:widowControl/>
              <w:kinsoku w:val="0"/>
              <w:autoSpaceDE w:val="0"/>
              <w:autoSpaceDN w:val="0"/>
              <w:adjustRightInd w:val="0"/>
              <w:snapToGrid w:val="0"/>
              <w:jc w:val="center"/>
              <w:textAlignment w:val="baseline"/>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pacing w:val="7"/>
                <w:sz w:val="20"/>
                <w:szCs w:val="20"/>
                <w:lang w:eastAsia="zh-CN"/>
              </w:rPr>
              <w:t>碎木屑、锯末及边角料</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widowControl/>
              <w:kinsoku w:val="0"/>
              <w:autoSpaceDE w:val="0"/>
              <w:autoSpaceDN w:val="0"/>
              <w:adjustRightInd w:val="0"/>
              <w:snapToGrid w:val="0"/>
              <w:jc w:val="center"/>
              <w:textAlignment w:val="baseline"/>
              <w:rPr>
                <w:rFonts w:hint="default" w:eastAsia="Times New Roman"/>
                <w:color w:val="auto"/>
                <w:sz w:val="20"/>
                <w:szCs w:val="20"/>
                <w:lang w:val="en-US"/>
              </w:rPr>
            </w:pPr>
            <w:r>
              <w:rPr>
                <w:rFonts w:hint="eastAsia"/>
                <w:color w:val="auto"/>
                <w:spacing w:val="-1"/>
                <w:sz w:val="20"/>
                <w:szCs w:val="20"/>
              </w:rPr>
              <w:t>0.</w:t>
            </w:r>
            <w:r>
              <w:rPr>
                <w:rFonts w:hint="eastAsia"/>
                <w:color w:val="auto"/>
                <w:spacing w:val="-1"/>
                <w:sz w:val="20"/>
                <w:szCs w:val="20"/>
                <w:lang w:val="en-US" w:eastAsia="zh-CN"/>
              </w:rPr>
              <w:t>27</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hint="default" w:eastAsia="Times New Roman"/>
                <w:color w:val="auto"/>
                <w:sz w:val="20"/>
                <w:szCs w:val="20"/>
                <w:lang w:val="en-US"/>
              </w:rPr>
            </w:pPr>
            <w:r>
              <w:rPr>
                <w:rFonts w:hint="eastAsia"/>
                <w:color w:val="auto"/>
                <w:spacing w:val="-1"/>
                <w:sz w:val="20"/>
                <w:szCs w:val="20"/>
              </w:rPr>
              <w:t>0.</w:t>
            </w:r>
            <w:r>
              <w:rPr>
                <w:rFonts w:hint="eastAsia"/>
                <w:color w:val="auto"/>
                <w:spacing w:val="-1"/>
                <w:sz w:val="20"/>
                <w:szCs w:val="20"/>
                <w:lang w:val="en-US" w:eastAsia="zh-CN"/>
              </w:rPr>
              <w:t>27</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hint="default" w:eastAsia="Times New Roman"/>
                <w:color w:val="auto"/>
                <w:sz w:val="20"/>
                <w:szCs w:val="20"/>
                <w:lang w:val="en-US"/>
              </w:rPr>
            </w:pPr>
            <w:r>
              <w:rPr>
                <w:rFonts w:hint="eastAsia"/>
                <w:color w:val="auto"/>
                <w:spacing w:val="-1"/>
                <w:sz w:val="20"/>
                <w:szCs w:val="20"/>
                <w:lang w:val="en-US" w:eastAsia="zh-CN"/>
              </w:rPr>
              <w:t>+</w:t>
            </w:r>
            <w:r>
              <w:rPr>
                <w:rFonts w:hint="eastAsia"/>
                <w:color w:val="auto"/>
                <w:spacing w:val="-1"/>
                <w:sz w:val="20"/>
                <w:szCs w:val="20"/>
              </w:rPr>
              <w:t>0.</w:t>
            </w:r>
            <w:r>
              <w:rPr>
                <w:rFonts w:hint="eastAsia"/>
                <w:color w:val="auto"/>
                <w:spacing w:val="-1"/>
                <w:sz w:val="20"/>
                <w:szCs w:val="20"/>
                <w:lang w:val="en-US" w:eastAsia="zh-CN"/>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937" w:type="dxa"/>
            <w:vMerge w:val="continue"/>
            <w:tcBorders>
              <w:top w:val="single" w:color="auto" w:sz="4" w:space="0"/>
              <w:left w:val="single" w:color="auto" w:sz="4" w:space="0"/>
              <w:bottom w:val="single" w:color="auto" w:sz="4" w:space="0"/>
              <w:right w:val="single" w:color="auto" w:sz="4"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pacing w:val="5"/>
                <w:sz w:val="20"/>
                <w:szCs w:val="20"/>
              </w:rPr>
            </w:pPr>
          </w:p>
        </w:tc>
        <w:tc>
          <w:tcPr>
            <w:tcW w:w="1712" w:type="dxa"/>
            <w:tcBorders>
              <w:left w:val="single" w:color="auto" w:sz="4" w:space="0"/>
            </w:tcBorders>
            <w:vAlign w:val="center"/>
          </w:tcPr>
          <w:p>
            <w:pPr>
              <w:pStyle w:val="33"/>
              <w:widowControl/>
              <w:kinsoku w:val="0"/>
              <w:autoSpaceDE w:val="0"/>
              <w:autoSpaceDN w:val="0"/>
              <w:adjustRightInd w:val="0"/>
              <w:snapToGrid w:val="0"/>
              <w:jc w:val="center"/>
              <w:textAlignment w:val="baseline"/>
              <w:rPr>
                <w:rFonts w:hint="default" w:ascii="Times New Roman" w:hAnsi="Times New Roman" w:eastAsia="宋体" w:cs="Times New Roman"/>
                <w:color w:val="auto"/>
                <w:spacing w:val="7"/>
                <w:sz w:val="20"/>
                <w:szCs w:val="20"/>
                <w:lang w:val="en-US" w:eastAsia="zh-CN"/>
              </w:rPr>
            </w:pPr>
            <w:r>
              <w:rPr>
                <w:rFonts w:hint="eastAsia" w:ascii="Times New Roman" w:hAnsi="Times New Roman" w:cs="Times New Roman"/>
                <w:color w:val="auto"/>
                <w:spacing w:val="7"/>
                <w:sz w:val="20"/>
                <w:szCs w:val="20"/>
                <w:lang w:val="en-US" w:eastAsia="zh-CN"/>
              </w:rPr>
              <w:t>废封边条</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widowControl/>
              <w:kinsoku w:val="0"/>
              <w:autoSpaceDE w:val="0"/>
              <w:autoSpaceDN w:val="0"/>
              <w:adjustRightInd w:val="0"/>
              <w:snapToGrid w:val="0"/>
              <w:jc w:val="center"/>
              <w:textAlignment w:val="baseline"/>
              <w:rPr>
                <w:rFonts w:hint="default" w:eastAsia="宋体"/>
                <w:color w:val="auto"/>
                <w:spacing w:val="-1"/>
                <w:sz w:val="20"/>
                <w:szCs w:val="20"/>
                <w:lang w:val="en-US" w:eastAsia="zh-CN"/>
              </w:rPr>
            </w:pPr>
            <w:r>
              <w:rPr>
                <w:rFonts w:hint="eastAsia"/>
                <w:color w:val="auto"/>
                <w:spacing w:val="-1"/>
                <w:sz w:val="20"/>
                <w:szCs w:val="20"/>
                <w:lang w:val="en-US" w:eastAsia="zh-CN"/>
              </w:rPr>
              <w:t>0.005</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hint="eastAsia"/>
                <w:color w:val="auto"/>
                <w:spacing w:val="-1"/>
                <w:sz w:val="20"/>
                <w:szCs w:val="20"/>
              </w:rPr>
            </w:pPr>
            <w:r>
              <w:rPr>
                <w:rFonts w:hint="eastAsia"/>
                <w:color w:val="auto"/>
                <w:spacing w:val="-1"/>
                <w:sz w:val="20"/>
                <w:szCs w:val="20"/>
                <w:lang w:val="en-US" w:eastAsia="zh-CN"/>
              </w:rPr>
              <w:t>0.005</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hint="eastAsia"/>
                <w:color w:val="auto"/>
                <w:sz w:val="20"/>
                <w:szCs w:val="20"/>
              </w:rPr>
            </w:pPr>
            <w:r>
              <w:rPr>
                <w:rFonts w:hint="eastAsia"/>
                <w:color w:val="auto"/>
                <w:spacing w:val="-1"/>
                <w:sz w:val="20"/>
                <w:szCs w:val="20"/>
                <w:lang w:val="en-US" w:eastAsia="zh-CN"/>
              </w:rPr>
              <w:t>+0.005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937" w:type="dxa"/>
            <w:vMerge w:val="continue"/>
            <w:tcBorders>
              <w:top w:val="single" w:color="auto" w:sz="4" w:space="0"/>
              <w:left w:val="single" w:color="auto" w:sz="4" w:space="0"/>
              <w:bottom w:val="single" w:color="auto" w:sz="4" w:space="0"/>
              <w:right w:val="single" w:color="auto" w:sz="4"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pacing w:val="5"/>
                <w:sz w:val="20"/>
                <w:szCs w:val="20"/>
              </w:rPr>
            </w:pPr>
          </w:p>
        </w:tc>
        <w:tc>
          <w:tcPr>
            <w:tcW w:w="1712" w:type="dxa"/>
            <w:tcBorders>
              <w:left w:val="single" w:color="auto" w:sz="4" w:space="0"/>
            </w:tcBorders>
            <w:vAlign w:val="center"/>
          </w:tcPr>
          <w:p>
            <w:pPr>
              <w:pStyle w:val="33"/>
              <w:widowControl/>
              <w:kinsoku w:val="0"/>
              <w:autoSpaceDE w:val="0"/>
              <w:autoSpaceDN w:val="0"/>
              <w:adjustRightInd w:val="0"/>
              <w:snapToGrid w:val="0"/>
              <w:jc w:val="center"/>
              <w:textAlignment w:val="baseline"/>
              <w:rPr>
                <w:rFonts w:hint="default" w:ascii="Times New Roman" w:hAnsi="Times New Roman" w:cs="Times New Roman"/>
                <w:color w:val="auto"/>
                <w:spacing w:val="7"/>
                <w:sz w:val="20"/>
                <w:szCs w:val="20"/>
                <w:lang w:val="en-US" w:eastAsia="zh-CN"/>
              </w:rPr>
            </w:pPr>
            <w:r>
              <w:rPr>
                <w:rFonts w:hint="eastAsia" w:ascii="Times New Roman" w:hAnsi="Times New Roman" w:cs="Times New Roman"/>
                <w:color w:val="auto"/>
                <w:spacing w:val="7"/>
                <w:sz w:val="20"/>
                <w:szCs w:val="20"/>
                <w:lang w:val="en-US" w:eastAsia="zh-CN"/>
              </w:rPr>
              <w:t>废海绵边角料</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widowControl/>
              <w:kinsoku w:val="0"/>
              <w:autoSpaceDE w:val="0"/>
              <w:autoSpaceDN w:val="0"/>
              <w:adjustRightInd w:val="0"/>
              <w:snapToGrid w:val="0"/>
              <w:jc w:val="center"/>
              <w:textAlignment w:val="baseline"/>
              <w:rPr>
                <w:rFonts w:hint="default"/>
                <w:color w:val="auto"/>
                <w:spacing w:val="-1"/>
                <w:sz w:val="20"/>
                <w:szCs w:val="20"/>
                <w:lang w:val="en-US" w:eastAsia="zh-CN"/>
              </w:rPr>
            </w:pPr>
            <w:r>
              <w:rPr>
                <w:rFonts w:hint="eastAsia"/>
                <w:color w:val="auto"/>
                <w:spacing w:val="-1"/>
                <w:sz w:val="20"/>
                <w:szCs w:val="20"/>
                <w:lang w:val="en-US" w:eastAsia="zh-CN"/>
              </w:rPr>
              <w:t>1</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hint="default"/>
                <w:color w:val="auto"/>
                <w:spacing w:val="-1"/>
                <w:sz w:val="20"/>
                <w:szCs w:val="20"/>
                <w:lang w:val="en-US" w:eastAsia="zh-CN"/>
              </w:rPr>
            </w:pPr>
            <w:r>
              <w:rPr>
                <w:rFonts w:hint="eastAsia"/>
                <w:color w:val="auto"/>
                <w:spacing w:val="-1"/>
                <w:sz w:val="20"/>
                <w:szCs w:val="20"/>
                <w:lang w:val="en-US" w:eastAsia="zh-CN"/>
              </w:rPr>
              <w:t>1</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hint="default"/>
                <w:color w:val="auto"/>
                <w:spacing w:val="-1"/>
                <w:sz w:val="20"/>
                <w:szCs w:val="20"/>
                <w:lang w:val="en-US" w:eastAsia="zh-CN"/>
              </w:rPr>
            </w:pPr>
            <w:r>
              <w:rPr>
                <w:rFonts w:hint="eastAsia"/>
                <w:color w:val="auto"/>
                <w:spacing w:val="-1"/>
                <w:sz w:val="20"/>
                <w:szCs w:val="20"/>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937" w:type="dxa"/>
            <w:vMerge w:val="continue"/>
            <w:tcBorders>
              <w:top w:val="single" w:color="auto" w:sz="4" w:space="0"/>
              <w:left w:val="single" w:color="auto" w:sz="4" w:space="0"/>
              <w:bottom w:val="single" w:color="auto" w:sz="4" w:space="0"/>
              <w:right w:val="single" w:color="auto" w:sz="4"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pacing w:val="5"/>
                <w:sz w:val="20"/>
                <w:szCs w:val="20"/>
              </w:rPr>
            </w:pPr>
          </w:p>
        </w:tc>
        <w:tc>
          <w:tcPr>
            <w:tcW w:w="1712" w:type="dxa"/>
            <w:tcBorders>
              <w:left w:val="single" w:color="auto" w:sz="4" w:space="0"/>
            </w:tcBorders>
            <w:shd w:val="clear" w:color="auto" w:fill="auto"/>
            <w:vAlign w:val="center"/>
          </w:tcPr>
          <w:p>
            <w:pPr>
              <w:pStyle w:val="33"/>
              <w:widowControl/>
              <w:kinsoku w:val="0"/>
              <w:autoSpaceDE w:val="0"/>
              <w:autoSpaceDN w:val="0"/>
              <w:adjustRightInd w:val="0"/>
              <w:snapToGrid w:val="0"/>
              <w:jc w:val="center"/>
              <w:textAlignment w:val="baseline"/>
              <w:rPr>
                <w:rFonts w:ascii="Times New Roman" w:hAnsi="Times New Roman" w:eastAsia="宋体" w:cs="Times New Roman"/>
                <w:color w:val="auto"/>
                <w:kern w:val="2"/>
                <w:sz w:val="20"/>
                <w:szCs w:val="20"/>
                <w:lang w:val="en-US" w:eastAsia="en-US" w:bidi="ar-SA"/>
              </w:rPr>
            </w:pPr>
            <w:r>
              <w:rPr>
                <w:rFonts w:ascii="Times New Roman" w:hAnsi="Times New Roman" w:cs="Times New Roman"/>
                <w:color w:val="auto"/>
                <w:spacing w:val="5"/>
                <w:sz w:val="20"/>
                <w:szCs w:val="20"/>
              </w:rPr>
              <w:t>收集粉尘</w:t>
            </w:r>
          </w:p>
        </w:tc>
        <w:tc>
          <w:tcPr>
            <w:tcW w:w="1581" w:type="dxa"/>
            <w:shd w:val="clear" w:color="auto" w:fill="auto"/>
            <w:vAlign w:val="center"/>
          </w:tcPr>
          <w:p>
            <w:pPr>
              <w:widowControl/>
              <w:kinsoku w:val="0"/>
              <w:autoSpaceDE w:val="0"/>
              <w:autoSpaceDN w:val="0"/>
              <w:adjustRightInd w:val="0"/>
              <w:snapToGrid w:val="0"/>
              <w:jc w:val="center"/>
              <w:textAlignment w:val="baseline"/>
              <w:rPr>
                <w:rFonts w:ascii="Times New Roman" w:hAnsi="Times New Roman" w:eastAsia="宋体" w:cs="Times New Roman"/>
                <w:color w:val="auto"/>
                <w:kern w:val="2"/>
                <w:sz w:val="21"/>
                <w:szCs w:val="24"/>
                <w:lang w:val="en-US" w:eastAsia="zh-CN" w:bidi="ar-SA"/>
              </w:rPr>
            </w:pPr>
          </w:p>
        </w:tc>
        <w:tc>
          <w:tcPr>
            <w:tcW w:w="1064" w:type="dxa"/>
            <w:shd w:val="clear" w:color="auto" w:fill="auto"/>
            <w:vAlign w:val="center"/>
          </w:tcPr>
          <w:p>
            <w:pPr>
              <w:widowControl/>
              <w:kinsoku w:val="0"/>
              <w:autoSpaceDE w:val="0"/>
              <w:autoSpaceDN w:val="0"/>
              <w:adjustRightInd w:val="0"/>
              <w:snapToGrid w:val="0"/>
              <w:jc w:val="center"/>
              <w:textAlignment w:val="baseline"/>
              <w:rPr>
                <w:rFonts w:ascii="Times New Roman" w:hAnsi="Times New Roman" w:eastAsia="宋体" w:cs="Times New Roman"/>
                <w:color w:val="auto"/>
                <w:kern w:val="2"/>
                <w:sz w:val="21"/>
                <w:szCs w:val="24"/>
                <w:lang w:val="en-US" w:eastAsia="zh-CN" w:bidi="ar-SA"/>
              </w:rPr>
            </w:pPr>
          </w:p>
        </w:tc>
        <w:tc>
          <w:tcPr>
            <w:tcW w:w="1633" w:type="dxa"/>
            <w:shd w:val="clear" w:color="auto" w:fill="auto"/>
            <w:vAlign w:val="center"/>
          </w:tcPr>
          <w:p>
            <w:pPr>
              <w:widowControl/>
              <w:kinsoku w:val="0"/>
              <w:autoSpaceDE w:val="0"/>
              <w:autoSpaceDN w:val="0"/>
              <w:adjustRightInd w:val="0"/>
              <w:snapToGrid w:val="0"/>
              <w:jc w:val="center"/>
              <w:textAlignment w:val="baseline"/>
              <w:rPr>
                <w:rFonts w:ascii="Times New Roman" w:hAnsi="Times New Roman" w:eastAsia="宋体" w:cs="Times New Roman"/>
                <w:color w:val="auto"/>
                <w:kern w:val="2"/>
                <w:sz w:val="21"/>
                <w:szCs w:val="24"/>
                <w:lang w:val="en-US" w:eastAsia="zh-CN" w:bidi="ar-SA"/>
              </w:rPr>
            </w:pPr>
          </w:p>
        </w:tc>
        <w:tc>
          <w:tcPr>
            <w:tcW w:w="1783" w:type="dxa"/>
            <w:shd w:val="clear" w:color="auto" w:fill="auto"/>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color w:val="auto"/>
                <w:kern w:val="2"/>
                <w:sz w:val="20"/>
                <w:szCs w:val="20"/>
                <w:lang w:val="en-US" w:eastAsia="zh-CN" w:bidi="ar-SA"/>
              </w:rPr>
            </w:pPr>
            <w:r>
              <w:rPr>
                <w:rFonts w:hint="eastAsia"/>
                <w:color w:val="auto"/>
                <w:spacing w:val="3"/>
                <w:sz w:val="20"/>
                <w:szCs w:val="20"/>
              </w:rPr>
              <w:t>0.</w:t>
            </w:r>
            <w:r>
              <w:rPr>
                <w:rFonts w:hint="eastAsia"/>
                <w:color w:val="auto"/>
                <w:spacing w:val="3"/>
                <w:sz w:val="20"/>
                <w:szCs w:val="20"/>
                <w:lang w:val="en-US" w:eastAsia="zh-CN"/>
              </w:rPr>
              <w:t>297</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hint="eastAsia"/>
                <w:color w:val="auto"/>
                <w:spacing w:val="-1"/>
                <w:sz w:val="20"/>
                <w:szCs w:val="20"/>
              </w:rPr>
            </w:pPr>
            <w:r>
              <w:rPr>
                <w:rFonts w:hint="eastAsia"/>
                <w:color w:val="auto"/>
                <w:spacing w:val="3"/>
                <w:sz w:val="20"/>
                <w:szCs w:val="20"/>
              </w:rPr>
              <w:t>0.</w:t>
            </w:r>
            <w:r>
              <w:rPr>
                <w:rFonts w:hint="eastAsia"/>
                <w:color w:val="auto"/>
                <w:spacing w:val="3"/>
                <w:sz w:val="20"/>
                <w:szCs w:val="20"/>
                <w:lang w:val="en-US" w:eastAsia="zh-CN"/>
              </w:rPr>
              <w:t>297</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hint="eastAsia"/>
                <w:color w:val="auto"/>
                <w:sz w:val="20"/>
                <w:szCs w:val="20"/>
              </w:rPr>
            </w:pPr>
            <w:r>
              <w:rPr>
                <w:rFonts w:hint="eastAsia"/>
                <w:color w:val="auto"/>
                <w:spacing w:val="3"/>
                <w:sz w:val="20"/>
                <w:szCs w:val="20"/>
                <w:lang w:val="en-US" w:eastAsia="zh-CN"/>
              </w:rPr>
              <w:t>+</w:t>
            </w:r>
            <w:r>
              <w:rPr>
                <w:rFonts w:hint="eastAsia"/>
                <w:color w:val="auto"/>
                <w:spacing w:val="3"/>
                <w:sz w:val="20"/>
                <w:szCs w:val="20"/>
              </w:rPr>
              <w:t>0.</w:t>
            </w:r>
            <w:r>
              <w:rPr>
                <w:rFonts w:hint="eastAsia"/>
                <w:color w:val="auto"/>
                <w:spacing w:val="3"/>
                <w:sz w:val="20"/>
                <w:szCs w:val="20"/>
                <w:lang w:val="en-US" w:eastAsia="zh-CN"/>
              </w:rPr>
              <w:t>297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937" w:type="dxa"/>
            <w:vMerge w:val="continue"/>
            <w:tcBorders>
              <w:top w:val="single" w:color="auto" w:sz="4" w:space="0"/>
              <w:left w:val="single" w:color="auto" w:sz="4" w:space="0"/>
              <w:bottom w:val="single" w:color="auto" w:sz="4" w:space="0"/>
              <w:right w:val="single" w:color="auto" w:sz="4"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pacing w:val="5"/>
                <w:sz w:val="20"/>
                <w:szCs w:val="20"/>
              </w:rPr>
            </w:pPr>
          </w:p>
        </w:tc>
        <w:tc>
          <w:tcPr>
            <w:tcW w:w="1712" w:type="dxa"/>
            <w:tcBorders>
              <w:left w:val="single" w:color="auto" w:sz="4" w:space="0"/>
            </w:tcBorders>
            <w:vAlign w:val="center"/>
          </w:tcPr>
          <w:p>
            <w:pPr>
              <w:pStyle w:val="33"/>
              <w:widowControl/>
              <w:kinsoku w:val="0"/>
              <w:autoSpaceDE w:val="0"/>
              <w:autoSpaceDN w:val="0"/>
              <w:adjustRightInd w:val="0"/>
              <w:snapToGrid w:val="0"/>
              <w:jc w:val="center"/>
              <w:textAlignment w:val="baseline"/>
              <w:rPr>
                <w:rFonts w:hint="default" w:ascii="Times New Roman" w:hAnsi="Times New Roman" w:eastAsia="宋体" w:cs="Times New Roman"/>
                <w:color w:val="auto"/>
                <w:spacing w:val="7"/>
                <w:sz w:val="20"/>
                <w:szCs w:val="20"/>
                <w:lang w:val="en-US" w:eastAsia="zh-CN"/>
              </w:rPr>
            </w:pPr>
            <w:r>
              <w:rPr>
                <w:rFonts w:hint="eastAsia" w:ascii="Times New Roman" w:hAnsi="Times New Roman" w:cs="Times New Roman"/>
                <w:color w:val="auto"/>
                <w:spacing w:val="7"/>
                <w:sz w:val="20"/>
                <w:szCs w:val="20"/>
                <w:lang w:val="en-US" w:eastAsia="zh-CN"/>
              </w:rPr>
              <w:t>废封边胶包装袋</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widowControl/>
              <w:kinsoku w:val="0"/>
              <w:autoSpaceDE w:val="0"/>
              <w:autoSpaceDN w:val="0"/>
              <w:adjustRightInd w:val="0"/>
              <w:snapToGrid w:val="0"/>
              <w:jc w:val="center"/>
              <w:textAlignment w:val="baseline"/>
              <w:rPr>
                <w:rFonts w:hint="default" w:eastAsia="宋体"/>
                <w:color w:val="auto"/>
                <w:spacing w:val="-1"/>
                <w:sz w:val="20"/>
                <w:szCs w:val="20"/>
                <w:lang w:val="en-US" w:eastAsia="zh-CN"/>
              </w:rPr>
            </w:pPr>
            <w:r>
              <w:rPr>
                <w:rFonts w:hint="eastAsia"/>
                <w:color w:val="auto"/>
                <w:spacing w:val="-1"/>
                <w:sz w:val="20"/>
                <w:szCs w:val="20"/>
                <w:lang w:val="en-US" w:eastAsia="zh-CN"/>
              </w:rPr>
              <w:t>0.02</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hint="eastAsia"/>
                <w:color w:val="auto"/>
                <w:spacing w:val="-1"/>
                <w:sz w:val="20"/>
                <w:szCs w:val="20"/>
              </w:rPr>
            </w:pPr>
            <w:r>
              <w:rPr>
                <w:rFonts w:hint="eastAsia"/>
                <w:color w:val="auto"/>
                <w:spacing w:val="-1"/>
                <w:sz w:val="20"/>
                <w:szCs w:val="20"/>
                <w:lang w:val="en-US" w:eastAsia="zh-CN"/>
              </w:rPr>
              <w:t>0.02</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hint="eastAsia"/>
                <w:color w:val="auto"/>
                <w:sz w:val="20"/>
                <w:szCs w:val="20"/>
              </w:rPr>
            </w:pPr>
            <w:r>
              <w:rPr>
                <w:rFonts w:hint="eastAsia"/>
                <w:color w:val="auto"/>
                <w:spacing w:val="-1"/>
                <w:sz w:val="20"/>
                <w:szCs w:val="20"/>
                <w:lang w:val="en-US" w:eastAsia="zh-CN"/>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color w:val="auto"/>
                <w:sz w:val="21"/>
              </w:rPr>
            </w:pPr>
          </w:p>
        </w:tc>
        <w:tc>
          <w:tcPr>
            <w:tcW w:w="1712" w:type="dxa"/>
            <w:tcBorders>
              <w:left w:val="single" w:color="auto" w:sz="4"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z w:val="20"/>
                <w:szCs w:val="20"/>
              </w:rPr>
            </w:pPr>
            <w:r>
              <w:rPr>
                <w:rFonts w:ascii="Times New Roman" w:hAnsi="Times New Roman" w:cs="Times New Roman"/>
                <w:color w:val="auto"/>
                <w:spacing w:val="8"/>
                <w:sz w:val="21"/>
                <w:szCs w:val="21"/>
              </w:rPr>
              <w:t>废包装箱</w:t>
            </w:r>
            <w:r>
              <w:rPr>
                <w:rFonts w:hint="eastAsia" w:ascii="Times New Roman" w:hAnsi="Times New Roman" w:cs="Times New Roman"/>
                <w:color w:val="auto"/>
                <w:spacing w:val="8"/>
                <w:sz w:val="21"/>
                <w:szCs w:val="21"/>
                <w:lang w:val="en-US" w:eastAsia="zh-CN"/>
              </w:rPr>
              <w:t>塑料膜</w:t>
            </w:r>
            <w:r>
              <w:rPr>
                <w:rFonts w:ascii="Times New Roman" w:hAnsi="Times New Roman" w:cs="Times New Roman"/>
                <w:color w:val="auto"/>
                <w:spacing w:val="8"/>
                <w:sz w:val="21"/>
                <w:szCs w:val="21"/>
              </w:rPr>
              <w:t>及泡沫</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eastAsia="宋体"/>
                <w:color w:val="auto"/>
                <w:sz w:val="20"/>
                <w:szCs w:val="20"/>
                <w:lang w:val="en-US" w:eastAsia="zh-CN"/>
              </w:rPr>
              <w:t>0.13</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eastAsia="宋体"/>
                <w:color w:val="auto"/>
                <w:sz w:val="20"/>
                <w:szCs w:val="20"/>
                <w:lang w:val="en-US" w:eastAsia="zh-CN"/>
              </w:rPr>
              <w:t>0.13</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color w:val="auto"/>
                <w:sz w:val="20"/>
                <w:szCs w:val="20"/>
                <w:lang w:val="en-US" w:eastAsia="zh-CN"/>
              </w:rPr>
              <w:t>+</w:t>
            </w:r>
            <w:r>
              <w:rPr>
                <w:rFonts w:hint="eastAsia" w:eastAsia="宋体"/>
                <w:color w:val="auto"/>
                <w:sz w:val="20"/>
                <w:szCs w:val="20"/>
                <w:lang w:val="en-US" w:eastAsia="zh-CN"/>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color w:val="auto"/>
                <w:sz w:val="21"/>
              </w:rPr>
            </w:pPr>
          </w:p>
        </w:tc>
        <w:tc>
          <w:tcPr>
            <w:tcW w:w="1712" w:type="dxa"/>
            <w:tcBorders>
              <w:left w:val="single" w:color="auto" w:sz="4"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pacing w:val="8"/>
                <w:sz w:val="21"/>
                <w:szCs w:val="21"/>
              </w:rPr>
            </w:pPr>
            <w:r>
              <w:rPr>
                <w:rFonts w:hint="eastAsia" w:ascii="Times New Roman" w:hAnsi="Times New Roman" w:cs="Times New Roman"/>
                <w:color w:val="auto"/>
                <w:spacing w:val="5"/>
                <w:sz w:val="20"/>
                <w:szCs w:val="20"/>
                <w:lang w:val="en-US" w:eastAsia="zh-CN"/>
              </w:rPr>
              <w:t>废胶桶（水性）</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jc w:val="center"/>
              <w:rPr>
                <w:rFonts w:hint="eastAsia" w:eastAsia="宋体"/>
                <w:color w:val="auto"/>
                <w:sz w:val="20"/>
                <w:szCs w:val="20"/>
                <w:lang w:val="en-US" w:eastAsia="zh-CN"/>
              </w:rPr>
            </w:pPr>
            <w:r>
              <w:rPr>
                <w:rFonts w:eastAsia="Times New Roman"/>
                <w:color w:val="auto"/>
                <w:spacing w:val="2"/>
                <w:sz w:val="21"/>
                <w:szCs w:val="21"/>
              </w:rPr>
              <w:t>0.</w:t>
            </w:r>
            <w:r>
              <w:rPr>
                <w:rFonts w:hint="eastAsia" w:eastAsia="宋体"/>
                <w:color w:val="auto"/>
                <w:spacing w:val="2"/>
                <w:sz w:val="21"/>
                <w:szCs w:val="21"/>
                <w:lang w:val="en-US" w:eastAsia="zh-CN"/>
              </w:rPr>
              <w:t>0</w:t>
            </w:r>
            <w:r>
              <w:rPr>
                <w:rFonts w:hint="eastAsia"/>
                <w:color w:val="auto"/>
                <w:spacing w:val="2"/>
                <w:sz w:val="21"/>
                <w:szCs w:val="21"/>
              </w:rPr>
              <w:t>12</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jc w:val="center"/>
              <w:rPr>
                <w:rFonts w:hint="eastAsia" w:eastAsia="宋体"/>
                <w:color w:val="auto"/>
                <w:sz w:val="20"/>
                <w:szCs w:val="20"/>
                <w:lang w:val="en-US" w:eastAsia="zh-CN"/>
              </w:rPr>
            </w:pPr>
            <w:r>
              <w:rPr>
                <w:rFonts w:eastAsia="Times New Roman"/>
                <w:color w:val="auto"/>
                <w:spacing w:val="2"/>
                <w:sz w:val="21"/>
                <w:szCs w:val="21"/>
              </w:rPr>
              <w:t>0.</w:t>
            </w:r>
            <w:r>
              <w:rPr>
                <w:rFonts w:hint="eastAsia" w:eastAsia="宋体"/>
                <w:color w:val="auto"/>
                <w:spacing w:val="2"/>
                <w:sz w:val="21"/>
                <w:szCs w:val="21"/>
                <w:lang w:val="en-US" w:eastAsia="zh-CN"/>
              </w:rPr>
              <w:t>0</w:t>
            </w:r>
            <w:r>
              <w:rPr>
                <w:rFonts w:hint="eastAsia"/>
                <w:color w:val="auto"/>
                <w:spacing w:val="2"/>
                <w:sz w:val="21"/>
                <w:szCs w:val="21"/>
              </w:rPr>
              <w:t>12</w:t>
            </w:r>
          </w:p>
        </w:tc>
        <w:tc>
          <w:tcPr>
            <w:tcW w:w="1558" w:type="dxa"/>
            <w:tcBorders>
              <w:right w:val="single" w:color="000000" w:sz="6" w:space="0"/>
            </w:tcBorders>
            <w:vAlign w:val="center"/>
          </w:tcPr>
          <w:p>
            <w:pPr>
              <w:jc w:val="center"/>
              <w:rPr>
                <w:rFonts w:hint="eastAsia"/>
                <w:color w:val="auto"/>
                <w:sz w:val="20"/>
                <w:szCs w:val="20"/>
                <w:lang w:val="en-US" w:eastAsia="zh-CN"/>
              </w:rPr>
            </w:pPr>
            <w:r>
              <w:rPr>
                <w:rFonts w:hint="eastAsia" w:eastAsia="宋体"/>
                <w:color w:val="auto"/>
                <w:spacing w:val="2"/>
                <w:sz w:val="21"/>
                <w:szCs w:val="21"/>
                <w:lang w:val="en-US" w:eastAsia="zh-CN"/>
              </w:rPr>
              <w:t>+</w:t>
            </w:r>
            <w:r>
              <w:rPr>
                <w:rFonts w:eastAsia="Times New Roman"/>
                <w:color w:val="auto"/>
                <w:spacing w:val="2"/>
                <w:sz w:val="21"/>
                <w:szCs w:val="21"/>
              </w:rPr>
              <w:t>0.</w:t>
            </w:r>
            <w:r>
              <w:rPr>
                <w:rFonts w:hint="eastAsia" w:eastAsia="宋体"/>
                <w:color w:val="auto"/>
                <w:spacing w:val="2"/>
                <w:sz w:val="21"/>
                <w:szCs w:val="21"/>
                <w:lang w:val="en-US" w:eastAsia="zh-CN"/>
              </w:rPr>
              <w:t>0</w:t>
            </w:r>
            <w:r>
              <w:rPr>
                <w:rFonts w:hint="eastAsia"/>
                <w:color w:val="auto"/>
                <w:spacing w:val="2"/>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jc w:val="center"/>
        </w:trPr>
        <w:tc>
          <w:tcPr>
            <w:tcW w:w="937" w:type="dxa"/>
            <w:vMerge w:val="restart"/>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eastAsia="宋体"/>
                <w:color w:val="auto"/>
                <w:sz w:val="21"/>
                <w:lang w:val="en-US" w:eastAsia="zh-CN"/>
              </w:rPr>
            </w:pPr>
            <w:r>
              <w:rPr>
                <w:rFonts w:hint="eastAsia"/>
                <w:color w:val="auto"/>
                <w:sz w:val="21"/>
                <w:lang w:val="en-US" w:eastAsia="zh-CN"/>
              </w:rPr>
              <w:t>危险废物</w:t>
            </w:r>
          </w:p>
        </w:tc>
        <w:tc>
          <w:tcPr>
            <w:tcW w:w="1712" w:type="dxa"/>
            <w:tcBorders>
              <w:left w:val="single" w:color="auto" w:sz="4" w:space="0"/>
            </w:tcBorders>
            <w:shd w:val="clear" w:color="auto" w:fill="auto"/>
            <w:vAlign w:val="center"/>
          </w:tcPr>
          <w:p>
            <w:pPr>
              <w:pStyle w:val="33"/>
              <w:widowControl/>
              <w:kinsoku w:val="0"/>
              <w:autoSpaceDE w:val="0"/>
              <w:autoSpaceDN w:val="0"/>
              <w:adjustRightInd w:val="0"/>
              <w:snapToGrid w:val="0"/>
              <w:jc w:val="center"/>
              <w:textAlignment w:val="baseline"/>
              <w:rPr>
                <w:rFonts w:ascii="Times New Roman" w:hAnsi="Times New Roman" w:eastAsia="宋体" w:cs="Times New Roman"/>
                <w:color w:val="auto"/>
                <w:spacing w:val="5"/>
                <w:kern w:val="2"/>
                <w:sz w:val="20"/>
                <w:szCs w:val="20"/>
                <w:lang w:val="en-US" w:eastAsia="en-US" w:bidi="ar-SA"/>
              </w:rPr>
            </w:pPr>
            <w:r>
              <w:rPr>
                <w:rFonts w:ascii="Times New Roman" w:hAnsi="Times New Roman" w:cs="Times New Roman"/>
                <w:color w:val="auto"/>
                <w:spacing w:val="5"/>
                <w:sz w:val="20"/>
                <w:szCs w:val="20"/>
              </w:rPr>
              <w:t>废机油</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widowControl/>
              <w:kinsoku w:val="0"/>
              <w:autoSpaceDE w:val="0"/>
              <w:autoSpaceDN w:val="0"/>
              <w:adjustRightInd w:val="0"/>
              <w:snapToGrid w:val="0"/>
              <w:jc w:val="center"/>
              <w:textAlignment w:val="baseline"/>
              <w:rPr>
                <w:rFonts w:hint="eastAsia" w:eastAsia="宋体"/>
                <w:color w:val="auto"/>
                <w:sz w:val="20"/>
                <w:szCs w:val="20"/>
                <w:lang w:eastAsia="zh-CN"/>
              </w:rPr>
            </w:pPr>
            <w:r>
              <w:rPr>
                <w:rFonts w:eastAsia="Times New Roman"/>
                <w:color w:val="auto"/>
                <w:spacing w:val="2"/>
                <w:sz w:val="20"/>
                <w:szCs w:val="20"/>
              </w:rPr>
              <w:t>0.0</w:t>
            </w:r>
            <w:r>
              <w:rPr>
                <w:rFonts w:hint="eastAsia" w:eastAsia="宋体"/>
                <w:color w:val="auto"/>
                <w:spacing w:val="2"/>
                <w:sz w:val="20"/>
                <w:szCs w:val="20"/>
                <w:lang w:val="en-US" w:eastAsia="zh-CN"/>
              </w:rPr>
              <w:t>5</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eastAsia="Times New Roman"/>
                <w:color w:val="auto"/>
                <w:spacing w:val="2"/>
                <w:sz w:val="20"/>
                <w:szCs w:val="20"/>
              </w:rPr>
              <w:t>0.0</w:t>
            </w:r>
            <w:r>
              <w:rPr>
                <w:rFonts w:hint="eastAsia" w:eastAsia="宋体"/>
                <w:color w:val="auto"/>
                <w:spacing w:val="2"/>
                <w:sz w:val="20"/>
                <w:szCs w:val="20"/>
                <w:lang w:val="en-US" w:eastAsia="zh-CN"/>
              </w:rPr>
              <w:t>5</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eastAsia="宋体"/>
                <w:color w:val="auto"/>
                <w:spacing w:val="2"/>
                <w:sz w:val="20"/>
                <w:szCs w:val="20"/>
                <w:lang w:val="en-US" w:eastAsia="zh-CN"/>
              </w:rPr>
              <w:t>+</w:t>
            </w:r>
            <w:r>
              <w:rPr>
                <w:rFonts w:eastAsia="Times New Roman"/>
                <w:color w:val="auto"/>
                <w:spacing w:val="2"/>
                <w:sz w:val="20"/>
                <w:szCs w:val="20"/>
              </w:rPr>
              <w:t>0.0</w:t>
            </w:r>
            <w:r>
              <w:rPr>
                <w:rFonts w:hint="eastAsia" w:eastAsia="宋体"/>
                <w:color w:val="auto"/>
                <w:spacing w:val="2"/>
                <w:sz w:val="20"/>
                <w:szCs w:val="20"/>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color w:val="auto"/>
                <w:sz w:val="21"/>
              </w:rPr>
            </w:pPr>
          </w:p>
        </w:tc>
        <w:tc>
          <w:tcPr>
            <w:tcW w:w="1712" w:type="dxa"/>
            <w:tcBorders>
              <w:left w:val="single" w:color="auto" w:sz="4" w:space="0"/>
            </w:tcBorders>
            <w:shd w:val="clear" w:color="auto" w:fill="auto"/>
            <w:vAlign w:val="center"/>
          </w:tcPr>
          <w:p>
            <w:pPr>
              <w:pStyle w:val="33"/>
              <w:widowControl/>
              <w:kinsoku w:val="0"/>
              <w:autoSpaceDE w:val="0"/>
              <w:autoSpaceDN w:val="0"/>
              <w:adjustRightInd w:val="0"/>
              <w:snapToGrid w:val="0"/>
              <w:jc w:val="center"/>
              <w:textAlignment w:val="baseline"/>
              <w:rPr>
                <w:rFonts w:ascii="Times New Roman" w:hAnsi="Times New Roman" w:eastAsia="宋体" w:cs="Times New Roman"/>
                <w:color w:val="auto"/>
                <w:spacing w:val="5"/>
                <w:kern w:val="2"/>
                <w:sz w:val="20"/>
                <w:szCs w:val="20"/>
                <w:lang w:val="en-US" w:eastAsia="en-US" w:bidi="ar-SA"/>
              </w:rPr>
            </w:pPr>
            <w:r>
              <w:rPr>
                <w:rFonts w:ascii="Times New Roman" w:hAnsi="Times New Roman" w:cs="Times New Roman"/>
                <w:color w:val="auto"/>
                <w:spacing w:val="5"/>
                <w:sz w:val="20"/>
                <w:szCs w:val="20"/>
              </w:rPr>
              <w:t>废液压油</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widowControl/>
              <w:kinsoku w:val="0"/>
              <w:autoSpaceDE w:val="0"/>
              <w:autoSpaceDN w:val="0"/>
              <w:adjustRightInd w:val="0"/>
              <w:snapToGrid w:val="0"/>
              <w:jc w:val="center"/>
              <w:textAlignment w:val="baseline"/>
              <w:rPr>
                <w:rFonts w:hint="default" w:eastAsia="宋体"/>
                <w:color w:val="auto"/>
                <w:sz w:val="20"/>
                <w:szCs w:val="20"/>
                <w:lang w:val="en-US" w:eastAsia="zh-CN"/>
              </w:rPr>
            </w:pPr>
            <w:r>
              <w:rPr>
                <w:rFonts w:hint="eastAsia" w:eastAsia="宋体"/>
                <w:color w:val="auto"/>
                <w:sz w:val="20"/>
                <w:szCs w:val="20"/>
                <w:lang w:val="en-US" w:eastAsia="zh-CN"/>
              </w:rPr>
              <w:t>0.05</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eastAsia="宋体"/>
                <w:color w:val="auto"/>
                <w:sz w:val="20"/>
                <w:szCs w:val="20"/>
                <w:lang w:val="en-US" w:eastAsia="zh-CN"/>
              </w:rPr>
              <w:t>0.05</w:t>
            </w:r>
          </w:p>
        </w:tc>
        <w:tc>
          <w:tcPr>
            <w:tcW w:w="1558" w:type="dxa"/>
            <w:tcBorders>
              <w:right w:val="single" w:color="000000" w:sz="6" w:space="0"/>
            </w:tcBorders>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color w:val="auto"/>
                <w:sz w:val="20"/>
                <w:szCs w:val="20"/>
                <w:lang w:val="en-US" w:eastAsia="zh-CN"/>
              </w:rPr>
              <w:t>+</w:t>
            </w:r>
            <w:r>
              <w:rPr>
                <w:rFonts w:hint="eastAsia" w:eastAsia="宋体"/>
                <w:color w:val="auto"/>
                <w:sz w:val="20"/>
                <w:szCs w:val="20"/>
                <w:lang w:val="en-US" w:eastAsia="zh-CN"/>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color w:val="auto"/>
                <w:sz w:val="21"/>
              </w:rPr>
            </w:pPr>
          </w:p>
        </w:tc>
        <w:tc>
          <w:tcPr>
            <w:tcW w:w="1712" w:type="dxa"/>
            <w:tcBorders>
              <w:left w:val="single" w:color="auto" w:sz="4"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pacing w:val="5"/>
                <w:sz w:val="20"/>
                <w:szCs w:val="20"/>
              </w:rPr>
            </w:pPr>
            <w:r>
              <w:rPr>
                <w:rFonts w:ascii="Times New Roman" w:hAnsi="Times New Roman" w:cs="Times New Roman"/>
                <w:color w:val="auto"/>
                <w:spacing w:val="5"/>
                <w:sz w:val="20"/>
                <w:szCs w:val="20"/>
              </w:rPr>
              <w:t>废活性炭</w:t>
            </w:r>
          </w:p>
        </w:tc>
        <w:tc>
          <w:tcPr>
            <w:tcW w:w="1581" w:type="dxa"/>
            <w:vAlign w:val="center"/>
          </w:tcPr>
          <w:p>
            <w:pPr>
              <w:widowControl/>
              <w:kinsoku w:val="0"/>
              <w:autoSpaceDE w:val="0"/>
              <w:autoSpaceDN w:val="0"/>
              <w:adjustRightInd w:val="0"/>
              <w:snapToGrid w:val="0"/>
              <w:jc w:val="center"/>
              <w:textAlignment w:val="baseline"/>
              <w:rPr>
                <w:color w:val="auto"/>
                <w:sz w:val="21"/>
              </w:rPr>
            </w:pPr>
          </w:p>
        </w:tc>
        <w:tc>
          <w:tcPr>
            <w:tcW w:w="1064" w:type="dxa"/>
            <w:vAlign w:val="center"/>
          </w:tcPr>
          <w:p>
            <w:pPr>
              <w:widowControl/>
              <w:kinsoku w:val="0"/>
              <w:autoSpaceDE w:val="0"/>
              <w:autoSpaceDN w:val="0"/>
              <w:adjustRightInd w:val="0"/>
              <w:snapToGrid w:val="0"/>
              <w:jc w:val="center"/>
              <w:textAlignment w:val="baseline"/>
              <w:rPr>
                <w:color w:val="auto"/>
                <w:sz w:val="21"/>
              </w:rPr>
            </w:pPr>
          </w:p>
        </w:tc>
        <w:tc>
          <w:tcPr>
            <w:tcW w:w="1633" w:type="dxa"/>
            <w:vAlign w:val="center"/>
          </w:tcPr>
          <w:p>
            <w:pPr>
              <w:widowControl/>
              <w:kinsoku w:val="0"/>
              <w:autoSpaceDE w:val="0"/>
              <w:autoSpaceDN w:val="0"/>
              <w:adjustRightInd w:val="0"/>
              <w:snapToGrid w:val="0"/>
              <w:jc w:val="center"/>
              <w:textAlignment w:val="baseline"/>
              <w:rPr>
                <w:color w:val="auto"/>
                <w:sz w:val="21"/>
              </w:rPr>
            </w:pPr>
          </w:p>
        </w:tc>
        <w:tc>
          <w:tcPr>
            <w:tcW w:w="1783" w:type="dxa"/>
            <w:vAlign w:val="center"/>
          </w:tcPr>
          <w:p>
            <w:pPr>
              <w:jc w:val="center"/>
              <w:rPr>
                <w:rFonts w:hint="default" w:eastAsia="宋体"/>
                <w:color w:val="auto"/>
                <w:sz w:val="20"/>
                <w:szCs w:val="20"/>
                <w:lang w:val="en-US" w:eastAsia="zh-CN"/>
              </w:rPr>
            </w:pPr>
            <w:r>
              <w:rPr>
                <w:rFonts w:hint="eastAsia" w:eastAsia="宋体"/>
                <w:color w:val="auto"/>
                <w:spacing w:val="-4"/>
                <w:sz w:val="21"/>
                <w:szCs w:val="21"/>
                <w:lang w:val="en-US" w:eastAsia="zh-CN"/>
              </w:rPr>
              <w:t>0.6</w:t>
            </w:r>
          </w:p>
        </w:tc>
        <w:tc>
          <w:tcPr>
            <w:tcW w:w="1753" w:type="dxa"/>
            <w:vAlign w:val="center"/>
          </w:tcPr>
          <w:p>
            <w:pPr>
              <w:widowControl/>
              <w:kinsoku w:val="0"/>
              <w:autoSpaceDE w:val="0"/>
              <w:autoSpaceDN w:val="0"/>
              <w:adjustRightInd w:val="0"/>
              <w:snapToGrid w:val="0"/>
              <w:jc w:val="center"/>
              <w:textAlignment w:val="baseline"/>
              <w:rPr>
                <w:color w:val="auto"/>
                <w:sz w:val="21"/>
              </w:rPr>
            </w:pPr>
          </w:p>
        </w:tc>
        <w:tc>
          <w:tcPr>
            <w:tcW w:w="2261" w:type="dxa"/>
            <w:vAlign w:val="center"/>
          </w:tcPr>
          <w:p>
            <w:pPr>
              <w:jc w:val="center"/>
              <w:rPr>
                <w:rFonts w:eastAsia="Times New Roman"/>
                <w:color w:val="auto"/>
                <w:sz w:val="20"/>
                <w:szCs w:val="20"/>
              </w:rPr>
            </w:pPr>
            <w:r>
              <w:rPr>
                <w:rFonts w:hint="eastAsia" w:eastAsia="宋体"/>
                <w:color w:val="auto"/>
                <w:spacing w:val="-4"/>
                <w:sz w:val="21"/>
                <w:szCs w:val="21"/>
                <w:lang w:val="en-US" w:eastAsia="zh-CN"/>
              </w:rPr>
              <w:t>0.6</w:t>
            </w:r>
          </w:p>
        </w:tc>
        <w:tc>
          <w:tcPr>
            <w:tcW w:w="1558" w:type="dxa"/>
            <w:tcBorders>
              <w:right w:val="single" w:color="000000" w:sz="6" w:space="0"/>
            </w:tcBorders>
            <w:vAlign w:val="center"/>
          </w:tcPr>
          <w:p>
            <w:pPr>
              <w:jc w:val="center"/>
              <w:rPr>
                <w:rFonts w:eastAsia="Times New Roman"/>
                <w:color w:val="auto"/>
                <w:sz w:val="20"/>
                <w:szCs w:val="20"/>
              </w:rPr>
            </w:pPr>
            <w:r>
              <w:rPr>
                <w:rFonts w:hint="eastAsia"/>
                <w:color w:val="auto"/>
                <w:spacing w:val="-4"/>
                <w:sz w:val="21"/>
                <w:szCs w:val="21"/>
                <w:lang w:val="en-US" w:eastAsia="zh-CN"/>
              </w:rPr>
              <w:t>+</w:t>
            </w:r>
            <w:r>
              <w:rPr>
                <w:rFonts w:hint="eastAsia" w:eastAsia="宋体"/>
                <w:color w:val="auto"/>
                <w:spacing w:val="-4"/>
                <w:sz w:val="21"/>
                <w:szCs w:val="21"/>
                <w:lang w:val="en-US" w:eastAsia="zh-CN"/>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jc w:val="center"/>
        </w:trPr>
        <w:tc>
          <w:tcPr>
            <w:tcW w:w="2649" w:type="dxa"/>
            <w:gridSpan w:val="2"/>
            <w:tcBorders>
              <w:left w:val="single" w:color="000000" w:sz="6" w:space="0"/>
              <w:bottom w:val="single" w:color="000000" w:sz="6" w:space="0"/>
            </w:tcBorders>
            <w:vAlign w:val="center"/>
          </w:tcPr>
          <w:p>
            <w:pPr>
              <w:pStyle w:val="33"/>
              <w:widowControl/>
              <w:kinsoku w:val="0"/>
              <w:autoSpaceDE w:val="0"/>
              <w:autoSpaceDN w:val="0"/>
              <w:adjustRightInd w:val="0"/>
              <w:snapToGrid w:val="0"/>
              <w:jc w:val="center"/>
              <w:textAlignment w:val="baseline"/>
              <w:rPr>
                <w:rFonts w:ascii="Times New Roman" w:hAnsi="Times New Roman" w:cs="Times New Roman"/>
                <w:color w:val="auto"/>
                <w:sz w:val="20"/>
                <w:szCs w:val="20"/>
              </w:rPr>
            </w:pPr>
            <w:r>
              <w:rPr>
                <w:rFonts w:ascii="Times New Roman" w:hAnsi="Times New Roman" w:cs="Times New Roman"/>
                <w:color w:val="auto"/>
                <w:spacing w:val="6"/>
                <w:sz w:val="20"/>
                <w:szCs w:val="20"/>
              </w:rPr>
              <w:t>生活垃圾</w:t>
            </w:r>
          </w:p>
        </w:tc>
        <w:tc>
          <w:tcPr>
            <w:tcW w:w="1581" w:type="dxa"/>
            <w:tcBorders>
              <w:bottom w:val="single" w:color="000000" w:sz="6" w:space="0"/>
            </w:tcBorders>
            <w:vAlign w:val="center"/>
          </w:tcPr>
          <w:p>
            <w:pPr>
              <w:widowControl/>
              <w:kinsoku w:val="0"/>
              <w:autoSpaceDE w:val="0"/>
              <w:autoSpaceDN w:val="0"/>
              <w:adjustRightInd w:val="0"/>
              <w:snapToGrid w:val="0"/>
              <w:jc w:val="center"/>
              <w:textAlignment w:val="baseline"/>
              <w:rPr>
                <w:color w:val="auto"/>
                <w:sz w:val="21"/>
              </w:rPr>
            </w:pPr>
          </w:p>
        </w:tc>
        <w:tc>
          <w:tcPr>
            <w:tcW w:w="1064" w:type="dxa"/>
            <w:tcBorders>
              <w:bottom w:val="single" w:color="000000" w:sz="6" w:space="0"/>
            </w:tcBorders>
            <w:vAlign w:val="center"/>
          </w:tcPr>
          <w:p>
            <w:pPr>
              <w:widowControl/>
              <w:kinsoku w:val="0"/>
              <w:autoSpaceDE w:val="0"/>
              <w:autoSpaceDN w:val="0"/>
              <w:adjustRightInd w:val="0"/>
              <w:snapToGrid w:val="0"/>
              <w:jc w:val="center"/>
              <w:textAlignment w:val="baseline"/>
              <w:rPr>
                <w:color w:val="auto"/>
                <w:sz w:val="21"/>
              </w:rPr>
            </w:pPr>
          </w:p>
        </w:tc>
        <w:tc>
          <w:tcPr>
            <w:tcW w:w="1633" w:type="dxa"/>
            <w:tcBorders>
              <w:bottom w:val="single" w:color="000000" w:sz="6" w:space="0"/>
            </w:tcBorders>
            <w:vAlign w:val="center"/>
          </w:tcPr>
          <w:p>
            <w:pPr>
              <w:widowControl/>
              <w:kinsoku w:val="0"/>
              <w:autoSpaceDE w:val="0"/>
              <w:autoSpaceDN w:val="0"/>
              <w:adjustRightInd w:val="0"/>
              <w:snapToGrid w:val="0"/>
              <w:jc w:val="center"/>
              <w:textAlignment w:val="baseline"/>
              <w:rPr>
                <w:color w:val="auto"/>
                <w:sz w:val="21"/>
              </w:rPr>
            </w:pPr>
          </w:p>
        </w:tc>
        <w:tc>
          <w:tcPr>
            <w:tcW w:w="1783" w:type="dxa"/>
            <w:tcBorders>
              <w:bottom w:val="single" w:color="000000" w:sz="6" w:space="0"/>
            </w:tcBorders>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color w:val="auto"/>
                <w:spacing w:val="1"/>
                <w:sz w:val="20"/>
                <w:szCs w:val="20"/>
              </w:rPr>
              <w:t>4.5</w:t>
            </w:r>
          </w:p>
        </w:tc>
        <w:tc>
          <w:tcPr>
            <w:tcW w:w="1753" w:type="dxa"/>
            <w:tcBorders>
              <w:bottom w:val="single" w:color="000000" w:sz="6" w:space="0"/>
            </w:tcBorders>
            <w:vAlign w:val="center"/>
          </w:tcPr>
          <w:p>
            <w:pPr>
              <w:widowControl/>
              <w:kinsoku w:val="0"/>
              <w:autoSpaceDE w:val="0"/>
              <w:autoSpaceDN w:val="0"/>
              <w:adjustRightInd w:val="0"/>
              <w:snapToGrid w:val="0"/>
              <w:jc w:val="center"/>
              <w:textAlignment w:val="baseline"/>
              <w:rPr>
                <w:color w:val="auto"/>
                <w:sz w:val="21"/>
              </w:rPr>
            </w:pPr>
          </w:p>
        </w:tc>
        <w:tc>
          <w:tcPr>
            <w:tcW w:w="2261" w:type="dxa"/>
            <w:tcBorders>
              <w:bottom w:val="single" w:color="000000" w:sz="6" w:space="0"/>
            </w:tcBorders>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color w:val="auto"/>
                <w:spacing w:val="1"/>
                <w:sz w:val="20"/>
                <w:szCs w:val="20"/>
              </w:rPr>
              <w:t>4.5</w:t>
            </w:r>
          </w:p>
        </w:tc>
        <w:tc>
          <w:tcPr>
            <w:tcW w:w="1558" w:type="dxa"/>
            <w:tcBorders>
              <w:bottom w:val="single" w:color="000000" w:sz="6" w:space="0"/>
              <w:right w:val="single" w:color="000000" w:sz="6" w:space="0"/>
            </w:tcBorders>
            <w:vAlign w:val="center"/>
          </w:tcPr>
          <w:p>
            <w:pPr>
              <w:widowControl/>
              <w:kinsoku w:val="0"/>
              <w:autoSpaceDE w:val="0"/>
              <w:autoSpaceDN w:val="0"/>
              <w:adjustRightInd w:val="0"/>
              <w:snapToGrid w:val="0"/>
              <w:jc w:val="center"/>
              <w:textAlignment w:val="baseline"/>
              <w:rPr>
                <w:rFonts w:eastAsia="Times New Roman"/>
                <w:color w:val="auto"/>
                <w:sz w:val="20"/>
                <w:szCs w:val="20"/>
              </w:rPr>
            </w:pPr>
            <w:r>
              <w:rPr>
                <w:rFonts w:hint="eastAsia"/>
                <w:color w:val="auto"/>
                <w:spacing w:val="1"/>
                <w:sz w:val="20"/>
                <w:szCs w:val="20"/>
                <w:lang w:val="en-US" w:eastAsia="zh-CN"/>
              </w:rPr>
              <w:t>+</w:t>
            </w:r>
            <w:r>
              <w:rPr>
                <w:rFonts w:hint="eastAsia"/>
                <w:color w:val="auto"/>
                <w:spacing w:val="1"/>
                <w:sz w:val="20"/>
                <w:szCs w:val="20"/>
              </w:rPr>
              <w:t>4.5</w:t>
            </w:r>
          </w:p>
        </w:tc>
      </w:tr>
    </w:tbl>
    <w:p>
      <w:pPr>
        <w:spacing w:before="15" w:line="281" w:lineRule="exact"/>
        <w:ind w:left="44"/>
        <w:rPr>
          <w:color w:val="auto"/>
        </w:rPr>
      </w:pPr>
      <w:r>
        <w:rPr>
          <w:color w:val="auto"/>
          <w:spacing w:val="1"/>
          <w:position w:val="1"/>
          <w:sz w:val="20"/>
          <w:szCs w:val="20"/>
        </w:rPr>
        <w:t>注：⑥</w:t>
      </w:r>
      <w:r>
        <w:rPr>
          <w:rFonts w:eastAsia="Times New Roman"/>
          <w:color w:val="auto"/>
          <w:spacing w:val="1"/>
          <w:position w:val="1"/>
          <w:sz w:val="20"/>
          <w:szCs w:val="20"/>
        </w:rPr>
        <w:t>=</w:t>
      </w:r>
      <w:r>
        <w:rPr>
          <w:color w:val="auto"/>
          <w:spacing w:val="1"/>
          <w:position w:val="1"/>
          <w:sz w:val="20"/>
          <w:szCs w:val="20"/>
        </w:rPr>
        <w:t>①</w:t>
      </w:r>
      <w:r>
        <w:rPr>
          <w:rFonts w:eastAsia="Times New Roman"/>
          <w:color w:val="auto"/>
          <w:spacing w:val="1"/>
          <w:position w:val="1"/>
          <w:sz w:val="20"/>
          <w:szCs w:val="20"/>
        </w:rPr>
        <w:t>+</w:t>
      </w:r>
      <w:r>
        <w:rPr>
          <w:color w:val="auto"/>
          <w:spacing w:val="1"/>
          <w:position w:val="1"/>
          <w:sz w:val="20"/>
          <w:szCs w:val="20"/>
        </w:rPr>
        <w:t>③</w:t>
      </w:r>
      <w:r>
        <w:rPr>
          <w:rFonts w:eastAsia="Times New Roman"/>
          <w:color w:val="auto"/>
          <w:spacing w:val="1"/>
          <w:position w:val="1"/>
          <w:sz w:val="20"/>
          <w:szCs w:val="20"/>
        </w:rPr>
        <w:t>+</w:t>
      </w:r>
      <w:r>
        <w:rPr>
          <w:color w:val="auto"/>
          <w:spacing w:val="1"/>
          <w:position w:val="1"/>
          <w:sz w:val="20"/>
          <w:szCs w:val="20"/>
        </w:rPr>
        <w:t>④</w:t>
      </w:r>
      <w:r>
        <w:rPr>
          <w:rFonts w:eastAsia="Times New Roman"/>
          <w:color w:val="auto"/>
          <w:spacing w:val="1"/>
          <w:position w:val="1"/>
          <w:sz w:val="20"/>
          <w:szCs w:val="20"/>
        </w:rPr>
        <w:t>-</w:t>
      </w:r>
      <w:r>
        <w:rPr>
          <w:color w:val="auto"/>
          <w:spacing w:val="1"/>
          <w:position w:val="1"/>
          <w:sz w:val="20"/>
          <w:szCs w:val="20"/>
        </w:rPr>
        <w:t>⑤;⑦</w:t>
      </w:r>
      <w:r>
        <w:rPr>
          <w:rFonts w:eastAsia="Times New Roman"/>
          <w:color w:val="auto"/>
          <w:spacing w:val="1"/>
          <w:position w:val="1"/>
          <w:sz w:val="20"/>
          <w:szCs w:val="20"/>
        </w:rPr>
        <w:t>=</w:t>
      </w:r>
      <w:r>
        <w:rPr>
          <w:color w:val="auto"/>
          <w:spacing w:val="1"/>
          <w:position w:val="1"/>
          <w:sz w:val="20"/>
          <w:szCs w:val="20"/>
        </w:rPr>
        <w:t>⑥</w:t>
      </w:r>
      <w:r>
        <w:rPr>
          <w:rFonts w:eastAsia="Times New Roman"/>
          <w:color w:val="auto"/>
          <w:spacing w:val="1"/>
          <w:position w:val="1"/>
          <w:sz w:val="20"/>
          <w:szCs w:val="20"/>
        </w:rPr>
        <w:t>-</w:t>
      </w:r>
      <w:r>
        <w:rPr>
          <w:color w:val="auto"/>
          <w:spacing w:val="1"/>
          <w:position w:val="1"/>
          <w:sz w:val="20"/>
          <w:szCs w:val="20"/>
        </w:rPr>
        <w:t>①</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41BBF6C-697A-47F7-B38E-76035B9FF566}"/>
  </w:font>
  <w:font w:name="黑体">
    <w:panose1 w:val="02010609060101010101"/>
    <w:charset w:val="86"/>
    <w:family w:val="auto"/>
    <w:pitch w:val="default"/>
    <w:sig w:usb0="800002BF" w:usb1="38CF7CFA" w:usb2="00000016" w:usb3="00000000" w:csb0="00040001" w:csb1="00000000"/>
    <w:embedRegular r:id="rId2" w:fontKey="{A9522066-F52E-430F-876E-9BF6EE2906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CIDFont+F3">
    <w:altName w:val="宋体"/>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TimesNewRomanPSMT">
    <w:altName w:val="Times New Roman"/>
    <w:panose1 w:val="00000000000000000000"/>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3" w:fontKey="{04D3A95A-19EC-41B8-9AB6-5C74222C7417}"/>
  </w:font>
  <w:font w:name="Wingdings 2">
    <w:panose1 w:val="05020102010507070707"/>
    <w:charset w:val="02"/>
    <w:family w:val="auto"/>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embedRegular r:id="rId4" w:fontKey="{49506184-7779-4639-93AD-A23E811FB239}"/>
  </w:font>
  <w:font w:name="仿宋_GB2312">
    <w:altName w:val="仿宋"/>
    <w:panose1 w:val="02010609030101010101"/>
    <w:charset w:val="86"/>
    <w:family w:val="auto"/>
    <w:pitch w:val="default"/>
    <w:sig w:usb0="00000000" w:usb1="00000000" w:usb2="00000000" w:usb3="00000000" w:csb0="00040000" w:csb1="00000000"/>
  </w:font>
  <w:font w:name="TimesNewRomanPS-BoldMT">
    <w:altName w:val="RomanS"/>
    <w:panose1 w:val="00000000000000000000"/>
    <w:charset w:val="00"/>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RomanS">
    <w:panose1 w:val="02000400000000000000"/>
    <w:charset w:val="00"/>
    <w:family w:val="auto"/>
    <w:pitch w:val="default"/>
    <w:sig w:usb0="00000207" w:usb1="00000000" w:usb2="00000000" w:usb3="00000000" w:csb0="000001FF" w:csb1="00000000"/>
  </w:font>
  <w:font w:name="Courier New">
    <w:panose1 w:val="02070309020205020404"/>
    <w:charset w:val="00"/>
    <w:family w:val="modern"/>
    <w:pitch w:val="default"/>
    <w:sig w:usb0="E0002AFF" w:usb1="C0007843" w:usb2="00000009" w:usb3="00000000" w:csb0="400001FF" w:csb1="FFFF0000"/>
  </w:font>
  <w:font w:name="Italic">
    <w:panose1 w:val="00000400000000000000"/>
    <w:charset w:val="00"/>
    <w:family w:val="auto"/>
    <w:pitch w:val="default"/>
    <w:sig w:usb0="00000207" w:usb1="00000000" w:usb2="00000000" w:usb3="00000000" w:csb0="000001FF" w:csb1="00000000"/>
  </w:font>
  <w:font w:name="华文中宋">
    <w:panose1 w:val="02010600040101010101"/>
    <w:charset w:val="86"/>
    <w:family w:val="auto"/>
    <w:pitch w:val="default"/>
    <w:sig w:usb0="00000287" w:usb1="080F0000" w:usb2="00000000" w:usb3="00000000" w:csb0="0004009F" w:csb1="DFD70000"/>
  </w:font>
  <w:font w:name="ËÎÌå">
    <w:altName w:val="Times New Roman"/>
    <w:panose1 w:val="00000000000000000000"/>
    <w:charset w:val="00"/>
    <w:family w:val="auto"/>
    <w:pitch w:val="default"/>
    <w:sig w:usb0="00000000" w:usb1="00000000" w:usb2="00000000" w:usb3="00000000" w:csb0="00000001" w:csb1="00000000"/>
  </w:font>
  <w:font w:name="等线">
    <w:altName w:val="RomanS"/>
    <w:panose1 w:val="00000000000000000000"/>
    <w:charset w:val="00"/>
    <w:family w:val="auto"/>
    <w:pitch w:val="default"/>
    <w:sig w:usb0="00000000" w:usb1="00000000" w:usb2="00000000" w:usb3="00000000" w:csb0="00000000" w:csb1="00000000"/>
  </w:font>
  <w:font w:name="等线 Light">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Calibri-Bold">
    <w:altName w:val="RomanS"/>
    <w:panose1 w:val="00000000000000000000"/>
    <w:charset w:val="00"/>
    <w:family w:val="auto"/>
    <w:pitch w:val="default"/>
    <w:sig w:usb0="00000000" w:usb1="00000000" w:usb2="00000000" w:usb3="00000000" w:csb0="00040001" w:csb1="00000000"/>
  </w:font>
  <w:font w:name="serif">
    <w:altName w:val="Calibr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Plotter">
    <w:altName w:val="Times New Roman"/>
    <w:panose1 w:val="00000000000000000000"/>
    <w:charset w:val="00"/>
    <w:family w:val="roman"/>
    <w:pitch w:val="default"/>
    <w:sig w:usb0="00000000" w:usb1="00000000" w:usb2="00000000" w:usb3="00000000" w:csb0="00000001"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Noto Sans CJK JP Regular">
    <w:altName w:val="RomanS"/>
    <w:panose1 w:val="00000000000000000000"/>
    <w:charset w:val="00"/>
    <w:family w:val="swiss"/>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汉鼎简书宋">
    <w:altName w:val="宋体"/>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TimesNewRoman">
    <w:altName w:val="Times New Roman"/>
    <w:panose1 w:val="00000000000000000000"/>
    <w:charset w:val="00"/>
    <w:family w:val="roman"/>
    <w:pitch w:val="default"/>
    <w:sig w:usb0="00000000" w:usb1="00000000" w:usb2="00000010" w:usb3="00000000" w:csb0="00060001" w:csb1="00000000"/>
  </w:font>
  <w:font w:name="Symusic">
    <w:panose1 w:val="00000400000000000000"/>
    <w:charset w:val="00"/>
    <w:family w:val="auto"/>
    <w:pitch w:val="default"/>
    <w:sig w:usb0="00000001" w:usb1="00000000" w:usb2="00000000" w:usb3="00000000" w:csb0="000001FF" w:csb1="00000000"/>
  </w:font>
  <w:font w:name="Times New Roman;Symbol;Arial;婼">
    <w:altName w:val="黑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幼圆">
    <w:panose1 w:val="0201050906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大标宋">
    <w:altName w:val="宋体"/>
    <w:panose1 w:val="00000000000000000000"/>
    <w:charset w:val="86"/>
    <w:family w:val="modern"/>
    <w:pitch w:val="default"/>
    <w:sig w:usb0="00000000" w:usb1="00000000" w:usb2="00000010" w:usb3="00000000" w:csb0="00040000" w:csb1="00000000"/>
  </w:font>
  <w:font w:name="Arial Rounded MT Bold">
    <w:panose1 w:val="020F070403050403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华文行楷">
    <w:panose1 w:val="02010800040101010101"/>
    <w:charset w:val="86"/>
    <w:family w:val="auto"/>
    <w:pitch w:val="default"/>
    <w:sig w:usb0="00000001" w:usb1="080F0000" w:usb2="00000000" w:usb3="00000000" w:csb0="00040000" w:csb1="00000000"/>
  </w:font>
  <w:font w:name="Alaska">
    <w:altName w:val="Lucida Sans Unicode"/>
    <w:panose1 w:val="00000000000000000000"/>
    <w:charset w:val="00"/>
    <w:family w:val="swiss"/>
    <w:pitch w:val="default"/>
    <w:sig w:usb0="00000000" w:usb1="00000000" w:usb2="00000000" w:usb3="00000000" w:csb0="00000017" w:csb1="00000000"/>
  </w:font>
  <w:font w:name="CG Times (W1)">
    <w:altName w:val="Times New Roman"/>
    <w:panose1 w:val="00000000000000000000"/>
    <w:charset w:val="00"/>
    <w:family w:val="roman"/>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文鼎CS行楷">
    <w:altName w:val="宋体"/>
    <w:panose1 w:val="00000000000000000000"/>
    <w:charset w:val="86"/>
    <w:family w:val="modern"/>
    <w:pitch w:val="default"/>
    <w:sig w:usb0="00000000" w:usb1="00000000" w:usb2="00000010" w:usb3="00000000" w:csb0="00040000" w:csb1="00000000"/>
  </w:font>
  <w:font w:name="文鼎CS大宋">
    <w:altName w:val="宋体"/>
    <w:panose1 w:val="00000000000000000000"/>
    <w:charset w:val="86"/>
    <w:family w:val="modern"/>
    <w:pitch w:val="default"/>
    <w:sig w:usb0="00000000" w:usb1="00000000" w:usb2="00000010" w:usb3="00000000" w:csb0="00040000" w:csb1="00000000"/>
  </w:font>
  <w:font w:name="Angsana New">
    <w:panose1 w:val="02020603050405020304"/>
    <w:charset w:val="DE"/>
    <w:family w:val="roman"/>
    <w:pitch w:val="default"/>
    <w:sig w:usb0="81000003" w:usb1="00000000" w:usb2="00000000" w:usb3="00000000" w:csb0="00010001" w:csb1="00000000"/>
  </w:font>
  <w:font w:name="Batang">
    <w:panose1 w:val="02030600000101010101"/>
    <w:charset w:val="81"/>
    <w:family w:val="auto"/>
    <w:pitch w:val="default"/>
    <w:sig w:usb0="B00002AF" w:usb1="69D77CFB" w:usb2="00000030" w:usb3="00000000" w:csb0="4008009F" w:csb1="DFD70000"/>
  </w:font>
  <w:font w:name="Garamond">
    <w:panose1 w:val="02020404030301010803"/>
    <w:charset w:val="00"/>
    <w:family w:val="roman"/>
    <w:pitch w:val="default"/>
    <w:sig w:usb0="00000287" w:usb1="00000000" w:usb2="00000000" w:usb3="00000000" w:csb0="0000009F" w:csb1="DFD70000"/>
  </w:font>
  <w:font w:name="五">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汉鼎简大宋">
    <w:altName w:val="新宋体"/>
    <w:panose1 w:val="00000000000000000000"/>
    <w:charset w:val="86"/>
    <w:family w:val="modern"/>
    <w:pitch w:val="default"/>
    <w:sig w:usb0="00000000" w:usb1="00000000" w:usb2="00000010" w:usb3="00000000" w:csb0="00040000" w:csb1="00000000"/>
  </w:font>
  <w:font w:name="Gulim">
    <w:panose1 w:val="020B0600000101010101"/>
    <w:charset w:val="81"/>
    <w:family w:val="roman"/>
    <w:pitch w:val="default"/>
    <w:sig w:usb0="B00002AF" w:usb1="69D77CFB" w:usb2="00000030" w:usb3="00000000" w:csb0="4008009F" w:csb1="DFD70000"/>
  </w:font>
  <w:font w:name="文鼎大标宋简">
    <w:altName w:val="宋体"/>
    <w:panose1 w:val="00000000000000000000"/>
    <w:charset w:val="86"/>
    <w:family w:val="modern"/>
    <w:pitch w:val="default"/>
    <w:sig w:usb0="00000000" w:usb1="00000000" w:usb2="00000010" w:usb3="00000000" w:csb0="00040000" w:csb1="00000000"/>
  </w:font>
  <w:font w:name="΢ȭхڢ, ڌ墬 Verdana">
    <w:altName w:val="宋体"/>
    <w:panose1 w:val="00000000000000000000"/>
    <w:charset w:val="86"/>
    <w:family w:val="roman"/>
    <w:pitch w:val="default"/>
    <w:sig w:usb0="00000000" w:usb1="00000000" w:usb2="00000010" w:usb3="00000000" w:csb0="00040000" w:csb1="00000000"/>
  </w:font>
  <w:font w:name="方正宋三简体">
    <w:altName w:val="微软雅黑"/>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Times New Roman”“">
    <w:altName w:val="宋体"/>
    <w:panose1 w:val="00000000000000000000"/>
    <w:charset w:val="86"/>
    <w:family w:val="roman"/>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087" w:usb1="28AF40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汉鼎简特宋">
    <w:altName w:val="宋体"/>
    <w:panose1 w:val="02010609000101010101"/>
    <w:charset w:val="86"/>
    <w:family w:val="modern"/>
    <w:pitch w:val="default"/>
    <w:sig w:usb0="00000000" w:usb1="00000000" w:usb2="00000010" w:usb3="00000000" w:csb0="00040000" w:csb1="00000000"/>
  </w:font>
  <w:font w:name="汉鼎简老宋">
    <w:altName w:val="宋体"/>
    <w:panose1 w:val="00000000000000000000"/>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embedRegular r:id="rId5" w:fontKey="{D9E0AE0E-13CA-4EF6-B9A8-BA0D178C4A12}"/>
  </w:font>
  <w:font w:name="Consolas">
    <w:panose1 w:val="020B0609020204030204"/>
    <w:charset w:val="00"/>
    <w:family w:val="auto"/>
    <w:pitch w:val="default"/>
    <w:sig w:usb0="E10002FF" w:usb1="4000FCFF" w:usb2="00000009" w:usb3="00000000" w:csb0="6000019F" w:csb1="DFD70000"/>
  </w:font>
  <w:font w:name="&amp;quot">
    <w:altName w:val="Segoe Print"/>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华文宋体">
    <w:panose1 w:val="02010600040101010101"/>
    <w:charset w:val="86"/>
    <w:family w:val="auto"/>
    <w:pitch w:val="default"/>
    <w:sig w:usb0="00000287" w:usb1="080F0000" w:usb2="00000000" w:usb3="00000000" w:csb0="0004009F" w:csb1="DFD70000"/>
  </w:font>
  <w:font w:name="DengXian">
    <w:altName w:val="RomanS"/>
    <w:panose1 w:val="00000000000000000000"/>
    <w:charset w:val="00"/>
    <w:family w:val="auto"/>
    <w:pitch w:val="default"/>
    <w:sig w:usb0="00000000" w:usb1="00000000" w:usb2="00000000" w:usb3="00000000" w:csb0="00040001" w:csb1="00000000"/>
  </w:font>
  <w:font w:name="FZSSK--GBK1-0">
    <w:altName w:val="RomanS"/>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00000000" w:usb1="00000000" w:usb2="00000000" w:usb3="00000000" w:csb0="00000000" w:csb1="00000000"/>
    <w:embedRegular r:id="rId6" w:fontKey="{496E8830-EEEB-46ED-9A94-940644456F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l+6YPAgAACQ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YndTSjRT2NH5+7fzj1/nn18JfCCotX6OvK1FZujemg7Jg9/DGefu&#10;KqfiFxMRxEH16Uqv6ALh8dJsMpvlCHHEhh/gZ4/XrfPhnTCKRKOgDvtLtLLjxoc+dUiJ1bRZN1Km&#10;HUpN2oJOX7/J04VrBOBSo0Ycom82WqHbdZfJdqY8YTBnem14y9cNim+YDw/MQQxoGAIP9zgqaVDE&#10;XCxKauO+POeP+dgRopS0EFdBNdRPiXyvsbuow8Fwg7EbDH1QtwZqHePhWJ5MXHBBDmbljPoM1a9i&#10;DYSY5qhU0DCYt6EXOF4NF6tVSoLaLAsbvbU8QkfyvF0dAghMvEZSeiYuXEFvaTOXtxEF/ed/ynp8&#10;w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ANl+6YPAgAACQQAAA4AAAAAAAAAAQAgAAAA&#10;HwEAAGRycy9lMm9Eb2MueG1sUEsFBgAAAAAGAAYAWQEAAKA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AADFCD"/>
    <w:multiLevelType w:val="multilevel"/>
    <w:tmpl w:val="D7AADFCD"/>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4"/>
      <w:isLgl/>
      <w:lvlText w:val="%1.%2.%3."/>
      <w:lvlJc w:val="left"/>
      <w:pPr>
        <w:ind w:left="96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0000000C"/>
    <w:multiLevelType w:val="multilevel"/>
    <w:tmpl w:val="0000000C"/>
    <w:lvl w:ilvl="0" w:tentative="0">
      <w:start w:val="1"/>
      <w:numFmt w:val="decimal"/>
      <w:suff w:val="nothing"/>
      <w:lvlText w:val="%1、"/>
      <w:lvlJc w:val="left"/>
    </w:lvl>
    <w:lvl w:ilvl="1" w:tentative="0">
      <w:start w:val="1"/>
      <w:numFmt w:val="none"/>
      <w:suff w:val="nothing"/>
      <w:lvlText w:val="%1"/>
      <w:lvlJc w:val="left"/>
      <w:pPr>
        <w:ind w:left="0" w:firstLine="0"/>
      </w:pPr>
      <w:rPr>
        <w:rFonts w:hint="eastAsia"/>
      </w:rPr>
    </w:lvl>
    <w:lvl w:ilvl="2" w:tentative="0">
      <w:start w:val="1"/>
      <w:numFmt w:val="none"/>
      <w:pStyle w:val="38"/>
      <w:suff w:val="nothing"/>
      <w:lvlText w:val="%1%3"/>
      <w:lvlJc w:val="left"/>
      <w:pPr>
        <w:ind w:left="0" w:firstLine="0"/>
      </w:pPr>
      <w:rPr>
        <w:rFonts w:hint="eastAsia"/>
      </w:rPr>
    </w:lvl>
    <w:lvl w:ilvl="3" w:tentative="0">
      <w:start w:val="1"/>
      <w:numFmt w:val="none"/>
      <w:suff w:val="nothing"/>
      <w:lvlText w:val="%1"/>
      <w:lvlJc w:val="left"/>
      <w:pPr>
        <w:ind w:left="0" w:firstLine="0"/>
      </w:pPr>
      <w:rPr>
        <w:rFonts w:hint="eastAsia"/>
      </w:rPr>
    </w:lvl>
    <w:lvl w:ilvl="4" w:tentative="0">
      <w:start w:val="1"/>
      <w:numFmt w:val="decimal"/>
      <w:lvlText w:val="%1[%5]"/>
      <w:lvlJc w:val="right"/>
      <w:pPr>
        <w:tabs>
          <w:tab w:val="left" w:pos="397"/>
        </w:tabs>
        <w:ind w:left="397" w:hanging="125"/>
      </w:pPr>
      <w:rPr>
        <w:rFonts w:hint="default" w:ascii="Times New Roman" w:hAnsi="Times New Roman" w:eastAsia="宋体"/>
        <w:b w:val="0"/>
        <w:i w:val="0"/>
        <w:color w:val="000000"/>
        <w:sz w:val="16"/>
        <w:u w:val="none"/>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1EFF50C0"/>
    <w:multiLevelType w:val="multilevel"/>
    <w:tmpl w:val="1EFF50C0"/>
    <w:lvl w:ilvl="0" w:tentative="0">
      <w:start w:val="1"/>
      <w:numFmt w:val="decimal"/>
      <w:pStyle w:val="46"/>
      <w:lvlText w:val="表%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C3C543"/>
    <w:multiLevelType w:val="singleLevel"/>
    <w:tmpl w:val="22C3C543"/>
    <w:lvl w:ilvl="0" w:tentative="0">
      <w:start w:val="1"/>
      <w:numFmt w:val="decimal"/>
      <w:pStyle w:val="30"/>
      <w:lvlText w:val="表%1  "/>
      <w:lvlJc w:val="center"/>
      <w:pPr>
        <w:tabs>
          <w:tab w:val="left" w:pos="0"/>
        </w:tabs>
        <w:ind w:left="2160" w:firstLine="0"/>
      </w:pPr>
      <w:rPr>
        <w:rFonts w:hint="default" w:ascii="Times New Roman" w:hAnsi="Times New Roman" w:eastAsia="黑体" w:cs="Times New Roman"/>
        <w:sz w:val="22"/>
        <w:szCs w:val="22"/>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NGYyZjgzM2JlZTYyNzVhMTBlZTQ4MTIxZWY0NDYifQ=="/>
  </w:docVars>
  <w:rsids>
    <w:rsidRoot w:val="6102665E"/>
    <w:rsid w:val="00086DD5"/>
    <w:rsid w:val="00143372"/>
    <w:rsid w:val="005C33BC"/>
    <w:rsid w:val="008D4EE8"/>
    <w:rsid w:val="00CA6791"/>
    <w:rsid w:val="00DD0EE3"/>
    <w:rsid w:val="00DE7C36"/>
    <w:rsid w:val="00E5657F"/>
    <w:rsid w:val="01260E98"/>
    <w:rsid w:val="018E5C8C"/>
    <w:rsid w:val="01A050EF"/>
    <w:rsid w:val="01BC26A1"/>
    <w:rsid w:val="01E134D1"/>
    <w:rsid w:val="01FE02AD"/>
    <w:rsid w:val="02A3019D"/>
    <w:rsid w:val="02D819C4"/>
    <w:rsid w:val="03060C74"/>
    <w:rsid w:val="032E45F7"/>
    <w:rsid w:val="03A35E89"/>
    <w:rsid w:val="03AB5621"/>
    <w:rsid w:val="03BB642D"/>
    <w:rsid w:val="03D333EC"/>
    <w:rsid w:val="04A37A67"/>
    <w:rsid w:val="04DE4C2A"/>
    <w:rsid w:val="04FC1A7F"/>
    <w:rsid w:val="05355865"/>
    <w:rsid w:val="05382DD1"/>
    <w:rsid w:val="05D76699"/>
    <w:rsid w:val="06007623"/>
    <w:rsid w:val="062439BC"/>
    <w:rsid w:val="068C0E54"/>
    <w:rsid w:val="07585EEB"/>
    <w:rsid w:val="07B40FAC"/>
    <w:rsid w:val="07F7029D"/>
    <w:rsid w:val="08C168AE"/>
    <w:rsid w:val="091C0ABC"/>
    <w:rsid w:val="09214199"/>
    <w:rsid w:val="093F53F0"/>
    <w:rsid w:val="095A15DC"/>
    <w:rsid w:val="09C1335A"/>
    <w:rsid w:val="09E343A2"/>
    <w:rsid w:val="0A085AA8"/>
    <w:rsid w:val="0A3D230D"/>
    <w:rsid w:val="0A6B2EE6"/>
    <w:rsid w:val="0B1C344B"/>
    <w:rsid w:val="0B1F0FC2"/>
    <w:rsid w:val="0B664A03"/>
    <w:rsid w:val="0B7E4BC6"/>
    <w:rsid w:val="0B880C6E"/>
    <w:rsid w:val="0BA74213"/>
    <w:rsid w:val="0BAB0918"/>
    <w:rsid w:val="0BBE042E"/>
    <w:rsid w:val="0BBE40EF"/>
    <w:rsid w:val="0C1475E9"/>
    <w:rsid w:val="0C2C4EA9"/>
    <w:rsid w:val="0C4429BC"/>
    <w:rsid w:val="0C8663F0"/>
    <w:rsid w:val="0C980C60"/>
    <w:rsid w:val="0D737519"/>
    <w:rsid w:val="0E601E8E"/>
    <w:rsid w:val="0E8E4763"/>
    <w:rsid w:val="0F126346"/>
    <w:rsid w:val="0F1F3141"/>
    <w:rsid w:val="1066402D"/>
    <w:rsid w:val="10AD196B"/>
    <w:rsid w:val="110C00AB"/>
    <w:rsid w:val="110C3C07"/>
    <w:rsid w:val="118100AF"/>
    <w:rsid w:val="11D269F3"/>
    <w:rsid w:val="120D6537"/>
    <w:rsid w:val="121F231F"/>
    <w:rsid w:val="12594340"/>
    <w:rsid w:val="13E76BAD"/>
    <w:rsid w:val="14561A8C"/>
    <w:rsid w:val="14EF701F"/>
    <w:rsid w:val="152D3963"/>
    <w:rsid w:val="15BD1974"/>
    <w:rsid w:val="15C90318"/>
    <w:rsid w:val="15FA2BC8"/>
    <w:rsid w:val="16276B81"/>
    <w:rsid w:val="163C2256"/>
    <w:rsid w:val="164F161A"/>
    <w:rsid w:val="166873F0"/>
    <w:rsid w:val="16A72660"/>
    <w:rsid w:val="16AC00C8"/>
    <w:rsid w:val="16AD36D6"/>
    <w:rsid w:val="170F5060"/>
    <w:rsid w:val="17104683"/>
    <w:rsid w:val="172E66FB"/>
    <w:rsid w:val="177A124A"/>
    <w:rsid w:val="17B54E2F"/>
    <w:rsid w:val="18406B27"/>
    <w:rsid w:val="184B2BC3"/>
    <w:rsid w:val="187F336F"/>
    <w:rsid w:val="191F5A0F"/>
    <w:rsid w:val="1942280F"/>
    <w:rsid w:val="19AA02C8"/>
    <w:rsid w:val="19C70E63"/>
    <w:rsid w:val="1B22750D"/>
    <w:rsid w:val="1B474A75"/>
    <w:rsid w:val="1B597407"/>
    <w:rsid w:val="1B9724FE"/>
    <w:rsid w:val="1BA45719"/>
    <w:rsid w:val="1BCD0AF8"/>
    <w:rsid w:val="1C2F4A4F"/>
    <w:rsid w:val="1CAF29FC"/>
    <w:rsid w:val="1CC47FA1"/>
    <w:rsid w:val="1CF3733B"/>
    <w:rsid w:val="1CF85236"/>
    <w:rsid w:val="1D581960"/>
    <w:rsid w:val="1E3A3F14"/>
    <w:rsid w:val="1E7D4396"/>
    <w:rsid w:val="1E9E0710"/>
    <w:rsid w:val="1EBB5508"/>
    <w:rsid w:val="1F1A41DD"/>
    <w:rsid w:val="1F336F15"/>
    <w:rsid w:val="207812B9"/>
    <w:rsid w:val="20895CBB"/>
    <w:rsid w:val="21025026"/>
    <w:rsid w:val="2160472B"/>
    <w:rsid w:val="21DB078B"/>
    <w:rsid w:val="22121299"/>
    <w:rsid w:val="2249604F"/>
    <w:rsid w:val="22512C93"/>
    <w:rsid w:val="228C104B"/>
    <w:rsid w:val="23265A96"/>
    <w:rsid w:val="23CA2BB0"/>
    <w:rsid w:val="23E94D5E"/>
    <w:rsid w:val="24EE764A"/>
    <w:rsid w:val="25447B5C"/>
    <w:rsid w:val="255149F7"/>
    <w:rsid w:val="256E7625"/>
    <w:rsid w:val="25761ED8"/>
    <w:rsid w:val="257C1EB5"/>
    <w:rsid w:val="259C3FF3"/>
    <w:rsid w:val="25AE1554"/>
    <w:rsid w:val="25E545BA"/>
    <w:rsid w:val="26976211"/>
    <w:rsid w:val="271E77BE"/>
    <w:rsid w:val="273D2914"/>
    <w:rsid w:val="275442D6"/>
    <w:rsid w:val="275E288B"/>
    <w:rsid w:val="278D03D0"/>
    <w:rsid w:val="278D6391"/>
    <w:rsid w:val="279D1605"/>
    <w:rsid w:val="27AC35F6"/>
    <w:rsid w:val="2825385F"/>
    <w:rsid w:val="282674DE"/>
    <w:rsid w:val="282C42AE"/>
    <w:rsid w:val="288B76AF"/>
    <w:rsid w:val="2A2B7049"/>
    <w:rsid w:val="2A2C4823"/>
    <w:rsid w:val="2A691061"/>
    <w:rsid w:val="2A9D0A0A"/>
    <w:rsid w:val="2ADC161C"/>
    <w:rsid w:val="2B0B34C8"/>
    <w:rsid w:val="2B1E480B"/>
    <w:rsid w:val="2B465CF5"/>
    <w:rsid w:val="2B82613E"/>
    <w:rsid w:val="2BFD7B37"/>
    <w:rsid w:val="2C22032B"/>
    <w:rsid w:val="2CA17C13"/>
    <w:rsid w:val="2D0745B9"/>
    <w:rsid w:val="2D2D7671"/>
    <w:rsid w:val="2D2E72FE"/>
    <w:rsid w:val="2D3D2655"/>
    <w:rsid w:val="2D572397"/>
    <w:rsid w:val="2D83304B"/>
    <w:rsid w:val="2D927C68"/>
    <w:rsid w:val="2D9C3B80"/>
    <w:rsid w:val="2DB72CF5"/>
    <w:rsid w:val="2E1A3284"/>
    <w:rsid w:val="2E517056"/>
    <w:rsid w:val="2E690493"/>
    <w:rsid w:val="2EAB5D9B"/>
    <w:rsid w:val="2EC62BA8"/>
    <w:rsid w:val="2EF36B7C"/>
    <w:rsid w:val="2F1A79DF"/>
    <w:rsid w:val="2F650C5A"/>
    <w:rsid w:val="2F652D29"/>
    <w:rsid w:val="2F974B8C"/>
    <w:rsid w:val="2FC128DB"/>
    <w:rsid w:val="2FE27279"/>
    <w:rsid w:val="305956BF"/>
    <w:rsid w:val="315A7AF2"/>
    <w:rsid w:val="31AD2FE7"/>
    <w:rsid w:val="32567BF4"/>
    <w:rsid w:val="32E45AE5"/>
    <w:rsid w:val="335E433E"/>
    <w:rsid w:val="337042E3"/>
    <w:rsid w:val="339E2917"/>
    <w:rsid w:val="34276517"/>
    <w:rsid w:val="34460D31"/>
    <w:rsid w:val="347D07F4"/>
    <w:rsid w:val="34FA1107"/>
    <w:rsid w:val="352315D1"/>
    <w:rsid w:val="355E0625"/>
    <w:rsid w:val="35B37FDC"/>
    <w:rsid w:val="35FB4B84"/>
    <w:rsid w:val="36531DB6"/>
    <w:rsid w:val="36640182"/>
    <w:rsid w:val="36903146"/>
    <w:rsid w:val="371A75EA"/>
    <w:rsid w:val="371D250B"/>
    <w:rsid w:val="37246A1F"/>
    <w:rsid w:val="3754072D"/>
    <w:rsid w:val="37846399"/>
    <w:rsid w:val="379056C5"/>
    <w:rsid w:val="37DD15AA"/>
    <w:rsid w:val="37E272B1"/>
    <w:rsid w:val="38337A8F"/>
    <w:rsid w:val="38362A1A"/>
    <w:rsid w:val="3935030C"/>
    <w:rsid w:val="394C7995"/>
    <w:rsid w:val="397C0FFF"/>
    <w:rsid w:val="39FE6173"/>
    <w:rsid w:val="3A0541CB"/>
    <w:rsid w:val="3A4B317A"/>
    <w:rsid w:val="3A79296E"/>
    <w:rsid w:val="3B234955"/>
    <w:rsid w:val="3BF375EE"/>
    <w:rsid w:val="3C304B75"/>
    <w:rsid w:val="3C830972"/>
    <w:rsid w:val="3CB45F08"/>
    <w:rsid w:val="3CCF3BB7"/>
    <w:rsid w:val="3D1530E5"/>
    <w:rsid w:val="3D1F4D9A"/>
    <w:rsid w:val="3D3A3C3D"/>
    <w:rsid w:val="3D5F3681"/>
    <w:rsid w:val="3D801355"/>
    <w:rsid w:val="3DA91EE8"/>
    <w:rsid w:val="3E2F73F0"/>
    <w:rsid w:val="3E682543"/>
    <w:rsid w:val="3EF56CA8"/>
    <w:rsid w:val="3F233267"/>
    <w:rsid w:val="3F536D21"/>
    <w:rsid w:val="3FD3243C"/>
    <w:rsid w:val="3FEC3DD3"/>
    <w:rsid w:val="40161AFD"/>
    <w:rsid w:val="40A0198B"/>
    <w:rsid w:val="40FD6101"/>
    <w:rsid w:val="41F84348"/>
    <w:rsid w:val="41FA7928"/>
    <w:rsid w:val="42157173"/>
    <w:rsid w:val="42227637"/>
    <w:rsid w:val="427400B4"/>
    <w:rsid w:val="433B578E"/>
    <w:rsid w:val="438A04B4"/>
    <w:rsid w:val="43B679AC"/>
    <w:rsid w:val="43BB36C1"/>
    <w:rsid w:val="43C70F56"/>
    <w:rsid w:val="43D23F8D"/>
    <w:rsid w:val="43F54889"/>
    <w:rsid w:val="440B1962"/>
    <w:rsid w:val="441E2315"/>
    <w:rsid w:val="44616288"/>
    <w:rsid w:val="449B6B1A"/>
    <w:rsid w:val="452E459D"/>
    <w:rsid w:val="45332632"/>
    <w:rsid w:val="453F55AD"/>
    <w:rsid w:val="45576E3F"/>
    <w:rsid w:val="455E3080"/>
    <w:rsid w:val="4587468E"/>
    <w:rsid w:val="45A523E0"/>
    <w:rsid w:val="45AB2086"/>
    <w:rsid w:val="45D12D7C"/>
    <w:rsid w:val="45F14B9E"/>
    <w:rsid w:val="46170061"/>
    <w:rsid w:val="4712572F"/>
    <w:rsid w:val="476C1D5B"/>
    <w:rsid w:val="47D73004"/>
    <w:rsid w:val="47E040AF"/>
    <w:rsid w:val="47E61B8A"/>
    <w:rsid w:val="47EA1305"/>
    <w:rsid w:val="48391BF8"/>
    <w:rsid w:val="485B0D30"/>
    <w:rsid w:val="48991F8F"/>
    <w:rsid w:val="48A834D3"/>
    <w:rsid w:val="49084C0B"/>
    <w:rsid w:val="495B2217"/>
    <w:rsid w:val="496B2ADC"/>
    <w:rsid w:val="49D22F38"/>
    <w:rsid w:val="4A050C18"/>
    <w:rsid w:val="4A126315"/>
    <w:rsid w:val="4B250E2B"/>
    <w:rsid w:val="4B6B2573"/>
    <w:rsid w:val="4C7D7F89"/>
    <w:rsid w:val="4CA57EC6"/>
    <w:rsid w:val="4CB02200"/>
    <w:rsid w:val="4D2F3DF0"/>
    <w:rsid w:val="4D5A127B"/>
    <w:rsid w:val="4DDA6A40"/>
    <w:rsid w:val="4E133F79"/>
    <w:rsid w:val="4EAD11B7"/>
    <w:rsid w:val="4F14027F"/>
    <w:rsid w:val="50201373"/>
    <w:rsid w:val="502D3B5C"/>
    <w:rsid w:val="504853BD"/>
    <w:rsid w:val="50566C78"/>
    <w:rsid w:val="508E1939"/>
    <w:rsid w:val="50EF231B"/>
    <w:rsid w:val="51025EB1"/>
    <w:rsid w:val="519A07DF"/>
    <w:rsid w:val="519A4DFF"/>
    <w:rsid w:val="51A946C7"/>
    <w:rsid w:val="51C87102"/>
    <w:rsid w:val="51D35AC9"/>
    <w:rsid w:val="52056CC1"/>
    <w:rsid w:val="52357FEC"/>
    <w:rsid w:val="52552AD4"/>
    <w:rsid w:val="52F703CB"/>
    <w:rsid w:val="53026822"/>
    <w:rsid w:val="535F705E"/>
    <w:rsid w:val="538C18B5"/>
    <w:rsid w:val="53C03E02"/>
    <w:rsid w:val="53C07DDC"/>
    <w:rsid w:val="542F7C12"/>
    <w:rsid w:val="544F3B03"/>
    <w:rsid w:val="549E7641"/>
    <w:rsid w:val="55C957C3"/>
    <w:rsid w:val="55DF0EB7"/>
    <w:rsid w:val="563D299C"/>
    <w:rsid w:val="569915E8"/>
    <w:rsid w:val="585D60C3"/>
    <w:rsid w:val="58D25AD8"/>
    <w:rsid w:val="59084281"/>
    <w:rsid w:val="59140684"/>
    <w:rsid w:val="592F4F24"/>
    <w:rsid w:val="59367B64"/>
    <w:rsid w:val="596100A0"/>
    <w:rsid w:val="59803534"/>
    <w:rsid w:val="59D830CD"/>
    <w:rsid w:val="5A1E1882"/>
    <w:rsid w:val="5A3172C2"/>
    <w:rsid w:val="5A541C17"/>
    <w:rsid w:val="5BD4669C"/>
    <w:rsid w:val="5CA95D7B"/>
    <w:rsid w:val="5CDF3C0D"/>
    <w:rsid w:val="5D915272"/>
    <w:rsid w:val="5DB049A6"/>
    <w:rsid w:val="5E4F14E0"/>
    <w:rsid w:val="5ED1059B"/>
    <w:rsid w:val="5EDF3809"/>
    <w:rsid w:val="5F363C1D"/>
    <w:rsid w:val="5F5C0E82"/>
    <w:rsid w:val="5FB962D5"/>
    <w:rsid w:val="5FF253B4"/>
    <w:rsid w:val="60D227FD"/>
    <w:rsid w:val="60D76CCC"/>
    <w:rsid w:val="60F26AF6"/>
    <w:rsid w:val="6102665E"/>
    <w:rsid w:val="61695AD8"/>
    <w:rsid w:val="61763BF8"/>
    <w:rsid w:val="617943D0"/>
    <w:rsid w:val="619F7C50"/>
    <w:rsid w:val="623C7B08"/>
    <w:rsid w:val="62562DAE"/>
    <w:rsid w:val="63A54809"/>
    <w:rsid w:val="641D4E1C"/>
    <w:rsid w:val="65BB1D99"/>
    <w:rsid w:val="66664270"/>
    <w:rsid w:val="666A0329"/>
    <w:rsid w:val="66C36175"/>
    <w:rsid w:val="66DF73D5"/>
    <w:rsid w:val="671328B2"/>
    <w:rsid w:val="677E4FC5"/>
    <w:rsid w:val="67A45EAE"/>
    <w:rsid w:val="67BC1058"/>
    <w:rsid w:val="67EE31DB"/>
    <w:rsid w:val="67F26828"/>
    <w:rsid w:val="6828049B"/>
    <w:rsid w:val="68523FC8"/>
    <w:rsid w:val="68C85D63"/>
    <w:rsid w:val="68F91EE4"/>
    <w:rsid w:val="69337D87"/>
    <w:rsid w:val="6962178B"/>
    <w:rsid w:val="69F218BF"/>
    <w:rsid w:val="6A754BD9"/>
    <w:rsid w:val="6ABA2BC9"/>
    <w:rsid w:val="6B1D09D4"/>
    <w:rsid w:val="6B4437B6"/>
    <w:rsid w:val="6B4C2D57"/>
    <w:rsid w:val="6BAE2D4C"/>
    <w:rsid w:val="6BB9765C"/>
    <w:rsid w:val="6CB70040"/>
    <w:rsid w:val="6CF638B9"/>
    <w:rsid w:val="6D304602"/>
    <w:rsid w:val="6D49763E"/>
    <w:rsid w:val="6D687600"/>
    <w:rsid w:val="6D70286F"/>
    <w:rsid w:val="6DD9192B"/>
    <w:rsid w:val="6E2A0A80"/>
    <w:rsid w:val="6E446248"/>
    <w:rsid w:val="6E537415"/>
    <w:rsid w:val="6E5F680C"/>
    <w:rsid w:val="6ED22F0F"/>
    <w:rsid w:val="6F1A2790"/>
    <w:rsid w:val="6F66143F"/>
    <w:rsid w:val="6F6F1F2D"/>
    <w:rsid w:val="6F9B17A4"/>
    <w:rsid w:val="6FAD3E66"/>
    <w:rsid w:val="703902CF"/>
    <w:rsid w:val="70576882"/>
    <w:rsid w:val="70C93CD7"/>
    <w:rsid w:val="70D50E7A"/>
    <w:rsid w:val="70F33611"/>
    <w:rsid w:val="7128128D"/>
    <w:rsid w:val="712C1A20"/>
    <w:rsid w:val="713E70E1"/>
    <w:rsid w:val="71B07FF4"/>
    <w:rsid w:val="72066C01"/>
    <w:rsid w:val="725D6F93"/>
    <w:rsid w:val="72C13086"/>
    <w:rsid w:val="72C70E82"/>
    <w:rsid w:val="735C724B"/>
    <w:rsid w:val="73AC26D2"/>
    <w:rsid w:val="73EF4B4B"/>
    <w:rsid w:val="74446F14"/>
    <w:rsid w:val="74B27DC0"/>
    <w:rsid w:val="752F3AB5"/>
    <w:rsid w:val="756B19C7"/>
    <w:rsid w:val="75AD1FE0"/>
    <w:rsid w:val="75B24DA5"/>
    <w:rsid w:val="75C444AD"/>
    <w:rsid w:val="75EB48B6"/>
    <w:rsid w:val="76000A80"/>
    <w:rsid w:val="76183680"/>
    <w:rsid w:val="761920DD"/>
    <w:rsid w:val="77190323"/>
    <w:rsid w:val="776A5740"/>
    <w:rsid w:val="77B44D95"/>
    <w:rsid w:val="77E86AC9"/>
    <w:rsid w:val="77F87912"/>
    <w:rsid w:val="781C4030"/>
    <w:rsid w:val="787279DC"/>
    <w:rsid w:val="78746B29"/>
    <w:rsid w:val="787C57E1"/>
    <w:rsid w:val="78E71CAD"/>
    <w:rsid w:val="78EF09A6"/>
    <w:rsid w:val="797A1033"/>
    <w:rsid w:val="797F1EE5"/>
    <w:rsid w:val="7A293DDD"/>
    <w:rsid w:val="7A8F79F5"/>
    <w:rsid w:val="7A9D7831"/>
    <w:rsid w:val="7AB43D60"/>
    <w:rsid w:val="7ACF682E"/>
    <w:rsid w:val="7AD859D6"/>
    <w:rsid w:val="7AFF7DCE"/>
    <w:rsid w:val="7B4119B6"/>
    <w:rsid w:val="7B5241F0"/>
    <w:rsid w:val="7B56749B"/>
    <w:rsid w:val="7B5B3481"/>
    <w:rsid w:val="7BF32717"/>
    <w:rsid w:val="7C271E59"/>
    <w:rsid w:val="7CBC6CA8"/>
    <w:rsid w:val="7CFF6196"/>
    <w:rsid w:val="7DA16027"/>
    <w:rsid w:val="7DA729F2"/>
    <w:rsid w:val="7DFF3858"/>
    <w:rsid w:val="7E700B17"/>
    <w:rsid w:val="7EA91C7B"/>
    <w:rsid w:val="7F2F01E6"/>
    <w:rsid w:val="7F431013"/>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numPr>
        <w:ilvl w:val="2"/>
        <w:numId w:val="1"/>
      </w:numPr>
      <w:spacing w:line="600" w:lineRule="exact"/>
      <w:ind w:left="720"/>
      <w:outlineLvl w:val="2"/>
    </w:pPr>
    <w:rPr>
      <w:b/>
      <w:kern w:val="0"/>
      <w:sz w:val="28"/>
      <w:szCs w:val="20"/>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5"/>
    <w:qFormat/>
    <w:uiPriority w:val="0"/>
    <w:rPr>
      <w:b/>
      <w:bCs/>
    </w:rPr>
  </w:style>
  <w:style w:type="paragraph" w:styleId="6">
    <w:name w:val="annotation text"/>
    <w:basedOn w:val="1"/>
    <w:link w:val="44"/>
    <w:qFormat/>
    <w:uiPriority w:val="0"/>
    <w:pPr>
      <w:jc w:val="left"/>
    </w:pPr>
  </w:style>
  <w:style w:type="paragraph" w:styleId="7">
    <w:name w:val="Body Text First Indent"/>
    <w:basedOn w:val="8"/>
    <w:qFormat/>
    <w:uiPriority w:val="0"/>
    <w:pPr>
      <w:snapToGrid w:val="0"/>
      <w:spacing w:line="360" w:lineRule="auto"/>
      <w:ind w:firstLine="200" w:firstLineChars="200"/>
      <w:jc w:val="both"/>
    </w:pPr>
    <w:rPr>
      <w:szCs w:val="24"/>
    </w:rPr>
  </w:style>
  <w:style w:type="paragraph" w:styleId="8">
    <w:name w:val="Body Text"/>
    <w:basedOn w:val="1"/>
    <w:next w:val="1"/>
    <w:qFormat/>
    <w:uiPriority w:val="0"/>
    <w:pPr>
      <w:spacing w:before="20" w:after="20"/>
      <w:jc w:val="center"/>
    </w:pPr>
    <w:rPr>
      <w:szCs w:val="20"/>
    </w:rPr>
  </w:style>
  <w:style w:type="paragraph" w:styleId="9">
    <w:name w:val="Normal Indent"/>
    <w:basedOn w:val="1"/>
    <w:next w:val="1"/>
    <w:qFormat/>
    <w:uiPriority w:val="0"/>
    <w:pPr>
      <w:spacing w:line="660" w:lineRule="exact"/>
      <w:ind w:firstLine="567"/>
      <w:jc w:val="left"/>
    </w:pPr>
    <w:rPr>
      <w:sz w:val="28"/>
      <w:szCs w:val="20"/>
    </w:rPr>
  </w:style>
  <w:style w:type="paragraph" w:styleId="10">
    <w:name w:val="caption"/>
    <w:basedOn w:val="1"/>
    <w:next w:val="1"/>
    <w:qFormat/>
    <w:uiPriority w:val="35"/>
    <w:pPr>
      <w:spacing w:line="520" w:lineRule="exact"/>
      <w:jc w:val="center"/>
    </w:pPr>
    <w:rPr>
      <w:rFonts w:eastAsia="黑体"/>
      <w:szCs w:val="20"/>
    </w:rPr>
  </w:style>
  <w:style w:type="paragraph" w:styleId="11">
    <w:name w:val="Block Text"/>
    <w:basedOn w:val="1"/>
    <w:next w:val="1"/>
    <w:qFormat/>
    <w:uiPriority w:val="0"/>
    <w:pPr>
      <w:snapToGrid w:val="0"/>
      <w:spacing w:line="408" w:lineRule="auto"/>
      <w:ind w:left="-113" w:right="-510" w:firstLine="510"/>
    </w:pPr>
    <w:rPr>
      <w:szCs w:val="20"/>
    </w:rPr>
  </w:style>
  <w:style w:type="paragraph" w:styleId="12">
    <w:name w:val="Balloon Text"/>
    <w:basedOn w:val="1"/>
    <w:link w:val="4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Body Text First Indent 2"/>
    <w:basedOn w:val="1"/>
    <w:next w:val="1"/>
    <w:qFormat/>
    <w:uiPriority w:val="0"/>
    <w:pPr>
      <w:spacing w:after="120"/>
      <w:ind w:left="420" w:leftChars="200" w:firstLine="420"/>
    </w:p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2"/>
    <w:basedOn w:val="1"/>
    <w:next w:val="8"/>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kern w:val="0"/>
    </w:rPr>
  </w:style>
  <w:style w:type="character" w:styleId="20">
    <w:name w:val="Hyperlink"/>
    <w:basedOn w:val="19"/>
    <w:qFormat/>
    <w:uiPriority w:val="0"/>
    <w:rPr>
      <w:color w:val="0000FF"/>
      <w:u w:val="single"/>
    </w:rPr>
  </w:style>
  <w:style w:type="character" w:styleId="21">
    <w:name w:val="annotation reference"/>
    <w:basedOn w:val="19"/>
    <w:unhideWhenUsed/>
    <w:qFormat/>
    <w:uiPriority w:val="99"/>
    <w:rPr>
      <w:sz w:val="21"/>
      <w:szCs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报告正文"/>
    <w:basedOn w:val="1"/>
    <w:qFormat/>
    <w:uiPriority w:val="0"/>
    <w:pPr>
      <w:adjustRightInd w:val="0"/>
      <w:snapToGrid w:val="0"/>
      <w:spacing w:line="360" w:lineRule="auto"/>
      <w:ind w:firstLine="200" w:firstLineChars="200"/>
    </w:pPr>
    <w:rPr>
      <w:rFonts w:ascii="宋体"/>
      <w:szCs w:val="20"/>
    </w:rPr>
  </w:style>
  <w:style w:type="paragraph" w:customStyle="1" w:styleId="25">
    <w:name w:val="Table Paragraph"/>
    <w:basedOn w:val="1"/>
    <w:qFormat/>
    <w:uiPriority w:val="1"/>
    <w:pPr>
      <w:jc w:val="center"/>
    </w:pPr>
    <w:rPr>
      <w:rFonts w:ascii="宋体" w:hAnsi="宋体" w:cs="宋体"/>
      <w:lang w:val="zh-CN" w:bidi="zh-CN"/>
    </w:rPr>
  </w:style>
  <w:style w:type="paragraph" w:customStyle="1" w:styleId="26">
    <w:name w:val="表内 定"/>
    <w:basedOn w:val="1"/>
    <w:qFormat/>
    <w:uiPriority w:val="0"/>
    <w:rPr>
      <w:color w:val="000000"/>
    </w:rPr>
  </w:style>
  <w:style w:type="paragraph" w:customStyle="1" w:styleId="27">
    <w:name w:val="表内"/>
    <w:basedOn w:val="28"/>
    <w:qFormat/>
    <w:uiPriority w:val="99"/>
    <w:pPr>
      <w:framePr w:hSpace="180" w:wrap="around" w:vAnchor="page" w:hAnchor="margin" w:y="1411"/>
      <w:widowControl/>
    </w:pPr>
    <w:rPr>
      <w:rFonts w:ascii="宋体" w:hAnsi="宋体"/>
      <w:szCs w:val="20"/>
    </w:rPr>
  </w:style>
  <w:style w:type="paragraph" w:customStyle="1" w:styleId="28">
    <w:name w:val="文"/>
    <w:basedOn w:val="1"/>
    <w:qFormat/>
    <w:uiPriority w:val="0"/>
    <w:pPr>
      <w:spacing w:line="360" w:lineRule="auto"/>
      <w:ind w:firstLine="480" w:firstLineChars="200"/>
    </w:pPr>
  </w:style>
  <w:style w:type="paragraph" w:customStyle="1" w:styleId="29">
    <w:name w:val="表格文字"/>
    <w:basedOn w:val="1"/>
    <w:next w:val="1"/>
    <w:qFormat/>
    <w:uiPriority w:val="0"/>
    <w:pPr>
      <w:widowControl/>
      <w:adjustRightInd w:val="0"/>
      <w:snapToGrid w:val="0"/>
      <w:textAlignment w:val="baseline"/>
    </w:pPr>
    <w:rPr>
      <w:sz w:val="21"/>
      <w:szCs w:val="20"/>
    </w:rPr>
  </w:style>
  <w:style w:type="paragraph" w:customStyle="1" w:styleId="30">
    <w:name w:val="表头"/>
    <w:basedOn w:val="1"/>
    <w:next w:val="1"/>
    <w:qFormat/>
    <w:uiPriority w:val="0"/>
    <w:pPr>
      <w:numPr>
        <w:ilvl w:val="0"/>
        <w:numId w:val="2"/>
      </w:numPr>
      <w:tabs>
        <w:tab w:val="left" w:pos="420"/>
      </w:tabs>
      <w:ind w:left="420"/>
      <w:jc w:val="center"/>
    </w:pPr>
    <w:rPr>
      <w:b/>
      <w:szCs w:val="21"/>
    </w:rPr>
  </w:style>
  <w:style w:type="paragraph" w:customStyle="1" w:styleId="31">
    <w:name w:val="正文格式"/>
    <w:basedOn w:val="1"/>
    <w:qFormat/>
    <w:uiPriority w:val="0"/>
    <w:pPr>
      <w:spacing w:line="360" w:lineRule="auto"/>
      <w:ind w:firstLine="544" w:firstLineChars="200"/>
    </w:pPr>
  </w:style>
  <w:style w:type="table" w:customStyle="1" w:styleId="32">
    <w:name w:val="Table Normal"/>
    <w:unhideWhenUsed/>
    <w:qFormat/>
    <w:uiPriority w:val="0"/>
    <w:tblPr>
      <w:tblLayout w:type="fixed"/>
      <w:tblCellMar>
        <w:top w:w="0" w:type="dxa"/>
        <w:left w:w="0" w:type="dxa"/>
        <w:bottom w:w="0" w:type="dxa"/>
        <w:right w:w="0" w:type="dxa"/>
      </w:tblCellMar>
    </w:tblPr>
  </w:style>
  <w:style w:type="paragraph" w:customStyle="1" w:styleId="33">
    <w:name w:val="Table Text"/>
    <w:basedOn w:val="1"/>
    <w:semiHidden/>
    <w:qFormat/>
    <w:uiPriority w:val="0"/>
    <w:rPr>
      <w:rFonts w:ascii="宋体" w:hAnsi="宋体" w:cs="宋体"/>
      <w:lang w:eastAsia="en-US"/>
    </w:rPr>
  </w:style>
  <w:style w:type="paragraph" w:customStyle="1" w:styleId="34">
    <w:name w:val="标题格式"/>
    <w:basedOn w:val="1"/>
    <w:qFormat/>
    <w:uiPriority w:val="0"/>
    <w:rPr>
      <w:rFonts w:eastAsia="黑体"/>
      <w:szCs w:val="21"/>
    </w:rPr>
  </w:style>
  <w:style w:type="character" w:customStyle="1" w:styleId="35">
    <w:name w:val="font31"/>
    <w:basedOn w:val="19"/>
    <w:qFormat/>
    <w:uiPriority w:val="0"/>
    <w:rPr>
      <w:rFonts w:hint="eastAsia" w:ascii="宋体" w:hAnsi="宋体" w:eastAsia="宋体" w:cs="宋体"/>
      <w:b/>
      <w:bCs/>
      <w:color w:val="000000"/>
      <w:sz w:val="21"/>
      <w:szCs w:val="21"/>
      <w:u w:val="none"/>
    </w:rPr>
  </w:style>
  <w:style w:type="character" w:customStyle="1" w:styleId="36">
    <w:name w:val="font41"/>
    <w:basedOn w:val="19"/>
    <w:qFormat/>
    <w:uiPriority w:val="0"/>
    <w:rPr>
      <w:rFonts w:hint="default" w:ascii="Times New Roman" w:hAnsi="Times New Roman" w:cs="Times New Roman"/>
      <w:color w:val="000000"/>
      <w:sz w:val="21"/>
      <w:szCs w:val="21"/>
      <w:u w:val="none"/>
      <w:vertAlign w:val="subscript"/>
    </w:rPr>
  </w:style>
  <w:style w:type="character" w:customStyle="1" w:styleId="37">
    <w:name w:val="font21"/>
    <w:basedOn w:val="19"/>
    <w:qFormat/>
    <w:uiPriority w:val="0"/>
    <w:rPr>
      <w:rFonts w:hint="default" w:ascii="Times New Roman" w:hAnsi="Times New Roman" w:cs="Times New Roman"/>
      <w:color w:val="000000"/>
      <w:sz w:val="21"/>
      <w:szCs w:val="21"/>
      <w:u w:val="none"/>
    </w:rPr>
  </w:style>
  <w:style w:type="paragraph" w:customStyle="1" w:styleId="38">
    <w:name w:val="B标题(2级)"/>
    <w:basedOn w:val="1"/>
    <w:qFormat/>
    <w:uiPriority w:val="0"/>
    <w:pPr>
      <w:numPr>
        <w:ilvl w:val="2"/>
        <w:numId w:val="3"/>
      </w:numPr>
    </w:pPr>
  </w:style>
  <w:style w:type="paragraph" w:customStyle="1" w:styleId="39">
    <w:name w:val="表格字体"/>
    <w:basedOn w:val="1"/>
    <w:qFormat/>
    <w:uiPriority w:val="0"/>
    <w:pPr>
      <w:adjustRightInd w:val="0"/>
      <w:spacing w:line="300" w:lineRule="exact"/>
      <w:jc w:val="center"/>
    </w:pPr>
    <w:rPr>
      <w:color w:val="000000"/>
      <w:sz w:val="18"/>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Default"/>
    <w:basedOn w:val="42"/>
    <w:next w:val="1"/>
    <w:unhideWhenUsed/>
    <w:qFormat/>
    <w:uiPriority w:val="99"/>
    <w:pPr>
      <w:autoSpaceDE w:val="0"/>
      <w:autoSpaceDN w:val="0"/>
      <w:adjustRightInd w:val="0"/>
    </w:pPr>
    <w:rPr>
      <w:rFonts w:hAnsi="宋体"/>
      <w:color w:val="000000"/>
    </w:rPr>
  </w:style>
  <w:style w:type="paragraph" w:customStyle="1" w:styleId="42">
    <w:name w:val="纯文本1"/>
    <w:basedOn w:val="1"/>
    <w:qFormat/>
    <w:uiPriority w:val="0"/>
    <w:rPr>
      <w:rFonts w:ascii="宋体" w:hAnsi="Courier New"/>
    </w:rPr>
  </w:style>
  <w:style w:type="character" w:customStyle="1" w:styleId="43">
    <w:name w:val="批注框文本 Char"/>
    <w:basedOn w:val="19"/>
    <w:link w:val="12"/>
    <w:qFormat/>
    <w:uiPriority w:val="0"/>
    <w:rPr>
      <w:kern w:val="2"/>
      <w:sz w:val="18"/>
      <w:szCs w:val="18"/>
    </w:rPr>
  </w:style>
  <w:style w:type="character" w:customStyle="1" w:styleId="44">
    <w:name w:val="批注文字 Char"/>
    <w:basedOn w:val="19"/>
    <w:link w:val="6"/>
    <w:qFormat/>
    <w:uiPriority w:val="0"/>
    <w:rPr>
      <w:kern w:val="2"/>
      <w:sz w:val="24"/>
      <w:szCs w:val="24"/>
    </w:rPr>
  </w:style>
  <w:style w:type="character" w:customStyle="1" w:styleId="45">
    <w:name w:val="批注主题 Char"/>
    <w:basedOn w:val="44"/>
    <w:link w:val="5"/>
    <w:qFormat/>
    <w:uiPriority w:val="0"/>
    <w:rPr>
      <w:b/>
      <w:bCs/>
      <w:kern w:val="2"/>
      <w:sz w:val="24"/>
      <w:szCs w:val="24"/>
    </w:rPr>
  </w:style>
  <w:style w:type="paragraph" w:customStyle="1" w:styleId="46">
    <w:name w:val="biaotou"/>
    <w:basedOn w:val="47"/>
    <w:qFormat/>
    <w:uiPriority w:val="0"/>
    <w:pPr>
      <w:numPr>
        <w:ilvl w:val="0"/>
        <w:numId w:val="4"/>
      </w:numPr>
      <w:autoSpaceDE w:val="0"/>
      <w:autoSpaceDN w:val="0"/>
      <w:adjustRightInd w:val="0"/>
      <w:spacing w:before="50" w:beforeLines="50"/>
      <w:jc w:val="center"/>
    </w:pPr>
    <w:rPr>
      <w:rFonts w:ascii="黑体" w:hAnsi="宋体" w:eastAsia="黑体"/>
      <w:sz w:val="22"/>
      <w:lang w:val="zh-CN"/>
    </w:rPr>
  </w:style>
  <w:style w:type="paragraph" w:customStyle="1" w:styleId="47">
    <w:name w:val="正"/>
    <w:basedOn w:val="1"/>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ffecd08b-877f-4c30-a067-7318c9fd27fd</errorID>
      <errorWord>（</errorWord>
      <group>L1_Format</group>
      <groupName>格式问题</groupName>
      <ability>L2_HalfPunc</ability>
      <abilityName>全半角检查</abilityName>
      <candidateList>
        <item>(</item>
      </candidateList>
      <explain>文本全半角错误。</explain>
      <paraID>602DD316</paraID>
      <start>0</start>
      <end>1</end>
      <status>unmodified</status>
      <modifiedWord/>
      <trackRevisions>false</trackRevisions>
    </reviewItem>
    <reviewItem>
      <errorID>406ddf42-2cbe-4eef-ba90-270a274ef98a</errorID>
      <errorWord>，</errorWord>
      <group>L1_Format</group>
      <groupName>格式问题</groupName>
      <ability>L2_HalfPunc</ability>
      <abilityName>全半角检查</abilityName>
      <candidateList>
        <item>, </item>
      </candidateList>
      <explain>文本全半角错误。</explain>
      <paraID>602DD316</paraID>
      <start>16</start>
      <end>17</end>
      <status>unmodified</status>
      <modifiedWord/>
      <trackRevisions>false</trackRevisions>
    </reviewItem>
    <reviewItem>
      <errorID>bc7ea609-b45f-4f19-b33c-40cae41d0d95</errorID>
      <errorWord>）</errorWord>
      <group>L1_Format</group>
      <groupName>格式问题</groupName>
      <ability>L2_HalfPunc</ability>
      <abilityName>全半角检查</abilityName>
      <candidateList>
        <item>)</item>
      </candidateList>
      <explain>文本全半角错误。</explain>
      <paraID>602DD316</paraID>
      <start>31</start>
      <end>32</end>
      <status>unmodified</status>
      <modifiedWord/>
      <trackRevisions>false</trackRevisions>
    </reviewItem>
    <reviewItem>
      <errorID>46dd4d59-f7bb-4791-9c95-f62d8f2a8f6f</errorID>
      <errorWord>木质家具</errorWord>
      <group>L1_Word</group>
      <groupName>字词问题</groupName>
      <ability>L2_Typo</ability>
      <abilityName>字词错误</abilityName>
      <candidateList>
        <item>木制家具</item>
      </candidateList>
      <explain/>
      <paraID>270100D4</paraID>
      <start>15</start>
      <end>19</end>
      <status>unmodified</status>
      <modifiedWord/>
      <trackRevisions>false</trackRevisions>
    </reviewItem>
    <reviewItem>
      <errorID>c91ff71f-c605-4cf7-b0c4-722b14d92fcf</errorID>
      <errorWord>”</errorWord>
      <group>L1_Punc</group>
      <groupName>标点问题</groupName>
      <ability>L2_Punc</ability>
      <abilityName>标点符号检查</abilityName>
      <candidateList/>
      <explain/>
      <paraID>270100D4</paraID>
      <start>66</start>
      <end>67</end>
      <status>unmodified</status>
      <modifiedWord/>
      <trackRevisions>false</trackRevisions>
    </reviewItem>
    <reviewItem>
      <errorID>a174c08e-2d12-46ae-bdfe-446bf1ca2bb4</errorID>
      <errorWord>“</errorWord>
      <group>L1_Punc</group>
      <groupName>标点问题</groupName>
      <ability>L2_Punc</ability>
      <abilityName>标点符号检查</abilityName>
      <candidateList/>
      <explain/>
      <paraID>270100D4</paraID>
      <start>68</start>
      <end>69</end>
      <status>unmodified</status>
      <modifiedWord/>
      <trackRevisions>false</trackRevisions>
    </reviewItem>
    <reviewItem>
      <errorID>04636d70-ff03-4eb7-8312-2ab3aa1e741a</errorID>
      <errorWord>：/</errorWord>
      <group>L1_Punc</group>
      <groupName>标点问题</groupName>
      <ability>L2_Punc</ability>
      <abilityName>标点符号检查</abilityName>
      <candidateList>
        <item>：</item>
      </candidateList>
      <explain/>
      <paraID>40276F95</paraID>
      <start>9</start>
      <end>11</end>
      <status>unmodified</status>
      <modifiedWord/>
      <trackRevisions>false</trackRevisions>
    </reviewItem>
    <reviewItem>
      <errorID>ee2a0ebd-728d-466e-a4a3-af82f763e75d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58A70154</paraID>
      <start>0</start>
      <end>2</end>
      <status>unmodified</status>
      <modifiedWord/>
      <trackRevisions>false</trackRevisions>
    </reviewItem>
    <reviewItem>
      <errorID>2e9802cb-986c-4757-8a49-7f3d300db2dc</errorID>
      <errorWord>聚节</errorWord>
      <group>L1_Word</group>
      <groupName>字词问题</groupName>
      <ability>L2_Typo</ability>
      <abilityName>字词错误</abilityName>
      <candidateList>
        <item>聚集</item>
      </candidateList>
      <explain/>
      <paraID>502C91ED</paraID>
      <start>24</start>
      <end>26</end>
      <status>unmodified</status>
      <modifiedWord/>
      <trackRevisions>false</trackRevisions>
    </reviewItem>
    <reviewItem>
      <errorID>7c0bdb41-bde3-4e22-ac17-7c2b75dd87d7</errorID>
      <errorWord>战略新兴产业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词汇“战略性新兴产业”在特定场景下为固定表述形式，请确认此处的“战略新兴产业”是否存在不当。</explain>
      <paraID>502C91ED</paraID>
      <start>89</start>
      <end>95</end>
      <status>unmodified</status>
      <modifiedWord/>
      <trackRevisions>false</trackRevisions>
    </reviewItem>
    <reviewItem>
      <errorID>abd3d9a8-3af4-43ec-9f37-8b89b8670771</errorID>
      <errorWord>现代特色产业体系</errorWord>
      <group>L1_Political</group>
      <groupName>政治性问题</groupName>
      <ability>L2_Keyword</ability>
      <abilityName>固定表述</abilityName>
      <candidateList>
        <item>现代化产业体系</item>
      </candidateList>
      <explain>词汇“现代化产业体系”在特定场景下为固定表述形式，请确认此处的“现代特色产业体系”是否存在不当。</explain>
      <paraID>502C91ED</paraID>
      <start>201</start>
      <end>209</end>
      <status>unmodified</status>
      <modifiedWord/>
      <trackRevisions>false</trackRevisions>
    </reviewItem>
    <reviewItem>
      <errorID>297c36dd-de5b-47d6-bb6e-46f9d4d6810c</errorID>
      <errorWord>雨水工程</errorWord>
      <group>L1_Knowledge</group>
      <groupName>知识性问题</groupName>
      <ability>L2_Term</ability>
      <abilityName>专业术语</abilityName>
      <candidateList>
        <item>引水工程</item>
      </candidateList>
      <explain/>
      <paraID>224D2443</paraID>
      <start>1</start>
      <end>5</end>
      <status>unmodified</status>
      <modifiedWord/>
      <trackRevisions>false</trackRevisions>
    </reviewItem>
    <reviewItem>
      <errorID>00484c8b-ab4e-461a-94f3-cd6882d9136a</errorID>
      <errorWord>制</errorWord>
      <group>L1_Word</group>
      <groupName>字词问题</groupName>
      <ability>L2_Typo</ability>
      <abilityName>字词错误</abilityName>
      <candidateList>
        <item>制在</item>
      </candidateList>
      <explain/>
      <paraID>49E0862D</paraID>
      <start>37</start>
      <end>38</end>
      <status>unmodified</status>
      <modifiedWord/>
      <trackRevisions>false</trackRevisions>
    </reviewItem>
    <reviewItem>
      <errorID>71c95d03-02af-4973-87bc-3837852ca485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2B8BE216</paraID>
      <start>0</start>
      <end>2</end>
      <status>unmodified</status>
      <modifiedWord/>
      <trackRevisions>false</trackRevisions>
    </reviewItem>
    <reviewItem>
      <errorID>61f44baa-d4ba-451c-a43d-4b79170b869c</errorID>
      <errorWord>属于用</errorWord>
      <group>L1_Word</group>
      <groupName>字词问题</groupName>
      <ability>L2_Typo</ability>
      <abilityName>字词错误</abilityName>
      <candidateList>
        <item>属于</item>
      </candidateList>
      <explain/>
      <paraID>37B3DA40</paraID>
      <start>16</start>
      <end>19</end>
      <status>unmodified</status>
      <modifiedWord/>
      <trackRevisions>false</trackRevisions>
    </reviewItem>
    <reviewItem>
      <errorID>98a85349-d0ab-436d-b90c-c602a6854f06</errorID>
      <errorWord>；</errorWord>
      <group>L1_Word</group>
      <groupName>字词问题</groupName>
      <ability>L2_Typo</ability>
      <abilityName>字词错误</abilityName>
      <candidateList>
        <item>；在</item>
      </candidateList>
      <explain/>
      <paraID>776C3BA1</paraID>
      <start>22</start>
      <end>23</end>
      <status>unmodified</status>
      <modifiedWord/>
      <trackRevisions>false</trackRevisions>
    </reviewItem>
    <reviewItem>
      <errorID>5a191445-b05d-4d86-baf0-f4989c31b62f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2B8F709F</paraID>
      <start>25</start>
      <end>26</end>
      <status>unmodified</status>
      <modifiedWord/>
      <trackRevisions>false</trackRevisions>
    </reviewItem>
    <reviewItem>
      <errorID>903299d5-67e8-4ae3-8a17-73c33b62efc1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2B8F709F</paraID>
      <start>30</start>
      <end>31</end>
      <status>unmodified</status>
      <modifiedWord/>
      <trackRevisions>false</trackRevisions>
    </reviewItem>
    <reviewItem>
      <errorID>9387bbcb-8454-4321-9650-4fb37e35947e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5B6A660E</paraID>
      <start>0</start>
      <end>2</end>
      <status>unmodified</status>
      <modifiedWord/>
      <trackRevisions>false</trackRevisions>
    </reviewItem>
    <reviewItem>
      <errorID>f008d31f-66fa-4e3d-8c1f-a33358ebfb94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B6611C4</paraID>
      <start>0</start>
      <end>2</end>
      <status>unmodified</status>
      <modifiedWord/>
      <trackRevisions>false</trackRevisions>
    </reviewItem>
    <reviewItem>
      <errorID>0975ab2c-db9c-4c52-8feb-a7bb109a8979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608FE857</paraID>
      <start>0</start>
      <end>2</end>
      <status>unmodified</status>
      <modifiedWord/>
      <trackRevisions>false</trackRevisions>
    </reviewItem>
    <reviewItem>
      <errorID>4605f0b6-c3e6-4286-acd9-0104366a4a9d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40B61919</paraID>
      <start>0</start>
      <end>2</end>
      <status>unmodified</status>
      <modifiedWord/>
      <trackRevisions>false</trackRevisions>
    </reviewItem>
    <reviewItem>
      <errorID>74ce2815-3298-4c80-a060-5c614eeef57f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7C9D8689</paraID>
      <start>0</start>
      <end>2</end>
      <status>unmodified</status>
      <modifiedWord/>
      <trackRevisions>false</trackRevisions>
    </reviewItem>
    <reviewItem>
      <errorID>e9d6a54b-a9ff-4ee3-9ccf-4fdd2cf2932c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3F7531CC</paraID>
      <start>0</start>
      <end>2</end>
      <status>unmodified</status>
      <modifiedWord/>
      <trackRevisions>false</trackRevisions>
    </reviewItem>
    <reviewItem>
      <errorID>c23813ee-988e-481b-becb-ed13a8d5dd3f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73E5DD15</paraID>
      <start>0</start>
      <end>2</end>
      <status>unmodified</status>
      <modifiedWord/>
      <trackRevisions>false</trackRevisions>
    </reviewItem>
    <reviewItem>
      <errorID>0fe15c25-b89f-4c90-ab01-3d022abfc5cc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315D615C</paraID>
      <start>0</start>
      <end>2</end>
      <status>unmodified</status>
      <modifiedWord/>
      <trackRevisions>false</trackRevisions>
    </reviewItem>
    <reviewItem>
      <errorID>24cc0458-97fc-4da6-8b59-94689bac8f18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77C418FA</paraID>
      <start>0</start>
      <end>2</end>
      <status>unmodified</status>
      <modifiedWord/>
      <trackRevisions>false</trackRevisions>
    </reviewItem>
    <reviewItem>
      <errorID>657e52eb-0eb0-476e-9df4-20f6e5dcfc02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236A54A4</paraID>
      <start>0</start>
      <end>2</end>
      <status>unmodified</status>
      <modifiedWord/>
      <trackRevisions>false</trackRevisions>
    </reviewItem>
    <reviewItem>
      <errorID>068460e2-a2ab-447c-9351-9a87d959b3b3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218DDAF4</paraID>
      <start>0</start>
      <end>2</end>
      <status>unmodified</status>
      <modifiedWord/>
      <trackRevisions>false</trackRevisions>
    </reviewItem>
    <reviewItem>
      <errorID>a7ad5ecf-a87e-4d1b-ae2a-49be06a6c406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50388A98</paraID>
      <start>0</start>
      <end>2</end>
      <status>unmodified</status>
      <modifiedWord/>
      <trackRevisions>false</trackRevisions>
    </reviewItem>
    <reviewItem>
      <errorID>7adeb8e5-ade3-4044-b6ea-a1c6ddf18086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27EEEB60</paraID>
      <start>0</start>
      <end>2</end>
      <status>unmodified</status>
      <modifiedWord/>
      <trackRevisions>false</trackRevisions>
    </reviewItem>
    <reviewItem>
      <errorID>01dce178-1eb2-4859-b147-7ea9ac177170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20A7133F</paraID>
      <start>0</start>
      <end>2</end>
      <status>unmodified</status>
      <modifiedWord/>
      <trackRevisions>false</trackRevisions>
    </reviewItem>
    <reviewItem>
      <errorID>012ff2fc-3ab9-4925-9f38-cccbbb94f891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B0ECE0E</paraID>
      <start>0</start>
      <end>2</end>
      <status>unmodified</status>
      <modifiedWord/>
      <trackRevisions>false</trackRevisions>
    </reviewItem>
    <reviewItem>
      <errorID>6254f58b-dbfa-4b0c-af9b-46cab5adc905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1879EB56</paraID>
      <start>0</start>
      <end>2</end>
      <status>unmodified</status>
      <modifiedWord/>
      <trackRevisions>false</trackRevisions>
    </reviewItem>
    <reviewItem>
      <errorID>c89070eb-3b94-4855-9dcd-f30fc231a36b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3F9FD9E</paraID>
      <start>0</start>
      <end>2</end>
      <status>unmodified</status>
      <modifiedWord/>
      <trackRevisions>false</trackRevisions>
    </reviewItem>
    <reviewItem>
      <errorID>a39dce22-02da-4c79-a316-41409e379367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6B8DA98F</paraID>
      <start>0</start>
      <end>2</end>
      <status>unmodified</status>
      <modifiedWord/>
      <trackRevisions>false</trackRevisions>
    </reviewItem>
    <reviewItem>
      <errorID>9d45606f-bbad-444a-a5a2-47f889866bc7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14C7FD0C</paraID>
      <start>0</start>
      <end>2</end>
      <status>unmodified</status>
      <modifiedWord/>
      <trackRevisions>false</trackRevisions>
    </reviewItem>
    <reviewItem>
      <errorID>0bb2923a-0f25-4dd0-8e1d-a828bcbd1ec1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51F9B0D9</paraID>
      <start>0</start>
      <end>3</end>
      <status>unmodified</status>
      <modifiedWord/>
      <trackRevisions>false</trackRevisions>
    </reviewItem>
    <reviewItem>
      <errorID>20341c59-e584-4e7b-9a78-5629ab995b14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4FF89045</paraID>
      <start>0</start>
      <end>2</end>
      <status>unmodified</status>
      <modifiedWord/>
      <trackRevisions>false</trackRevisions>
    </reviewItem>
    <reviewItem>
      <errorID>abe63452-f75d-4279-a591-2e46a0d2b3f3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575CC956</paraID>
      <start>0</start>
      <end>3</end>
      <status>unmodified</status>
      <modifiedWord/>
      <trackRevisions>false</trackRevisions>
    </reviewItem>
    <reviewItem>
      <errorID>723e6938-5cdd-4736-833f-19cd6c47255c</errorID>
      <errorWord>漳消</errorWord>
      <group>L1_Word</group>
      <groupName>字词问题</groupName>
      <ability>L2_Typo</ability>
      <abilityName>字词错误</abilityName>
      <candidateList>
        <item>漳</item>
      </candidateList>
      <explain/>
      <paraID>3C1C5B58</paraID>
      <start>64</start>
      <end>66</end>
      <status>unmodified</status>
      <modifiedWord/>
      <trackRevisions>false</trackRevisions>
    </reviewItem>
    <reviewItem>
      <errorID>75435928-7fc4-4879-9232-74c8a822ed7c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3C9F6644</paraID>
      <start>0</start>
      <end>2</end>
      <status>unmodified</status>
      <modifiedWord/>
      <trackRevisions>false</trackRevisions>
    </reviewItem>
    <reviewItem>
      <errorID>5a9bda73-582b-4da1-bb0c-380485c050d8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696F278B</paraID>
      <start>0</start>
      <end>2</end>
      <status>unmodified</status>
      <modifiedWord/>
      <trackRevisions>false</trackRevisions>
    </reviewItem>
    <reviewItem>
      <errorID>1e903de0-5aa8-4757-b8f9-4a2960967ace</errorID>
      <errorWord>（</errorWord>
      <group>L1_Punc</group>
      <groupName>标点问题</groupName>
      <ability>L2_Punc</ability>
      <abilityName>标点符号检查</abilityName>
      <candidateList/>
      <explain>同一形式括号套用。</explain>
      <paraID>591BC07A</paraID>
      <start>22</start>
      <end>23</end>
      <status>unmodified</status>
      <modifiedWord/>
      <trackRevisions>false</trackRevisions>
    </reviewItem>
    <reviewItem>
      <errorID>5e3d1863-8bde-4c37-958f-b15f6159251e</errorID>
      <errorWord>）</errorWord>
      <group>L1_Punc</group>
      <groupName>标点问题</groupName>
      <ability>L2_Punc</ability>
      <abilityName>标点符号检查</abilityName>
      <candidateList/>
      <explain>同一形式括号套用。</explain>
      <paraID>591BC07A</paraID>
      <start>32</start>
      <end>33</end>
      <status>unmodified</status>
      <modifiedWord/>
      <trackRevisions>false</trackRevisions>
    </reviewItem>
    <reviewItem>
      <errorID>785f2ab4-1e11-43be-9057-97724451ccb9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6C860D72</paraID>
      <start>0</start>
      <end>2</end>
      <status>unmodified</status>
      <modifiedWord/>
      <trackRevisions>false</trackRevisions>
    </reviewItem>
    <reviewItem>
      <errorID>dcc4ffa3-bce3-49fd-83a4-baa38d1e8a56</errorID>
      <errorWord>含水层组</errorWord>
      <group>L1_Knowledge</group>
      <groupName>知识性问题</groupName>
      <ability>L2_Term</ability>
      <abilityName>专业术语</abilityName>
      <candidateList>
        <item>含水层系</item>
      </candidateList>
      <explain/>
      <paraID>254011E2</paraID>
      <start>287</start>
      <end>291</end>
      <status>unmodified</status>
      <modifiedWord/>
      <trackRevisions>false</trackRevisions>
    </reviewItem>
    <reviewItem>
      <errorID>321cf3d7-c97a-4ee7-a066-00cb9a79a6b4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583D83F6</paraID>
      <start>0</start>
      <end>2</end>
      <status>unmodified</status>
      <modifiedWord/>
      <trackRevisions>false</trackRevisions>
    </reviewItem>
    <reviewItem>
      <errorID>cbf18a87-c973-47a1-84fa-4a2557df28d5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5D2388E</paraID>
      <start>0</start>
      <end>2</end>
      <status>unmodified</status>
      <modifiedWord/>
      <trackRevisions>false</trackRevisions>
    </reviewItem>
    <reviewItem>
      <errorID>1b2826e0-47a8-4fb4-a47e-f1d5d71a02b5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5DE73DC6</paraID>
      <start>0</start>
      <end>2</end>
      <status>unmodified</status>
      <modifiedWord/>
      <trackRevisions>false</trackRevisions>
    </reviewItem>
    <reviewItem>
      <errorID>6dce4131-7ac5-4bc4-a738-753a23522289</errorID>
      <errorWord>(</errorWord>
      <group>L1_Format</group>
      <groupName>格式问题</groupName>
      <ability>L2_HalfPunc</ability>
      <abilityName>全半角检查</abilityName>
      <candidateList>
        <item>（</item>
      </candidateList>
      <explain>文本全半角错误。</explain>
      <paraID>77822A19</paraID>
      <start>60</start>
      <end>61</end>
      <status>unmodified</status>
      <modifiedWord/>
      <trackRevisions>false</trackRevisions>
    </reviewItem>
    <reviewItem>
      <errorID>50e8aa45-4e77-4da3-8ac5-3f5ae7aecd01</errorID>
      <errorWord>)</errorWord>
      <group>L1_Format</group>
      <groupName>格式问题</groupName>
      <ability>L2_HalfPunc</ability>
      <abilityName>全半角检查</abilityName>
      <candidateList>
        <item>）</item>
      </candidateList>
      <explain>文本全半角错误。</explain>
      <paraID>77822A19</paraID>
      <start>64</start>
      <end>65</end>
      <status>unmodified</status>
      <modifiedWord/>
      <trackRevisions>false</trackRevisions>
    </reviewItem>
    <reviewItem>
      <errorID>f0c67dcd-a585-4b48-aa10-642c7d8e72a8</errorID>
      <errorWord>木质家具</errorWord>
      <group>L1_Word</group>
      <groupName>字词问题</groupName>
      <ability>L2_Typo</ability>
      <abilityName>字词错误</abilityName>
      <candidateList>
        <item>木制家具</item>
      </candidateList>
      <explain/>
      <paraID>2608149E</paraID>
      <start>52</start>
      <end>56</end>
      <status>unmodified</status>
      <modifiedWord/>
      <trackRevisions>false</trackRevisions>
    </reviewItem>
    <reviewItem>
      <errorID>7eb1dcd9-3e68-486b-bf94-5e3148bd9369</errorID>
      <errorWord>木质家具</errorWord>
      <group>L1_Word</group>
      <groupName>字词问题</groupName>
      <ability>L2_Typo</ability>
      <abilityName>字词错误</abilityName>
      <candidateList>
        <item>木制家具</item>
      </candidateList>
      <explain/>
      <paraID>3A38BDB2</paraID>
      <start>54</start>
      <end>58</end>
      <status>unmodified</status>
      <modifiedWord/>
      <trackRevisions>false</trackRevisions>
    </reviewItem>
    <reviewItem>
      <errorID>5467a974-7e1a-4542-8483-f7aab258cfe4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317D7659</paraID>
      <start>0</start>
      <end>2</end>
      <status>unmodified</status>
      <modifiedWord/>
      <trackRevisions>false</trackRevisions>
    </reviewItem>
    <reviewItem>
      <errorID>0c627750-b649-4979-8778-1686b222f3bd</errorID>
      <errorWord>屏</errorWord>
      <group>L1_Word</group>
      <groupName>字词问题</groupName>
      <ability>L2_Typo</ability>
      <abilityName>字词错误</abilityName>
      <candidateList>
        <item>品</item>
      </candidateList>
      <explain>存在发音相近字词的误用。</explain>
      <paraID>6A897FF1</paraID>
      <start>40</start>
      <end>41</end>
      <status>unmodified</status>
      <modifiedWord/>
      <trackRevisions>false</trackRevisions>
    </reviewItem>
    <reviewItem>
      <errorID>6227392f-30a0-46e4-8848-81cb8c430711</errorID>
      <errorWord>生活废水</errorWord>
      <group>L1_Knowledge</group>
      <groupName>知识性问题</groupName>
      <ability>L2_Term</ability>
      <abilityName>专业术语</abilityName>
      <candidateList>
        <item>生活污水</item>
      </candidateList>
      <explain/>
      <paraID>29A2F4C2</paraID>
      <start>2</start>
      <end>6</end>
      <status>modified</status>
      <modifiedWord>生活污水</modifiedWord>
      <trackRevisions>false</trackRevisions>
    </reviewItem>
    <reviewItem>
      <errorID>a765b89e-e283-4c7e-9183-35cba8cd7e34</errorID>
      <errorWord>潴泷河</errorWord>
      <group>L1_Word</group>
      <groupName>字词问题</groupName>
      <ability>L2_Typo</ability>
      <abilityName>字词错误</abilityName>
      <candidateList>
        <item>潴龙河</item>
      </candidateList>
      <explain/>
      <paraID>29A2F4C2</paraID>
      <start>43</start>
      <end>46</end>
      <status>unmodified</status>
      <modifiedWord/>
      <trackRevisions>false</trackRevisions>
    </reviewItem>
    <reviewItem>
      <errorID>2e4e6b68-f507-47e4-a551-19a6977ea12f</errorID>
      <errorWord>潴泷河</errorWord>
      <group>L1_Word</group>
      <groupName>字词问题</groupName>
      <ability>L2_Typo</ability>
      <abilityName>字词错误</abilityName>
      <candidateList>
        <item>潴龙河</item>
      </candidateList>
      <explain/>
      <paraID>58173476</paraID>
      <start>41</start>
      <end>44</end>
      <status>unmodified</status>
      <modifiedWord/>
      <trackRevisions>false</trackRevisions>
    </reviewItem>
    <reviewItem>
      <errorID>928d5262-6cfd-49bc-8b60-dbfc01b9efa1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A82310C</paraID>
      <start>0</start>
      <end>2</end>
      <status>unmodified</status>
      <modifiedWord/>
      <trackRevisions>false</trackRevisions>
    </reviewItem>
    <reviewItem>
      <errorID>3f7a5447-f1f9-4e86-94c3-f668a8087bd8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49DABCE4</paraID>
      <start>0</start>
      <end>2</end>
      <status>unmodified</status>
      <modifiedWord/>
      <trackRevisions>false</trackRevisions>
    </reviewItem>
    <reviewItem>
      <errorID>fb317d96-5087-4981-9131-080dd8173c8c</errorID>
      <errorWord>码钉枪</errorWord>
      <group>L1_Word</group>
      <groupName>字词问题</groupName>
      <ability>L2_Typo</ability>
      <abilityName>字词错误</abilityName>
      <candidateList>
        <item>铆钉枪</item>
      </candidateList>
      <explain>存在发音相近字词的误用。</explain>
      <paraID> 40034FF</paraID>
      <start>0</start>
      <end>3</end>
      <status>unmodified</status>
      <modifiedWord/>
      <trackRevisions>false</trackRevisions>
    </reviewItem>
    <reviewItem>
      <errorID>763a485b-6f65-43fa-b84a-0050a43c0b19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3737266E</paraID>
      <start>0</start>
      <end>2</end>
      <status>unmodified</status>
      <modifiedWord/>
      <trackRevisions>false</trackRevisions>
    </reviewItem>
    <reviewItem>
      <errorID>6d227534-64c5-4449-a059-04400919b026</errorID>
      <errorWord>进厂</errorWord>
      <group>L1_Word</group>
      <groupName>字词问题</groupName>
      <ability>L2_Typo</ability>
      <abilityName>字词错误</abilityName>
      <candidateList>
        <item>进场</item>
      </candidateList>
      <explain/>
      <paraID>4C25FA10</paraID>
      <start>25</start>
      <end>27</end>
      <status>unmodified</status>
      <modifiedWord/>
      <trackRevisions>false</trackRevisions>
    </reviewItem>
    <reviewItem>
      <errorID>bb932273-fc65-4547-8692-07bc7ee67a85</errorID>
      <errorWord>粘性的</errorWord>
      <group>L1_Word</group>
      <groupName>字词问题</groupName>
      <ability>L2_Alias</ability>
      <abilityName>也作/曾用词</abilityName>
      <candidateList>
        <item>黏性的</item>
      </candidateList>
      <explain>词汇[粘性的]为不规范表述或旧称，其规范书面表述为[黏性的]。</explain>
      <paraID>74437FDF</paraID>
      <start>60</start>
      <end>63</end>
      <status>unmodified</status>
      <modifiedWord/>
      <trackRevisions>false</trackRevisions>
    </reviewItem>
    <reviewItem>
      <errorID>a5756a3a-36c9-45ea-8e0b-7a0a4d56bb67</errorID>
      <errorWord>&lt;</errorWord>
      <group>L1_Format</group>
      <groupName>格式问题</groupName>
      <ability>L2_HalfPunc</ability>
      <abilityName>全半角检查</abilityName>
      <candidateList>
        <item>〈</item>
      </candidateList>
      <explain>文本全半角错误。</explain>
      <paraID>10D861FD</paraID>
      <start>137</start>
      <end>138</end>
      <status>unmodified</status>
      <modifiedWord/>
      <trackRevisions>false</trackRevisions>
    </reviewItem>
    <reviewItem>
      <errorID>ed627fcc-7324-4dc2-ada8-400b85496f7d</errorID>
      <errorWord>(</errorWord>
      <group>L1_Format</group>
      <groupName>格式问题</groupName>
      <ability>L2_HalfPunc</ability>
      <abilityName>全半角检查</abilityName>
      <candidateList>
        <item>（</item>
      </candidateList>
      <explain>文本全半角错误。</explain>
      <paraID>10D861FD</paraID>
      <start>186</start>
      <end>187</end>
      <status>unmodified</status>
      <modifiedWord/>
      <trackRevisions>false</trackRevisions>
    </reviewItem>
    <reviewItem>
      <errorID>b5ed35a5-a6b1-4a61-90a4-e33e1b64b513</errorID>
      <errorWord>)</errorWord>
      <group>L1_Format</group>
      <groupName>格式问题</groupName>
      <ability>L2_HalfPunc</ability>
      <abilityName>全半角检查</abilityName>
      <candidateList>
        <item>）</item>
      </candidateList>
      <explain>文本全半角错误。</explain>
      <paraID>10D861FD</paraID>
      <start>191</start>
      <end>192</end>
      <status>unmodified</status>
      <modifiedWord/>
      <trackRevisions>false</trackRevisions>
    </reviewItem>
    <reviewItem>
      <errorID>16bc418f-0c4f-4067-9461-2e83709ee331</errorID>
      <errorWord>(</errorWord>
      <group>L1_Format</group>
      <groupName>格式问题</groupName>
      <ability>L2_HalfPunc</ability>
      <abilityName>全半角检查</abilityName>
      <candidateList>
        <item>（</item>
      </candidateList>
      <explain>文本全半角错误。</explain>
      <paraID>10D861FD</paraID>
      <start>212</start>
      <end>213</end>
      <status>unmodified</status>
      <modifiedWord/>
      <trackRevisions>false</trackRevisions>
    </reviewItem>
    <reviewItem>
      <errorID>77deaad3-3351-43d0-b508-7da992ea8a26</errorID>
      <errorWord>)</errorWord>
      <group>L1_Format</group>
      <groupName>格式问题</groupName>
      <ability>L2_HalfPunc</ability>
      <abilityName>全半角检查</abilityName>
      <candidateList>
        <item>）</item>
      </candidateList>
      <explain>文本全半角错误。</explain>
      <paraID>10D861FD</paraID>
      <start>215</start>
      <end>216</end>
      <status>unmodified</status>
      <modifiedWord/>
      <trackRevisions>false</trackRevisions>
    </reviewItem>
    <reviewItem>
      <errorID>19cf6ff5-273e-4031-9849-0c79622983d4</errorID>
      <errorWord>粘度</errorWord>
      <group>L1_Word</group>
      <groupName>字词问题</groupName>
      <ability>L2_Alias</ability>
      <abilityName>也作/曾用词</abilityName>
      <candidateList>
        <item>黏度</item>
      </candidateList>
      <explain>词汇[粘度]为不规范表述或旧称，其规范书面表述为[黏度]。</explain>
      <paraID>2BFF195D</paraID>
      <start>49</start>
      <end>51</end>
      <status>unmodified</status>
      <modifiedWord/>
      <trackRevisions>false</trackRevisions>
    </reviewItem>
    <reviewItem>
      <errorID>4adf8397-d2af-46f4-8774-2903ae770def</errorID>
      <errorWord>达</errorWord>
      <group>L1_Word</group>
      <groupName>字词问题</groupName>
      <ability>L2_Typo</ability>
      <abilityName>字词错误</abilityName>
      <candidateList>
        <item>达到</item>
      </candidateList>
      <explain>〈动〉到（多指抽象事物或程度）：达得到｜达不到｜目的没有～｜～国际水平。</explain>
      <paraID>7A501FC7</paraID>
      <start>55</start>
      <end>56</end>
      <status>unmodified</status>
      <modifiedWord/>
      <trackRevisions>false</trackRevisions>
    </reviewItem>
    <reviewItem>
      <errorID>65106e31-1d7a-442f-8757-b544748071e0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32D2F38C</paraID>
      <start>0</start>
      <end>2</end>
      <status>unmodified</status>
      <modifiedWord/>
      <trackRevisions>false</trackRevisions>
    </reviewItem>
    <reviewItem>
      <errorID>9721ccbb-265a-473e-a617-19f4999b3393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11CFE34D</paraID>
      <start>0</start>
      <end>2</end>
      <status>unmodified</status>
      <modifiedWord/>
      <trackRevisions>false</trackRevisions>
    </reviewItem>
    <reviewItem>
      <errorID>ba7e847c-2600-407d-85b6-bcf44e2ec25d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3026D056</paraID>
      <start>0</start>
      <end>2</end>
      <status>unmodified</status>
      <modifiedWord/>
      <trackRevisions>false</trackRevisions>
    </reviewItem>
    <reviewItem>
      <errorID>5d801e66-d9d0-4b33-9cf9-714858478e70</errorID>
      <errorWord>(</errorWord>
      <group>L1_Format</group>
      <groupName>格式问题</groupName>
      <ability>L2_HalfPunc</ability>
      <abilityName>全半角检查</abilityName>
      <candidateList>
        <item>（</item>
      </candidateList>
      <explain>文本全半角错误。</explain>
      <paraID>61C60DDC</paraID>
      <start>26</start>
      <end>27</end>
      <status>unmodified</status>
      <modifiedWord/>
      <trackRevisions>false</trackRevisions>
    </reviewItem>
    <reviewItem>
      <errorID>a2712998-e5c5-4aef-991e-172d59cbd76c</errorID>
      <errorWord>)</errorWord>
      <group>L1_Format</group>
      <groupName>格式问题</groupName>
      <ability>L2_HalfPunc</ability>
      <abilityName>全半角检查</abilityName>
      <candidateList>
        <item>）</item>
      </candidateList>
      <explain>文本全半角错误。</explain>
      <paraID>61C60DDC</paraID>
      <start>30</start>
      <end>31</end>
      <status>unmodified</status>
      <modifiedWord/>
      <trackRevisions>false</trackRevisions>
    </reviewItem>
    <reviewItem>
      <errorID>2889be0b-e4a6-4f9f-be00-a40588bc9806</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61C60DDC</paraID>
      <start>129</start>
      <end>131</end>
      <status>unmodified</status>
      <modifiedWord/>
      <trackRevisions>false</trackRevisions>
    </reviewItem>
    <reviewItem>
      <errorID>c09e7e02-3f9c-4b0e-b7e3-dfa1f4206e9d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4E08F00F</paraID>
      <start>0</start>
      <end>2</end>
      <status>unmodified</status>
      <modifiedWord/>
      <trackRevisions>false</trackRevisions>
    </reviewItem>
    <reviewItem>
      <errorID>ea0ab996-0084-4fd7-8093-91b2b12bb7c5</errorID>
      <errorWord>年</errorWord>
      <group>L1_Word</group>
      <groupName>字词问题</groupName>
      <ability>L2_Typo</ability>
      <abilityName>字词错误</abilityName>
      <candidateList>
        <item>年度</item>
      </candidateList>
      <explain/>
      <paraID>40026309</paraID>
      <start>0</start>
      <end>1</end>
      <status>unmodified</status>
      <modifiedWord/>
      <trackRevisions>false</trackRevisions>
    </reviewItem>
    <reviewItem>
      <errorID>d03b0b24-0bdb-477b-8aca-5586f7b93cc2</errorID>
      <errorWord>，</errorWord>
      <group>L1_Format</group>
      <groupName>格式问题</groupName>
      <ability>L2_HalfPunc</ability>
      <abilityName>全半角检查</abilityName>
      <candidateList>
        <item>,</item>
      </candidateList>
      <explain>文本全半角错误。</explain>
      <paraID>591FBBFB</paraID>
      <start>2</start>
      <end>3</end>
      <status>unmodified</status>
      <modifiedWord/>
      <trackRevisions>false</trackRevisions>
    </reviewItem>
    <reviewItem>
      <errorID>be5d9109-0ccc-4ad8-80ee-28b973e4fc22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427ADFAF</paraID>
      <start>0</start>
      <end>2</end>
      <status>unmodified</status>
      <modifiedWord/>
      <trackRevisions>false</trackRevisions>
    </reviewItem>
    <reviewItem>
      <errorID>5284ee23-7ccb-4404-a610-b579bfa6726d</errorID>
      <errorWord>，</errorWord>
      <group>L1_Word</group>
      <groupName>字词问题</groupName>
      <ability>L2_Typo</ability>
      <abilityName>字词错误</abilityName>
      <candidateList>
        <item>，经</item>
      </candidateList>
      <explain/>
      <paraID>1169AA66</paraID>
      <start>33</start>
      <end>34</end>
      <status>unmodified</status>
      <modifiedWord/>
      <trackRevisions>false</trackRevisions>
    </reviewItem>
    <reviewItem>
      <errorID>7c463c8e-aa21-4bd3-a0fd-74c575349159</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1169AA66</paraID>
      <start>251</start>
      <end>253</end>
      <status>unmodified</status>
      <modifiedWord/>
      <trackRevisions>false</trackRevisions>
    </reviewItem>
    <reviewItem>
      <errorID>3bf69012-2be0-4ed1-b941-a0a1236b2581</errorID>
      <errorWord>力</errorWord>
      <group>L1_Word</group>
      <groupName>字词问题</groupName>
      <ability>L2_Typo</ability>
      <abilityName>字词错误</abilityName>
      <candidateList>
        <item>力和</item>
      </candidateList>
      <explain/>
      <paraID>429CE71D</paraID>
      <start>134</start>
      <end>135</end>
      <status>unmodified</status>
      <modifiedWord/>
      <trackRevisions>false</trackRevisions>
    </reviewItem>
    <reviewItem>
      <errorID>4930a422-26ae-4596-9406-5a6c541e1e73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49056566</paraID>
      <start>0</start>
      <end>2</end>
      <status>unmodified</status>
      <modifiedWord/>
      <trackRevisions>false</trackRevisions>
    </reviewItem>
    <reviewItem>
      <errorID>ce6eae7c-f29f-4da2-89b6-4bad9e06c7d5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18C5E08D</paraID>
      <start>0</start>
      <end>2</end>
      <status>unmodified</status>
      <modifiedWord/>
      <trackRevisions>false</trackRevisions>
    </reviewItem>
    <reviewItem>
      <errorID>7364eda5-add3-4abd-b501-ffa6ead1bacd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12B24F7</paraID>
      <start>0</start>
      <end>2</end>
      <status>unmodified</status>
      <modifiedWord/>
      <trackRevisions>false</trackRevisions>
    </reviewItem>
    <reviewItem>
      <errorID>8a5c1e03-9399-4f79-90e9-d405e14b2412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14D1F7FA</paraID>
      <start>0</start>
      <end>2</end>
      <status>unmodified</status>
      <modifiedWord/>
      <trackRevisions>false</trackRevisions>
    </reviewItem>
    <reviewItem>
      <errorID>d7aae599-47d6-429e-b1a0-9d5d8089571a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67FCC08A</paraID>
      <start>0</start>
      <end>2</end>
      <status>unmodified</status>
      <modifiedWord/>
      <trackRevisions>false</trackRevisions>
    </reviewItem>
    <reviewItem>
      <errorID>dc2b3480-d68b-4c96-afa7-f3ef5432fe92</errorID>
      <errorWord>》</errorWord>
      <group>L1_Punc</group>
      <groupName>标点问题</groupName>
      <ability>L2_Punc</ability>
      <abilityName>标点符号检查</abilityName>
      <candidateList/>
      <explain/>
      <paraID> B19BA88</paraID>
      <start>31</start>
      <end>32</end>
      <status>unmodified</status>
      <modifiedWord/>
      <trackRevisions>false</trackRevisions>
    </reviewItem>
    <reviewItem>
      <errorID>2d3d3b27-f4ae-47fe-9a0f-ff7986a9e49f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686DB908</paraID>
      <start>0</start>
      <end>2</end>
      <status>unmodified</status>
      <modifiedWord/>
      <trackRevisions>false</trackRevisions>
    </reviewItem>
    <reviewItem>
      <errorID>775018f1-132f-4e8a-8fd2-12dbea8e8f34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31FCE8B6</paraID>
      <start>0</start>
      <end>2</end>
      <status>unmodified</status>
      <modifiedWord/>
      <trackRevisions>false</trackRevisions>
    </reviewItem>
    <reviewItem>
      <errorID>8de8e810-f633-4f60-819c-cd5fa4eb93de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3F85F1C4</paraID>
      <start>0</start>
      <end>2</end>
      <status>unmodified</status>
      <modifiedWord/>
      <trackRevisions>false</trackRevisions>
    </reviewItem>
    <reviewItem>
      <errorID>a058f816-da29-4097-8f3a-ee26694709e5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13165476</paraID>
      <start>0</start>
      <end>2</end>
      <status>unmodified</status>
      <modifiedWord/>
      <trackRevisions>false</trackRevisions>
    </reviewItem>
    <reviewItem>
      <errorID>bba3d7a9-64b8-4408-8213-f1d64d1910ee</errorID>
      <errorWord>程</errorWord>
      <group>L1_Word</group>
      <groupName>字词问题</groupName>
      <ability>L2_Typo</ability>
      <abilityName>字词错误</abilityName>
      <candidateList>
        <item>程中</item>
      </candidateList>
      <explain/>
      <paraID>4E654894</paraID>
      <start>23</start>
      <end>24</end>
      <status>unmodified</status>
      <modifiedWord/>
      <trackRevisions>false</trackRevisions>
    </reviewItem>
    <reviewItem>
      <errorID>fccebd97-5d54-44a4-a1fd-ae290a2dd827</errorID>
      <errorWord>粉</errorWord>
      <group>L1_Word</group>
      <groupName>字词问题</groupName>
      <ability>L2_Typo</ability>
      <abilityName>字词错误</abilityName>
      <candidateList>
        <item>分</item>
      </candidateList>
      <explain/>
      <paraID>5E43FFEA</paraID>
      <start>16</start>
      <end>17</end>
      <status>unmodified</status>
      <modifiedWord/>
      <trackRevisions>false</trackRevisions>
    </reviewItem>
    <reviewItem>
      <errorID>55f8f941-b6d0-4d0a-ab50-0ac9b72eb5a7</errorID>
      <errorWord>(</errorWord>
      <group>L1_Format</group>
      <groupName>格式问题</groupName>
      <ability>L2_HalfPunc</ability>
      <abilityName>全半角检查</abilityName>
      <candidateList>
        <item>（</item>
      </candidateList>
      <explain>文本全半角错误。</explain>
      <paraID>5E43FFEA</paraID>
      <start>323</start>
      <end>324</end>
      <status>unmodified</status>
      <modifiedWord/>
      <trackRevisions>false</trackRevisions>
    </reviewItem>
    <reviewItem>
      <errorID>53a0a04f-8d46-469b-bc10-5aa98c215ec4</errorID>
      <errorWord>粘合</errorWord>
      <group>L1_Word</group>
      <groupName>字词问题</groupName>
      <ability>L2_Alias</ability>
      <abilityName>也作/曾用词</abilityName>
      <candidateList>
        <item>黏合</item>
      </candidateList>
      <explain>词汇[粘合]为不规范表述或旧称，其规范书面表述为[黏合]。</explain>
      <paraID>210D572B</paraID>
      <start>17</start>
      <end>19</end>
      <status>unmodified</status>
      <modifiedWord/>
      <trackRevisions>false</trackRevisions>
    </reviewItem>
    <reviewItem>
      <errorID>68fb27b2-790b-4971-9911-d323c8d740c3</errorID>
      <errorWord>木质家具</errorWord>
      <group>L1_Word</group>
      <groupName>字词问题</groupName>
      <ability>L2_Typo</ability>
      <abilityName>字词错误</abilityName>
      <candidateList>
        <item>木制家具</item>
      </candidateList>
      <explain/>
      <paraID>210D572B</paraID>
      <start>42</start>
      <end>46</end>
      <status>unmodified</status>
      <modifiedWord/>
      <trackRevisions>false</trackRevisions>
    </reviewItem>
    <reviewItem>
      <errorID>f24e7575-deea-4f34-8d82-69eb779cb374</errorID>
      <errorWord>粘接</errorWord>
      <group>L1_Word</group>
      <groupName>字词问题</groupName>
      <ability>L2_Typo</ability>
      <abilityName>字词错误</abilityName>
      <candidateList>
        <item>黏接</item>
      </candidateList>
      <explain>存在发音相同字词的误用。</explain>
      <paraID>3FC6898A</paraID>
      <start>129</start>
      <end>131</end>
      <status>unmodified</status>
      <modifiedWord/>
      <trackRevisions>false</trackRevisions>
    </reviewItem>
    <reviewItem>
      <errorID>78ee4323-50c3-4b2b-9a88-bd9067cfd9c5</errorID>
      <errorWord>(</errorWord>
      <group>L1_Format</group>
      <groupName>格式问题</groupName>
      <ability>L2_HalfPunc</ability>
      <abilityName>全半角检查</abilityName>
      <candidateList>
        <item>（</item>
      </candidateList>
      <explain>文本全半角错误。</explain>
      <paraID>3FC6898A</paraID>
      <start>345</start>
      <end>346</end>
      <status>unmodified</status>
      <modifiedWord/>
      <trackRevisions>false</trackRevisions>
    </reviewItem>
    <reviewItem>
      <errorID>d22e3d6f-20ae-4d2a-a132-43a527debcd5</errorID>
      <errorWord>)</errorWord>
      <group>L1_Format</group>
      <groupName>格式问题</groupName>
      <ability>L2_HalfPunc</ability>
      <abilityName>全半角检查</abilityName>
      <candidateList>
        <item>）</item>
      </candidateList>
      <explain>文本全半角错误。</explain>
      <paraID>3FC6898A</paraID>
      <start>358</start>
      <end>359</end>
      <status>unmodified</status>
      <modifiedWord/>
      <trackRevisions>false</trackRevisions>
    </reviewItem>
    <reviewItem>
      <errorID>dce97b08-3add-4c5c-8da5-e195227d31b2</errorID>
      <errorWord>(</errorWord>
      <group>L1_Format</group>
      <groupName>格式问题</groupName>
      <ability>L2_HalfPunc</ability>
      <abilityName>全半角检查</abilityName>
      <candidateList>
        <item>（</item>
      </candidateList>
      <explain>文本全半角错误。</explain>
      <paraID>5F32843D</paraID>
      <start>235</start>
      <end>236</end>
      <status>unmodified</status>
      <modifiedWord/>
      <trackRevisions>false</trackRevisions>
    </reviewItem>
    <reviewItem>
      <errorID>56b7ab19-44c5-4e04-84fd-6f90ddf48eeb</errorID>
      <errorWord>按照</errorWord>
      <group>L1_Word</group>
      <groupName>字词问题</groupName>
      <ability>L2_Typo</ability>
      <abilityName>字词错误</abilityName>
      <candidateList>
        <item>按</item>
      </candidateList>
      <explain>（案）àn❶〈书〉考查；核对：有原文可～。❷（编者、作者等）加按语：编者～。</explain>
      <paraID>46166E5A</paraID>
      <start>29</start>
      <end>31</end>
      <status>unmodified</status>
      <modifiedWord/>
      <trackRevisions>false</trackRevisions>
    </reviewItem>
    <reviewItem>
      <errorID>ba45fd92-4251-44d0-acc0-e74f37f4dceb</errorID>
      <errorWord>（</errorWord>
      <group>L1_Format</group>
      <groupName>格式问题</groupName>
      <ability>L2_HalfPunc</ability>
      <abilityName>全半角检查</abilityName>
      <candidateList>
        <item>(</item>
      </candidateList>
      <explain>文本全半角错误。</explain>
      <paraID>37C7D864</paraID>
      <start>0</start>
      <end>1</end>
      <status>unmodified</status>
      <modifiedWord/>
      <trackRevisions>false</trackRevisions>
    </reviewItem>
    <reviewItem>
      <errorID>b8dbcebc-0672-4f47-8afe-39036fe63bd6</errorID>
      <errorWord>）</errorWord>
      <group>L1_Format</group>
      <groupName>格式问题</groupName>
      <ability>L2_HalfPunc</ability>
      <abilityName>全半角检查</abilityName>
      <candidateList>
        <item>)</item>
      </candidateList>
      <explain>文本全半角错误。</explain>
      <paraID>37C7D864</paraID>
      <start>5</start>
      <end>6</end>
      <status>unmodified</status>
      <modifiedWord/>
      <trackRevisions>false</trackRevisions>
    </reviewItem>
    <reviewItem>
      <errorID>c5590b74-58d2-4c1d-b65c-ad2c36aebb60</errorID>
      <errorWord>：</errorWord>
      <group>L1_Format</group>
      <groupName>格式问题</groupName>
      <ability>L2_HalfPunc</ability>
      <abilityName>全半角检查</abilityName>
      <candidateList>
        <item>:</item>
      </candidateList>
      <explain>文本全半角错误。</explain>
      <paraID>57D0661A</paraID>
      <start>101</start>
      <end>102</end>
      <status>unmodified</status>
      <modifiedWord/>
      <trackRevisions>false</trackRevisions>
    </reviewItem>
    <reviewItem>
      <errorID>b8bb861f-a766-47c9-806e-0a26157e9609</errorID>
      <errorWord>（</errorWord>
      <group>L1_Format</group>
      <groupName>格式问题</groupName>
      <ability>L2_HalfPunc</ability>
      <abilityName>全半角检查</abilityName>
      <candidateList>
        <item>(</item>
      </candidateList>
      <explain>文本全半角错误。</explain>
      <paraID> 59FE97E</paraID>
      <start>2</start>
      <end>3</end>
      <status>unmodified</status>
      <modifiedWord/>
      <trackRevisions>false</trackRevisions>
    </reviewItem>
    <reviewItem>
      <errorID>278b7ea7-25fe-4609-845d-b51e0d29d9bd</errorID>
      <errorWord>）</errorWord>
      <group>L1_Format</group>
      <groupName>格式问题</groupName>
      <ability>L2_HalfPunc</ability>
      <abilityName>全半角检查</abilityName>
      <candidateList>
        <item>)</item>
      </candidateList>
      <explain>文本全半角错误。</explain>
      <paraID> 59FE97E</paraID>
      <start>4</start>
      <end>5</end>
      <status>unmodified</status>
      <modifiedWord/>
      <trackRevisions>false</trackRevisions>
    </reviewItem>
    <reviewItem>
      <errorID>c08f097c-bf79-4d3a-8211-4a9b6c73bede</errorID>
      <errorWord>（</errorWord>
      <group>L1_Format</group>
      <groupName>格式问题</groupName>
      <ability>L2_HalfPunc</ability>
      <abilityName>全半角检查</abilityName>
      <candidateList>
        <item>(</item>
      </candidateList>
      <explain>文本全半角错误。</explain>
      <paraID> 59FE97E</paraID>
      <start>8</start>
      <end>9</end>
      <status>unmodified</status>
      <modifiedWord/>
      <trackRevisions>false</trackRevisions>
    </reviewItem>
    <reviewItem>
      <errorID>4a81138b-686b-4b46-870c-133d18adc6a8</errorID>
      <errorWord>）</errorWord>
      <group>L1_Format</group>
      <groupName>格式问题</groupName>
      <ability>L2_HalfPunc</ability>
      <abilityName>全半角检查</abilityName>
      <candidateList>
        <item>)</item>
      </candidateList>
      <explain>文本全半角错误。</explain>
      <paraID> 59FE97E</paraID>
      <start>11</start>
      <end>12</end>
      <status>unmodified</status>
      <modifiedWord/>
      <trackRevisions>false</trackRevisions>
    </reviewItem>
    <reviewItem>
      <errorID>bfc1dad4-6459-49e2-9209-4fa64bd29a2a</errorID>
      <errorWord>（</errorWord>
      <group>L1_Format</group>
      <groupName>格式问题</groupName>
      <ability>L2_HalfPunc</ability>
      <abilityName>全半角检查</abilityName>
      <candidateList>
        <item>(</item>
      </candidateList>
      <explain>文本全半角错误。</explain>
      <paraID> 59FE97E</paraID>
      <start>17</start>
      <end>18</end>
      <status>unmodified</status>
      <modifiedWord/>
      <trackRevisions>false</trackRevisions>
    </reviewItem>
    <reviewItem>
      <errorID>2335b395-4e7e-421d-814e-2fe8351db5b8</errorID>
      <errorWord>）</errorWord>
      <group>L1_Format</group>
      <groupName>格式问题</groupName>
      <ability>L2_HalfPunc</ability>
      <abilityName>全半角检查</abilityName>
      <candidateList>
        <item>)</item>
      </candidateList>
      <explain>文本全半角错误。</explain>
      <paraID> 59FE97E</paraID>
      <start>22</start>
      <end>23</end>
      <status>unmodified</status>
      <modifiedWord/>
      <trackRevisions>false</trackRevisions>
    </reviewItem>
    <reviewItem>
      <errorID>0a160572-b09b-44b6-906a-c1d4a947c0b6</errorID>
      <errorWord>（</errorWord>
      <group>L1_Punc</group>
      <groupName>标点问题</groupName>
      <ability>L2_Punc</ability>
      <abilityName>标点符号检查</abilityName>
      <candidateList/>
      <explain>同一形式括号套用。</explain>
      <paraID>614DB3A4</paraID>
      <start>46</start>
      <end>47</end>
      <status>unmodified</status>
      <modifiedWord/>
      <trackRevisions>false</trackRevisions>
    </reviewItem>
    <reviewItem>
      <errorID>73fc87a9-4c76-480f-86d4-65593f1f7247</errorID>
      <errorWord>）</errorWord>
      <group>L1_Punc</group>
      <groupName>标点问题</groupName>
      <ability>L2_Punc</ability>
      <abilityName>标点符号检查</abilityName>
      <candidateList/>
      <explain>同一形式括号套用。</explain>
      <paraID>614DB3A4</paraID>
      <start>51</start>
      <end>52</end>
      <status>unmodified</status>
      <modifiedWord/>
      <trackRevisions>false</trackRevisions>
    </reviewItem>
    <reviewItem>
      <errorID>f00c374a-98ab-4f72-8ee8-1874fd63ac5a</errorID>
      <errorWord>（</errorWord>
      <group>L1_Punc</group>
      <groupName>标点问题</groupName>
      <ability>L2_Punc</ability>
      <abilityName>标点符号检查</abilityName>
      <candidateList/>
      <explain>同一形式括号套用。</explain>
      <paraID>614DB3A4</paraID>
      <start>97</start>
      <end>98</end>
      <status>unmodified</status>
      <modifiedWord/>
      <trackRevisions>false</trackRevisions>
    </reviewItem>
    <reviewItem>
      <errorID>62fedf71-d16b-47a4-b025-d635346c826e</errorID>
      <errorWord>）</errorWord>
      <group>L1_Punc</group>
      <groupName>标点问题</groupName>
      <ability>L2_Punc</ability>
      <abilityName>标点符号检查</abilityName>
      <candidateList/>
      <explain>同一形式括号套用。</explain>
      <paraID>614DB3A4</paraID>
      <start>102</start>
      <end>103</end>
      <status>unmodified</status>
      <modifiedWord/>
      <trackRevisions>false</trackRevisions>
    </reviewItem>
    <reviewItem>
      <errorID>559e006a-0266-46db-b066-dc8a8c793524</errorID>
      <errorWord>（</errorWord>
      <group>L1_Punc</group>
      <groupName>标点问题</groupName>
      <ability>L2_Punc</ability>
      <abilityName>标点符号检查</abilityName>
      <candidateList/>
      <explain>同一形式括号套用。</explain>
      <paraID>1A3B48EC</paraID>
      <start>80</start>
      <end>81</end>
      <status>unmodified</status>
      <modifiedWord/>
      <trackRevisions>false</trackRevisions>
    </reviewItem>
    <reviewItem>
      <errorID>f912b8da-d7e8-40a7-ad1a-d1466120595f</errorID>
      <errorWord>）</errorWord>
      <group>L1_Punc</group>
      <groupName>标点问题</groupName>
      <ability>L2_Punc</ability>
      <abilityName>标点符号检查</abilityName>
      <candidateList/>
      <explain>同一形式括号套用。</explain>
      <paraID>1A3B48EC</paraID>
      <start>82</start>
      <end>83</end>
      <status>unmodified</status>
      <modifiedWord/>
      <trackRevisions>false</trackRevisions>
    </reviewItem>
    <reviewItem>
      <errorID>72db3ec4-dd2c-4d9b-9daa-f1d22f6d6022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799AF2E8</paraID>
      <start>0</start>
      <end>2</end>
      <status>unmodified</status>
      <modifiedWord/>
      <trackRevisions>false</trackRevisions>
    </reviewItem>
    <reviewItem>
      <errorID>73fe8b01-80c5-4d97-bab8-adf70deef4e4</errorID>
      <errorWord>交有</errorWord>
      <group>L1_Word</group>
      <groupName>字词问题</groupName>
      <ability>L2_Typo</ability>
      <abilityName>字词错误</abilityName>
      <candidateList>
        <item>交由</item>
      </candidateList>
      <explain>存在发音相同字词的误用。</explain>
      <paraID>3A2F1FB9</paraID>
      <start>61</start>
      <end>63</end>
      <status>modified</status>
      <modifiedWord>交由</modifiedWord>
      <trackRevisions>false</trackRevisions>
    </reviewItem>
    <reviewItem>
      <errorID>071fc048-4e01-4cf1-91a3-5bd85c04f687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C79995E</paraID>
      <start>0</start>
      <end>2</end>
      <status>unmodified</status>
      <modifiedWord/>
      <trackRevisions>false</trackRevisions>
    </reviewItem>
    <reviewItem>
      <errorID>24a3b073-3d21-4fad-bea2-bfcb9bff1b24</errorID>
      <errorWord>(</errorWord>
      <group>L1_Punc</group>
      <groupName>标点问题</groupName>
      <ability>L2_Punc</ability>
      <abilityName>标点符号检查</abilityName>
      <candidateList/>
      <explain/>
      <paraID> 85C8367</paraID>
      <start>135</start>
      <end>136</end>
      <status>unmodified</status>
      <modifiedWord/>
      <trackRevisions>false</trackRevisions>
    </reviewItem>
    <reviewItem>
      <errorID>c7b646ae-76fc-4e97-b8b1-1ad4a0295d40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37005800</paraID>
      <start>0</start>
      <end>2</end>
      <status>unmodified</status>
      <modifiedWord/>
      <trackRevisions>false</trackRevisions>
    </reviewItem>
    <reviewItem>
      <errorID>081c9d9a-f6a2-43ba-a5b7-1dc56d8f33c1</errorID>
      <errorWord>可只</errorWord>
      <group>L1_Word</group>
      <groupName>字词问题</groupName>
      <ability>L2_Typo</ability>
      <abilityName>字词错误</abilityName>
      <candidateList>
        <item>可</item>
      </candidateList>
      <explain>〈动〉适合：～人意｜这回倒～了他的心了。</explain>
      <paraID>6A66D601</paraID>
      <start>48</start>
      <end>50</end>
      <status>unmodified</status>
      <modifiedWord/>
      <trackRevisions>false</trackRevisions>
    </reviewItem>
    <reviewItem>
      <errorID>44ce7c14-fcb1-4b13-81a1-0069f812606d</errorID>
      <errorWord>可</errorWord>
      <group>L1_Word</group>
      <groupName>字词问题</groupName>
      <ability>L2_Typo</ability>
      <abilityName>字词错误</abilityName>
      <candidateList>
        <item>可能</item>
      </candidateList>
      <explain/>
      <paraID>5D106F08</paraID>
      <start>57</start>
      <end>58</end>
      <status>unmodified</status>
      <modifiedWord/>
      <trackRevisions>false</trackRevisions>
    </reviewItem>
    <reviewItem>
      <errorID>0c0f2dc3-6d88-4dca-8f2b-0b9c8b4885cc</errorID>
      <errorWord>、</errorWord>
      <group>L1_Punc</group>
      <groupName>标点问题</groupName>
      <ability>L2_Punc</ability>
      <abilityName>标点符号检查</abilityName>
      <candidateList>
        <item>.</item>
      </candidateList>
      <explain/>
      <paraID>4A70D1DB</paraID>
      <start>1</start>
      <end>2</end>
      <status>unmodified</status>
      <modifiedWord/>
      <trackRevisions>false</trackRevisions>
    </reviewItem>
    <reviewItem>
      <errorID>60474e5f-2da7-4a3a-b323-607fa3d57b8c</errorID>
      <errorWord>、</errorWord>
      <group>L1_Punc</group>
      <groupName>标点问题</groupName>
      <ability>L2_Punc</ability>
      <abilityName>标点符号检查</abilityName>
      <candidateList>
        <item>.</item>
      </candidateList>
      <explain/>
      <paraID>5B83E2FA</paraID>
      <start>1</start>
      <end>2</end>
      <status>unmodified</status>
      <modifiedWord/>
      <trackRevisions>false</trackRevisions>
    </reviewItem>
    <reviewItem>
      <errorID>b91d2cf9-1a09-42a5-983a-7535c3887478</errorID>
      <errorWord>、</errorWord>
      <group>L1_Punc</group>
      <groupName>标点问题</groupName>
      <ability>L2_Punc</ability>
      <abilityName>标点符号检查</abilityName>
      <candidateList>
        <item>.</item>
      </candidateList>
      <explain/>
      <paraID>43DF0538</paraID>
      <start>1</start>
      <end>2</end>
      <status>unmodified</status>
      <modifiedWord/>
      <trackRevisions>false</trackRevisions>
    </reviewItem>
    <reviewItem>
      <errorID>fd13dd4e-c31b-4c68-b564-fa1cae564071</errorID>
      <errorWord>、</errorWord>
      <group>L1_Punc</group>
      <groupName>标点问题</groupName>
      <ability>L2_Punc</ability>
      <abilityName>标点符号检查</abilityName>
      <candidateList>
        <item>.</item>
      </candidateList>
      <explain/>
      <paraID>10B40AE6</paraID>
      <start>1</start>
      <end>2</end>
      <status>unmodified</status>
      <modifiedWord/>
      <trackRevisions>false</trackRevisions>
    </reviewItem>
    <reviewItem>
      <errorID>64bb81af-973c-438f-9914-5bb105ac3cd0</errorID>
      <errorWord>、</errorWord>
      <group>L1_Punc</group>
      <groupName>标点问题</groupName>
      <ability>L2_Punc</ability>
      <abilityName>标点符号检查</abilityName>
      <candidateList>
        <item>.</item>
      </candidateList>
      <explain/>
      <paraID>1E8CEFE0</paraID>
      <start>1</start>
      <end>2</end>
      <status>unmodified</status>
      <modifiedWord/>
      <trackRevisions>false</trackRevisions>
    </reviewItem>
    <reviewItem>
      <errorID>cbb27182-26b7-457e-8e28-d6c2638a0009</errorID>
      <errorWord>：</errorWord>
      <group>L1_Format</group>
      <groupName>格式问题</groupName>
      <ability>L2_HalfPunc</ability>
      <abilityName>全半角检查</abilityName>
      <candidateList>
        <item>:</item>
      </candidateList>
      <explain>文本全半角错误。</explain>
      <paraID>3963DF54</paraID>
      <start>71</start>
      <end>72</end>
      <status>unmodified</status>
      <modifiedWord/>
      <trackRevisions>false</trackRevisions>
    </reviewItem>
    <reviewItem>
      <errorID>ae137b47-221f-408f-b6ca-a76594c80824</errorID>
      <errorWord>：</errorWord>
      <group>L1_Format</group>
      <groupName>格式问题</groupName>
      <ability>L2_HalfPunc</ability>
      <abilityName>全半角检查</abilityName>
      <candidateList>
        <item>:</item>
      </candidateList>
      <explain>文本全半角错误。</explain>
      <paraID> 1B619DF</paraID>
      <start>71</start>
      <end>72</end>
      <status>unmodified</status>
      <modifiedWord/>
      <trackRevisions>false</trackRevisions>
    </reviewItem>
    <reviewItem>
      <errorID>7e0d247b-0ac9-41d1-96fd-c44f0c68a2a2</errorID>
      <errorWord>（</errorWord>
      <group>L1_Punc</group>
      <groupName>标点问题</groupName>
      <ability>L2_Punc</ability>
      <abilityName>标点符号检查</abilityName>
      <candidateList/>
      <explain>同一形式括号套用。</explain>
      <paraID>2F54E051</paraID>
      <start>42</start>
      <end>43</end>
      <status>unmodified</status>
      <modifiedWord/>
      <trackRevisions>false</trackRevisions>
    </reviewItem>
    <reviewItem>
      <errorID>4d35b5dc-b29c-4fb5-a958-9819664a7bfe</errorID>
      <errorWord>）</errorWord>
      <group>L1_Punc</group>
      <groupName>标点问题</groupName>
      <ability>L2_Punc</ability>
      <abilityName>标点符号检查</abilityName>
      <candidateList/>
      <explain>同一形式括号套用。</explain>
      <paraID>2F54E051</paraID>
      <start>44</start>
      <end>45</end>
      <status>unmodified</status>
      <modifiedWord/>
      <trackRevisions>false</trackRevisions>
    </reviewItem>
    <reviewItem>
      <errorID>23efe81b-b338-46d8-92fa-b6dab184f078</errorID>
      <errorWord>（</errorWord>
      <group>L1_Punc</group>
      <groupName>标点问题</groupName>
      <ability>L2_Punc</ability>
      <abilityName>标点符号检查</abilityName>
      <candidateList/>
      <explain>同一形式括号套用。</explain>
      <paraID>2F54E051</paraID>
      <start>52</start>
      <end>53</end>
      <status>unmodified</status>
      <modifiedWord/>
      <trackRevisions>false</trackRevisions>
    </reviewItem>
    <reviewItem>
      <errorID>0d761454-29e0-4429-9711-96aee4f5388f</errorID>
      <errorWord>）</errorWord>
      <group>L1_Punc</group>
      <groupName>标点问题</groupName>
      <ability>L2_Punc</ability>
      <abilityName>标点符号检查</abilityName>
      <candidateList/>
      <explain>同一形式括号套用。</explain>
      <paraID>2F54E051</paraID>
      <start>54</start>
      <end>55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ab955-89a3-4627-9369-35663e2334ce}">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63</Pages>
  <Words>19553</Words>
  <Characters>20804</Characters>
  <Lines>428</Lines>
  <Paragraphs>120</Paragraphs>
  <TotalTime>55</TotalTime>
  <ScaleCrop>false</ScaleCrop>
  <LinksUpToDate>false</LinksUpToDate>
  <CharactersWithSpaces>20896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2024-08-15T08:10:00Z</dcterms:created>
  <dc:creator>青草绿洲付江波</dc:creator>
  <cp:lastModifiedBy>Administrator</cp:lastModifiedBy>
  <dcterms:modified xsi:type="dcterms:W3CDTF">2025-11-24T03:01:39Z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AE331B4318CF46C89D139FAA0DAD407B_13</vt:lpwstr>
  </property>
  <property fmtid="{D5CDD505-2E9C-101B-9397-08002B2CF9AE}" pid="4" name="KSOTemplateDocerSaveRecord">
    <vt:lpwstr>eyJoZGlkIjoiMTU3OThmMGE0ODdkZjM4OTM3ZWNhYTdmMjQ2YzM5NGUiLCJ1c2VySWQiOiIyMTgyNTE1NjgifQ==</vt:lpwstr>
  </property>
</Properties>
</file>