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eastAsiaTheme="minorEastAsia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濮阳市</w:t>
      </w:r>
      <w:r>
        <w:rPr>
          <w:color w:val="auto"/>
          <w:sz w:val="32"/>
          <w:szCs w:val="32"/>
        </w:rPr>
        <w:t>生态环境总体准入要求</w:t>
      </w:r>
    </w:p>
    <w:tbl>
      <w:tblPr>
        <w:tblStyle w:val="5"/>
        <w:tblW w:w="1373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6"/>
        <w:gridCol w:w="3822"/>
        <w:gridCol w:w="1834"/>
        <w:gridCol w:w="21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956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空间布局约束</w:t>
            </w:r>
          </w:p>
        </w:tc>
        <w:tc>
          <w:tcPr>
            <w:tcW w:w="3822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污染物排放管控</w:t>
            </w:r>
          </w:p>
        </w:tc>
        <w:tc>
          <w:tcPr>
            <w:tcW w:w="1834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环境风险防控</w:t>
            </w:r>
          </w:p>
        </w:tc>
        <w:tc>
          <w:tcPr>
            <w:tcW w:w="2127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资源开发效率要求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4" w:hRule="atLeast"/>
        </w:trPr>
        <w:tc>
          <w:tcPr>
            <w:tcW w:w="5956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禁止新建严重污染水环境和破坏生态的建设项目，淘汰污染水环境的落后工艺、技术和设备，推进涉及污染水环境的工业企业清洁生产。对于需取得排污许可证的企业，禁止无排污许可证或者违反排污许可证的规定排放废水、废气。马颊河保护重点区域内，禁止建设畜禽养殖场、养殖小区、水产养殖场，禁止倾倒、抛撒、堆放、填埋生活垃圾、餐厨垃圾、建筑垃圾、工业固体废物、医疗固体废物、放射性物质等废弃物，禁止擅自从事占用、围垦、取土、取水、砍伐林木等行为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禁止在地质环境脆弱区开发矿产资源，禁止开采已有土壤覆盖层的古河道埋藏沙，禁止开挖耕地烧制实心砖瓦。禁止开采区内，除国家基础性、公益性地质调查及符合政策要求的、以国家战略性矿产地储备为矿产资源勘查项目外，一律不得新设探、采矿权，严厉打击和取缔违法采矿活动。已经设立的矿业权，在维护矿业权人合法权益的前提下，依法有序退出。在限制开采区内，要严格控制开采矿种矿业权设置，确实需要设置矿业权时，要严格规划审查，进行规划论证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严格控制新建、扩建钢铁、石油、化工、电力、有色金属冶炼、水泥、建筑陶瓷等重点行业高排放、高污染工业项目。禁止在人口集中区域从事经营性露天喷漆、喷涂、喷砂等产生含挥发性有机物废气的作业；禁止露天焚烧落叶、树枝、枯草等产生烟尘污染的物质，以及非法焚烧电子废弃物、油毡、橡胶、塑料、皮革、沥青、垃圾等产生有毒有害、恶臭或者强烈异味气体的物质。市、县人民政府划定并公布高污染燃料禁燃区，在禁燃区内，禁止销售、燃用高污染燃料，禁止新建、扩建燃用高污染燃料的设施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除热电联产外，严格控制新建燃煤发电项目。原则上禁止新建、扩建钢铁、电解铝、水泥、平板玻璃、传统煤化工（甲醇、合成氨）、焦化、铸造、铝用炭素、砖瓦窑、耐火材料等行业单纯新增产能项目。禁止建设生产和使用高VOCs含量的溶剂型涂料、油墨、胶粘剂等项目。禁止新建燃料类煤气发生炉和 35 蒸吨/时及以下燃煤锅炉。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5.调整不符合生态环境功能定位的产业布局、产业规模和产业结构，按照《产业结构调整指导目录（2019 年本）》和《河南省部分工业行业淘汰落后生产工艺装备和产品目录》，对禁止和限制发展的行业、生产工艺和产业进行关停淘汰。关停退出热效率低下、敞开未封闭，装备简易落后、自动化水平低，布局分散、规模小、无组织排放突出，以及无治理设施或治理设施工艺落后的工业炉窑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坚决遏制高耗能、高排放项目盲目发展。新建、改建、扩建“两高”项目应符合生态环境保护法律法规和相关法定规划，满足重点污染物排放总量控制、碳排放达峰目标、生态环境准入清单、相关规划环评和相应行业建设项目环境准入条件、环评文件审批原则要求。对于不符合相关法律法规的，依法不予审批。按照相关文件要求，沿黄重点地区严格“高污染、高耗水、高耗能”项目准入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7.切实加快市城区工业企业退城入园步伐，推动经济高质量发展，按照相关要求完成市城区工业企业退城入园任务。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822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1"/>
                <w:szCs w:val="21"/>
                <w:highlight w:val="none"/>
                <w:u w:val="none"/>
              </w:rPr>
              <w:t>新、改、扩建项目主要污染物排放要求满足当地总量减排要求。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2.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持续调整优化产业结构：加快调整不符合生态环境功能定位的产业布局、产业规模和产业结构，加大过剩和落后产能压减力度，开展传统产业集群升级改造；持续调整优化能源结构：严控煤炭消费总量，推动集中供暖建设、清洁取暖建设，提高天然气供应保障能力，发展可再生能源；持续调整优化交通运输结构：大力发展铁路运输，提高晋豫鲁铁路等现有铁路资源利用效率，加大公路网建设力度，加快推进机动车结构升级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3.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面推进源头替代，在技术成熟的家具、工业涂装等行业，大力推广使用低挥发性有机物含量涂料、油墨、胶粘剂；加强废气收集和处理，推进石油、化工、电力等排污单位治污设施升级改造，加强大气污染物排放精细化管理，严格控制无组织排放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加快城镇污水收集和处理设施建设，推进城市建成区黑臭水体治理，促进城镇污水再生利用，加快城镇污水处理厂污泥安全处置；加快河道综合治理与水生态修复，推动入河排污口综合整治，持续推进农村环境综合整治，强化畜禽养殖粪污综合治理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4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强化空气质量预测预报能力建设，提升预测预报精准程度。实施“一厂一策”清单化管理，做到减排措施全覆盖。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黄河、金堤河、马颊河、卫河、徒骇河等重要河流，建立与上下游城市的联防联控机制，市域上下游县、区强化信息共享、实行共河共治，完善闸坝调度机制，避免发生重、特大跨界水污染事故。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加强重金属污染防治监管；推进固体废物堆存场所排查整治；强化生活污染源管控，开展城乡生活垃圾分类；推进固体废物处理处置及综合利用。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27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auto"/>
                <w:sz w:val="21"/>
                <w:szCs w:val="21"/>
                <w:highlight w:val="none"/>
                <w:u w:val="none"/>
              </w:rPr>
              <w:t>十四五期间，全市煤炭消费总量控制完成国家、省、市下达目标要求。全市能耗增量控制目标控制完成国家、省、市下达目标要求。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auto"/>
                <w:sz w:val="21"/>
                <w:szCs w:val="21"/>
                <w:highlight w:val="none"/>
                <w:u w:val="none"/>
              </w:rPr>
              <w:t>十四五期间，全市年用水总量控制完成国家、省、市下达目标要求</w:t>
            </w: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auto"/>
                <w:sz w:val="21"/>
                <w:szCs w:val="21"/>
                <w:highlight w:val="none"/>
                <w:u w:val="none"/>
              </w:rPr>
              <w:t>各行业节水取得突出成效，水资源利用效率显著提升，实施计划用水管理、价格管理和节水“三同时”管理。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auto"/>
                <w:sz w:val="21"/>
                <w:szCs w:val="21"/>
                <w:highlight w:val="none"/>
                <w:u w:val="none"/>
              </w:rPr>
              <w:t>实行严格的耕地保护制度和节约用地制度，提高土地资源利用效率，实现从扩张型发展向内涵式发展的转变。新增建设用地土壤环境安全保障率100%。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9A4E4C"/>
    <w:multiLevelType w:val="singleLevel"/>
    <w:tmpl w:val="A09A4E4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71CEA3F"/>
    <w:multiLevelType w:val="singleLevel"/>
    <w:tmpl w:val="C71CEA3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81DE19B"/>
    <w:multiLevelType w:val="singleLevel"/>
    <w:tmpl w:val="F81DE19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0912A7"/>
    <w:rsid w:val="086A60BC"/>
    <w:rsid w:val="0B4445F3"/>
    <w:rsid w:val="12E6321C"/>
    <w:rsid w:val="2A7F772A"/>
    <w:rsid w:val="4B480ACE"/>
    <w:rsid w:val="4FC07541"/>
    <w:rsid w:val="62E27F98"/>
    <w:rsid w:val="64391521"/>
    <w:rsid w:val="710912A7"/>
    <w:rsid w:val="733C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4"/>
    <w:next w:val="1"/>
    <w:qFormat/>
    <w:uiPriority w:val="0"/>
    <w:pPr>
      <w:spacing w:line="240" w:lineRule="auto"/>
    </w:pPr>
    <w:rPr>
      <w:rFonts w:cs="Times New Roman"/>
      <w:color w:val="000000" w:themeColor="text1"/>
      <w:sz w:val="28"/>
      <w:szCs w:val="28"/>
      <w14:textFill>
        <w14:solidFill>
          <w14:schemeClr w14:val="tx1"/>
        </w14:solidFill>
      </w14:textFill>
    </w:rPr>
  </w:style>
  <w:style w:type="paragraph" w:customStyle="1" w:styleId="4">
    <w:name w:val="表头"/>
    <w:basedOn w:val="1"/>
    <w:qFormat/>
    <w:uiPriority w:val="0"/>
    <w:pPr>
      <w:spacing w:line="360" w:lineRule="auto"/>
      <w:jc w:val="center"/>
    </w:pPr>
    <w:rPr>
      <w:b/>
      <w:snapToGrid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2021-09-25T05:01:00Z</dcterms:created>
  <dc:creator>cwk</dc:creator>
  <cp:lastModifiedBy>小77</cp:lastModifiedBy>
  <cp:lastPrinted>2021-10-28T02:02:00Z</cp:lastPrinted>
  <dcterms:modified xsi:type="dcterms:W3CDTF">2021-10-28T03:46:53Z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14DE034C00BC439984CD37EF204D238B</vt:lpwstr>
  </property>
</Properties>
</file>